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pPr w:horzAnchor="margin" w:tblpXSpec="center" w:vertAnchor="page" w:tblpY="541" w:leftFromText="180" w:topFromText="0" w:rightFromText="180" w:bottomFromText="200"/>
        <w:tblW w:w="11486" w:type="dxa"/>
        <w:tblLook w:val="04A0" w:firstRow="1" w:lastRow="0" w:firstColumn="1" w:lastColumn="0" w:noHBand="0" w:noVBand="1"/>
      </w:tblPr>
      <w:tblGrid>
        <w:gridCol w:w="4508"/>
        <w:gridCol w:w="1934"/>
        <w:gridCol w:w="5044"/>
      </w:tblGrid>
      <w:tr>
        <w:trPr>
          <w:trHeight w:val="612"/>
        </w:trPr>
        <w:tc>
          <w:tcPr>
            <w:tcW w:w="4508" w:type="dxa"/>
            <w:textDirection w:val="lrTb"/>
            <w:noWrap w:val="false"/>
          </w:tcPr>
          <w:p>
            <w:pPr>
              <w:jc w:val="center"/>
              <w:rPr>
                <w:b/>
                <w:color w:val="4F81BD"/>
                <w:sz w:val="27"/>
                <w:szCs w:val="27"/>
                <w:lang w:eastAsia="en-US"/>
              </w:rPr>
            </w:pPr>
            <w:r>
              <w:rPr>
                <w:b/>
                <w:color w:val="4F81BD"/>
                <w:sz w:val="27"/>
                <w:szCs w:val="27"/>
                <w:lang w:eastAsia="en-US"/>
              </w:rPr>
            </w:r>
            <w:r/>
          </w:p>
          <w:p>
            <w:pPr>
              <w:jc w:val="center"/>
              <w:rPr>
                <w:b/>
                <w:color w:val="4F81BD"/>
                <w:sz w:val="26"/>
                <w:szCs w:val="26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 xml:space="preserve">«ҚАЗАҚСТАН РЕСПУБЛИКАСЫ</w:t>
            </w:r>
            <w:r/>
          </w:p>
          <w:p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 xml:space="preserve">  ӘДІЛЕТ МИНИСТРЛІГІ» МЕМЛЕКЕТТІК МЕКЕМЕСІ</w:t>
            </w:r>
            <w:r/>
          </w:p>
        </w:tc>
        <w:tc>
          <w:tcPr>
            <w:tcW w:w="1934" w:type="dxa"/>
            <w:textDirection w:val="lrTb"/>
            <w:noWrap w:val="false"/>
          </w:tcPr>
          <w:p>
            <w:pPr>
              <w:rPr>
                <w:sz w:val="28"/>
                <w:lang w:eastAsia="en-US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414020</wp:posOffset>
                      </wp:positionH>
                      <wp:positionV relativeFrom="paragraph">
                        <wp:posOffset>38100</wp:posOffset>
                      </wp:positionV>
                      <wp:extent cx="857250" cy="880745"/>
                      <wp:effectExtent l="0" t="0" r="0" b="0"/>
                      <wp:wrapThrough wrapText="bothSides">
                        <wp:wrapPolygon edited="1">
                          <wp:start x="6720" y="0"/>
                          <wp:lineTo x="0" y="3269"/>
                          <wp:lineTo x="0" y="17286"/>
                          <wp:lineTo x="4320" y="21024"/>
                          <wp:lineTo x="6720" y="21024"/>
                          <wp:lineTo x="14400" y="21024"/>
                          <wp:lineTo x="16800" y="21024"/>
                          <wp:lineTo x="21120" y="17286"/>
                          <wp:lineTo x="21120" y="3269"/>
                          <wp:lineTo x="14400" y="0"/>
                          <wp:lineTo x="6720" y="0"/>
                        </wp:wrapPolygon>
                      </wp:wrapThrough>
                      <wp:docPr id="3" name="Рисунок 6" descr="Описание: Описание: 800px-Emblem_of_Kazakhstan_3d.png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1" descr="Описание: Описание: 800px-Emblem_of_Kazakhstan_3d.pn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57250" cy="88074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position:absolute;mso-wrap-distance-left:9.0pt;mso-wrap-distance-top:0.0pt;mso-wrap-distance-right:9.0pt;mso-wrap-distance-bottom:0.0pt;z-index:251661312;o:allowoverlap:true;o:allowincell:true;mso-position-horizontal-relative:text;margin-left:32.6pt;mso-position-horizontal:absolute;mso-position-vertical-relative:text;margin-top:3.0pt;mso-position-vertical:absolute;width:67.5pt;height:69.3pt;" wrapcoords="31111 0 0 15134 0 80028 20000 97333 31111 97333 66667 97333 77778 97333 97778 80028 97778 15134 66667 0 31111 0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  <w:tc>
          <w:tcPr>
            <w:tcW w:w="5044" w:type="dxa"/>
            <w:textDirection w:val="lrTb"/>
            <w:noWrap w:val="false"/>
          </w:tcPr>
          <w:p>
            <w:pPr>
              <w:jc w:val="center"/>
              <w:rPr>
                <w:b/>
                <w:color w:val="4F81BD"/>
                <w:sz w:val="27"/>
                <w:szCs w:val="27"/>
                <w:lang w:eastAsia="en-US"/>
              </w:rPr>
            </w:pPr>
            <w:r>
              <w:rPr>
                <w:b/>
                <w:color w:val="4F81BD"/>
                <w:sz w:val="27"/>
                <w:szCs w:val="27"/>
                <w:lang w:eastAsia="en-US"/>
              </w:rPr>
            </w:r>
            <w:r/>
          </w:p>
          <w:p>
            <w:pPr>
              <w:jc w:val="center"/>
              <w:rPr>
                <w:b/>
                <w:color w:val="4F81BD"/>
                <w:sz w:val="26"/>
                <w:szCs w:val="26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 xml:space="preserve">ГОСУДАРСТВЕННОЕ УЧРЕЖДЕНИЕ </w:t>
            </w:r>
            <w:r/>
          </w:p>
          <w:p>
            <w:pPr>
              <w:jc w:val="center"/>
              <w:rPr>
                <w:sz w:val="28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 xml:space="preserve">«МИНИСТЕРСТВО ЮСТИЦИИ РЕСПУБЛИКИ КАЗАХСТАН»</w:t>
            </w:r>
            <w:r/>
          </w:p>
        </w:tc>
      </w:tr>
      <w:tr>
        <w:trPr>
          <w:trHeight w:val="166"/>
        </w:trPr>
        <w:tc>
          <w:tcPr>
            <w:gridSpan w:val="3"/>
            <w:tcW w:w="11486" w:type="dxa"/>
            <w:textDirection w:val="lrTb"/>
            <w:noWrap w:val="false"/>
          </w:tcPr>
          <w:p>
            <w:pPr>
              <w:jc w:val="center"/>
              <w:rPr>
                <w:b/>
                <w:color w:val="4F81BD"/>
                <w:sz w:val="28"/>
                <w:u w:val="single"/>
                <w:lang w:eastAsia="en-US"/>
              </w:rPr>
            </w:pPr>
            <w:r>
              <w:rPr>
                <w:b/>
                <w:color w:val="4F81BD"/>
                <w:sz w:val="24"/>
                <w:u w:val="single"/>
                <w:lang w:eastAsia="en-US"/>
              </w:rPr>
              <w:t xml:space="preserve">______________________________________________________________________________________</w:t>
            </w:r>
            <w:r/>
          </w:p>
        </w:tc>
      </w:tr>
    </w:tbl>
    <w:p>
      <w:pPr>
        <w:rPr>
          <w:b/>
          <w:color w:val="4F81BD"/>
          <w:sz w:val="28"/>
          <w:szCs w:val="28"/>
          <w:lang w:val="kk-KZ"/>
        </w:rPr>
      </w:pPr>
      <w:r>
        <w:rPr>
          <w:b/>
          <w:color w:val="4F81BD"/>
          <w:sz w:val="28"/>
          <w:szCs w:val="28"/>
          <w:lang w:val="kk-KZ"/>
        </w:rPr>
        <w:t xml:space="preserve"> </w:t>
      </w:r>
      <w:r/>
    </w:p>
    <w:p>
      <w:pPr>
        <w:rPr>
          <w:b/>
          <w:sz w:val="28"/>
          <w:szCs w:val="28"/>
          <w:u w:val="single"/>
          <w:lang w:val="kk-KZ"/>
        </w:rPr>
      </w:pPr>
      <w:r>
        <w:rPr>
          <w:b/>
          <w:color w:val="4F81BD"/>
          <w:sz w:val="28"/>
          <w:szCs w:val="28"/>
          <w:lang w:val="kk-KZ"/>
        </w:rPr>
        <w:t xml:space="preserve">БҰЙРЫҚ</w:t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  <w:t xml:space="preserve">ПРИКАЗ</w:t>
      </w:r>
      <w:r/>
    </w:p>
    <w:p>
      <w:pPr>
        <w:rPr>
          <w:sz w:val="28"/>
          <w:szCs w:val="28"/>
          <w:u w:val="single"/>
          <w:lang w:val="kk-KZ"/>
        </w:rPr>
      </w:pPr>
      <w:r>
        <w:rPr>
          <w:b/>
          <w:color w:val="4F81BD"/>
          <w:sz w:val="28"/>
          <w:szCs w:val="28"/>
          <w:u w:val="single"/>
          <w:lang w:val="kk-KZ"/>
        </w:rPr>
        <w:t xml:space="preserve">__________</w:t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u w:val="single"/>
          <w:lang w:val="kk-KZ"/>
        </w:rPr>
        <w:t xml:space="preserve">__________</w:t>
      </w:r>
      <w:r/>
    </w:p>
    <w:p>
      <w:pPr>
        <w:ind w:left="-284"/>
        <w:rPr>
          <w:b/>
          <w:sz w:val="28"/>
          <w:szCs w:val="28"/>
          <w:lang w:val="kk-KZ"/>
        </w:rPr>
      </w:pPr>
      <w:r>
        <w:rPr>
          <w:b/>
          <w:color w:val="0070C0"/>
          <w:lang w:val="kk-KZ"/>
        </w:rPr>
        <w:tab/>
        <w:t xml:space="preserve">Астана қ-сы   </w:t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  <w:t xml:space="preserve">               г. Астана</w:t>
      </w:r>
      <w:r/>
    </w:p>
    <w:p>
      <w:pPr>
        <w:jc w:val="both"/>
        <w:rPr>
          <w:b/>
          <w:bCs/>
          <w:sz w:val="27"/>
          <w:szCs w:val="27"/>
          <w:lang w:val="kk-KZ"/>
        </w:rPr>
      </w:pPr>
      <w:r>
        <w:rPr>
          <w:b/>
          <w:bCs/>
          <w:sz w:val="27"/>
          <w:szCs w:val="27"/>
          <w:lang w:val="kk-KZ"/>
        </w:rPr>
      </w:r>
      <w:r/>
    </w:p>
    <w:p>
      <w:pPr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О приостановлении </w:t>
      </w:r>
      <w:r/>
    </w:p>
    <w:p>
      <w:pPr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действия лицензии</w:t>
      </w:r>
      <w:r/>
    </w:p>
    <w:p>
      <w:pPr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</w:r>
      <w:r/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подпункт</w:t>
      </w:r>
      <w:r>
        <w:rPr>
          <w:sz w:val="28"/>
          <w:szCs w:val="28"/>
          <w:lang w:val="kk-KZ"/>
        </w:rPr>
        <w:t xml:space="preserve">ом 5</w:t>
      </w:r>
      <w:r>
        <w:rPr>
          <w:sz w:val="28"/>
          <w:szCs w:val="28"/>
          <w:lang w:val="kk-KZ"/>
        </w:rPr>
        <w:t xml:space="preserve">)</w:t>
      </w:r>
      <w:r>
        <w:rPr>
          <w:sz w:val="28"/>
          <w:szCs w:val="28"/>
        </w:rPr>
        <w:t xml:space="preserve"> пункта 2 статьи 10 Закона Республики Казахстан «О нотариате»</w:t>
      </w:r>
      <w:r>
        <w:rPr>
          <w:sz w:val="28"/>
          <w:szCs w:val="28"/>
          <w:lang w:val="kk-KZ"/>
        </w:rPr>
        <w:t xml:space="preserve">,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ПРИКАЗЫВАЮ:</w:t>
      </w:r>
      <w:r/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Приостановить действие государственной лицензии на право занятия нотариальной деятельностью </w:t>
      </w:r>
      <w:r>
        <w:rPr>
          <w:sz w:val="28"/>
          <w:szCs w:val="28"/>
          <w:lang w:val="kk-KZ"/>
        </w:rPr>
        <w:t xml:space="preserve">№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0001026 </w:t>
      </w:r>
      <w:r>
        <w:rPr>
          <w:sz w:val="28"/>
          <w:szCs w:val="28"/>
        </w:rPr>
        <w:t xml:space="preserve">от </w:t>
      </w:r>
      <w:r>
        <w:rPr>
          <w:sz w:val="28"/>
          <w:szCs w:val="28"/>
          <w:lang w:val="kk-KZ"/>
        </w:rPr>
        <w:t xml:space="preserve">29 апреля 2002</w:t>
      </w:r>
      <w:r>
        <w:rPr>
          <w:sz w:val="28"/>
          <w:szCs w:val="28"/>
        </w:rPr>
        <w:t xml:space="preserve"> года, выданной Министерств</w:t>
      </w:r>
      <w:r>
        <w:rPr>
          <w:sz w:val="28"/>
          <w:szCs w:val="28"/>
          <w:lang w:val="kk-KZ"/>
        </w:rPr>
        <w:t xml:space="preserve">ом</w:t>
      </w:r>
      <w:r>
        <w:rPr>
          <w:sz w:val="28"/>
          <w:szCs w:val="28"/>
        </w:rPr>
        <w:t xml:space="preserve"> юстиции Республики Казахстан</w:t>
      </w:r>
      <w:r>
        <w:rPr>
          <w:sz w:val="28"/>
          <w:szCs w:val="28"/>
          <w:lang w:val="kk-KZ"/>
        </w:rPr>
        <w:t xml:space="preserve"> Бердыгажиновой Гульнаре Тоболовне, </w:t>
      </w:r>
      <w:r>
        <w:rPr>
          <w:sz w:val="28"/>
          <w:szCs w:val="28"/>
        </w:rPr>
        <w:t xml:space="preserve">сроком </w:t>
      </w:r>
      <w:r>
        <w:rPr>
          <w:sz w:val="28"/>
          <w:szCs w:val="28"/>
          <w:lang w:val="kk-KZ"/>
        </w:rPr>
        <w:t xml:space="preserve">на </w:t>
      </w:r>
      <w:r>
        <w:rPr>
          <w:sz w:val="28"/>
          <w:szCs w:val="28"/>
          <w:lang w:val="kk-KZ"/>
        </w:rPr>
        <w:t xml:space="preserve">шесть месяцев</w:t>
      </w:r>
      <w:r>
        <w:rPr>
          <w:sz w:val="28"/>
          <w:szCs w:val="28"/>
        </w:rPr>
        <w:t xml:space="preserve">.</w:t>
      </w:r>
      <w:r/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Департаменту юстиции </w:t>
      </w:r>
      <w:r>
        <w:rPr>
          <w:sz w:val="28"/>
          <w:szCs w:val="28"/>
          <w:lang w:val="kk-KZ"/>
        </w:rPr>
        <w:t xml:space="preserve">города Астаны</w:t>
      </w:r>
      <w:r>
        <w:rPr>
          <w:sz w:val="28"/>
          <w:szCs w:val="28"/>
        </w:rPr>
        <w:t xml:space="preserve">:</w:t>
      </w:r>
      <w:r/>
    </w:p>
    <w:p>
      <w:pPr>
        <w:ind w:firstLine="567"/>
        <w:jc w:val="both"/>
        <w:tabs>
          <w:tab w:val="left" w:pos="19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1) настоящий приказ довести до сведения частного нотариуса </w:t>
      </w:r>
      <w:r>
        <w:rPr>
          <w:sz w:val="28"/>
          <w:szCs w:val="28"/>
        </w:rPr>
        <w:br/>
      </w:r>
      <w:r>
        <w:rPr>
          <w:sz w:val="28"/>
          <w:szCs w:val="28"/>
          <w:lang w:val="kk-KZ"/>
        </w:rPr>
        <w:t xml:space="preserve">Бердыгажиновой Г.Т</w:t>
      </w:r>
      <w:r>
        <w:rPr>
          <w:sz w:val="28"/>
          <w:szCs w:val="28"/>
        </w:rPr>
        <w:t xml:space="preserve">.;</w:t>
      </w:r>
      <w:r/>
    </w:p>
    <w:p>
      <w:pPr>
        <w:ind w:firstLine="567"/>
        <w:jc w:val="both"/>
        <w:tabs>
          <w:tab w:val="left" w:pos="19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2) принять меры по приостановлению доступа лицензиата к </w:t>
      </w:r>
      <w:r>
        <w:rPr>
          <w:sz w:val="28"/>
          <w:szCs w:val="28"/>
          <w:lang w:val="kk-KZ"/>
        </w:rPr>
        <w:t xml:space="preserve">Единой нотариальной цифровой системе</w:t>
      </w:r>
      <w:r>
        <w:rPr>
          <w:sz w:val="28"/>
          <w:szCs w:val="28"/>
        </w:rPr>
        <w:t xml:space="preserve"> на период приостановления действия лицензии; </w:t>
      </w:r>
      <w:r/>
    </w:p>
    <w:p>
      <w:pPr>
        <w:ind w:firstLine="567"/>
        <w:jc w:val="both"/>
        <w:tabs>
          <w:tab w:val="left" w:pos="19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3) изъять печать лицензиата на временное хранение на период приостановления действия лицензии;</w:t>
      </w:r>
      <w:r/>
    </w:p>
    <w:p>
      <w:pPr>
        <w:ind w:firstLine="567"/>
        <w:jc w:val="both"/>
        <w:tabs>
          <w:tab w:val="left" w:pos="19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4) совместно с нотариальной палатой принять меры по передаче находящихся в производстве частного нотариуса </w:t>
      </w:r>
      <w:r>
        <w:rPr>
          <w:sz w:val="28"/>
          <w:szCs w:val="28"/>
          <w:lang w:val="kk-KZ"/>
        </w:rPr>
        <w:t xml:space="preserve">Бердыгажиновой Г.Т</w:t>
      </w:r>
      <w:r>
        <w:rPr>
          <w:sz w:val="28"/>
          <w:szCs w:val="28"/>
        </w:rPr>
        <w:t xml:space="preserve">. документов другому нотариусу.</w:t>
      </w:r>
      <w:r/>
    </w:p>
    <w:p>
      <w:pPr>
        <w:ind w:firstLine="567"/>
        <w:jc w:val="both"/>
        <w:tabs>
          <w:tab w:val="left" w:pos="19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</w:rPr>
        <w:t xml:space="preserve">Управлению организации нотариальной деятельности и лицензирования Комитета регистрационной службы и организации юридических услуг Министерства юстиции Республики Казахстан:</w:t>
      </w:r>
      <w:r/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принять меры по размещению настоящего приказа на интернет-ресурсе Министерства юстиции Республики Казахстан;</w:t>
      </w:r>
      <w:r/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внести запись о приостановлении действия лицензии указанного нотариуса в Государственный реестр лицензий на право занятия нотариальной деятельностью.</w:t>
      </w:r>
      <w:r/>
    </w:p>
    <w:p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4. </w:t>
      </w:r>
      <w:r>
        <w:rPr>
          <w:sz w:val="28"/>
          <w:szCs w:val="28"/>
        </w:rPr>
        <w:t xml:space="preserve">Контроль за исполнением настоящего приказа возложить на председателя Комитета регистрационной службы и организации юридических услуг Министерства юстиции Республики Казахстан </w:t>
      </w:r>
      <w:r>
        <w:rPr>
          <w:sz w:val="28"/>
          <w:szCs w:val="28"/>
          <w:lang w:val="kk-KZ"/>
        </w:rPr>
        <w:t xml:space="preserve">Калимов</w:t>
      </w:r>
      <w:r>
        <w:rPr>
          <w:sz w:val="28"/>
          <w:szCs w:val="28"/>
          <w:lang w:val="kk-KZ"/>
        </w:rPr>
        <w:t xml:space="preserve">у </w:t>
      </w:r>
      <w:r>
        <w:rPr>
          <w:sz w:val="28"/>
          <w:szCs w:val="28"/>
          <w:lang w:val="kk-KZ"/>
        </w:rPr>
        <w:t xml:space="preserve">В.К.</w:t>
      </w:r>
      <w:r/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>
        <w:rPr>
          <w:sz w:val="28"/>
          <w:szCs w:val="28"/>
        </w:rPr>
        <w:t xml:space="preserve">Настоящий приказ вводится в действие со дня доведения его содержания до сведения нотариуса.</w:t>
      </w:r>
      <w:r/>
    </w:p>
    <w:p>
      <w:pPr>
        <w:ind w:firstLine="567"/>
        <w:jc w:val="both"/>
        <w:rPr>
          <w:i/>
          <w:szCs w:val="28"/>
          <w:lang w:val="kk-KZ"/>
        </w:rPr>
      </w:pPr>
      <w:r>
        <w:rPr>
          <w:i/>
          <w:szCs w:val="28"/>
        </w:rPr>
        <w:t xml:space="preserve">Основание: представление Департамента юстиции </w:t>
      </w:r>
      <w:r>
        <w:rPr>
          <w:i/>
          <w:szCs w:val="28"/>
          <w:lang w:val="kk-KZ"/>
        </w:rPr>
        <w:t xml:space="preserve">города Астаны</w:t>
      </w:r>
      <w:r>
        <w:rPr>
          <w:i/>
          <w:szCs w:val="28"/>
          <w:lang w:val="kk-KZ"/>
        </w:rPr>
        <w:t xml:space="preserve"> </w:t>
      </w:r>
      <w:r>
        <w:rPr>
          <w:rFonts w:eastAsia="GulimChe"/>
          <w:i/>
          <w:szCs w:val="28"/>
          <w:lang w:val="kk-KZ" w:eastAsia="ko-KR"/>
        </w:rPr>
        <w:t xml:space="preserve">№</w:t>
      </w:r>
      <w:r>
        <w:rPr>
          <w:rFonts w:eastAsia="GulimChe"/>
          <w:i/>
          <w:szCs w:val="28"/>
          <w:lang w:val="kk-KZ" w:eastAsia="ko-KR"/>
        </w:rPr>
        <w:t xml:space="preserve">1-1/25398-вн</w:t>
      </w:r>
      <w:r>
        <w:rPr>
          <w:rFonts w:eastAsia="GulimChe"/>
          <w:i/>
          <w:szCs w:val="28"/>
          <w:lang w:val="kk-KZ" w:eastAsia="ko-KR"/>
        </w:rPr>
        <w:br/>
      </w:r>
      <w:r>
        <w:rPr>
          <w:rFonts w:eastAsia="GulimChe"/>
          <w:i/>
          <w:szCs w:val="28"/>
          <w:lang w:val="kk-KZ" w:eastAsia="ko-KR"/>
        </w:rPr>
        <w:t xml:space="preserve">от </w:t>
      </w:r>
      <w:r>
        <w:rPr>
          <w:rFonts w:eastAsia="GulimChe"/>
          <w:i/>
          <w:szCs w:val="28"/>
          <w:lang w:val="kk-KZ" w:eastAsia="ko-KR"/>
        </w:rPr>
        <w:t xml:space="preserve">28 июля 2026</w:t>
      </w:r>
      <w:r>
        <w:rPr>
          <w:i/>
          <w:szCs w:val="28"/>
        </w:rPr>
        <w:t xml:space="preserve"> </w:t>
      </w:r>
      <w:r>
        <w:rPr>
          <w:i/>
          <w:szCs w:val="28"/>
          <w:lang w:val="kk-KZ"/>
        </w:rPr>
        <w:t xml:space="preserve">года</w:t>
      </w:r>
      <w:r>
        <w:rPr>
          <w:i/>
          <w:szCs w:val="28"/>
          <w:lang w:val="kk-KZ"/>
        </w:rPr>
        <w:t xml:space="preserve">,</w:t>
      </w:r>
      <w:r>
        <w:rPr>
          <w:i/>
          <w:szCs w:val="28"/>
          <w:lang w:val="kk-KZ"/>
        </w:rPr>
        <w:t xml:space="preserve"> </w:t>
      </w:r>
      <w:r>
        <w:rPr>
          <w:i/>
          <w:szCs w:val="28"/>
          <w:lang w:val="kk-KZ"/>
        </w:rPr>
        <w:t xml:space="preserve">частное определение </w:t>
      </w:r>
      <w:r>
        <w:rPr>
          <w:i/>
          <w:szCs w:val="28"/>
          <w:lang w:val="kk-KZ"/>
        </w:rPr>
        <w:t xml:space="preserve"> </w:t>
      </w:r>
      <w:r>
        <w:rPr>
          <w:i/>
          <w:szCs w:val="28"/>
          <w:lang w:val="kk-KZ"/>
        </w:rPr>
        <w:t xml:space="preserve">М</w:t>
      </w:r>
      <w:bookmarkStart w:id="0" w:name="_GoBack"/>
      <w:r/>
      <w:bookmarkEnd w:id="0"/>
      <w:r>
        <w:rPr>
          <w:i/>
          <w:szCs w:val="28"/>
          <w:lang w:val="kk-KZ"/>
        </w:rPr>
        <w:t xml:space="preserve">ежрайонного суда по </w:t>
      </w:r>
      <w:r>
        <w:rPr>
          <w:i/>
          <w:szCs w:val="28"/>
          <w:lang w:val="kk-KZ"/>
        </w:rPr>
        <w:t xml:space="preserve">гражданским </w:t>
      </w:r>
      <w:r>
        <w:rPr>
          <w:i/>
          <w:szCs w:val="28"/>
          <w:lang w:val="kk-KZ"/>
        </w:rPr>
        <w:t xml:space="preserve">делам</w:t>
      </w:r>
      <w:r>
        <w:rPr>
          <w:i/>
          <w:szCs w:val="28"/>
          <w:lang w:val="kk-KZ"/>
        </w:rPr>
        <w:t xml:space="preserve"> </w:t>
      </w:r>
      <w:r>
        <w:rPr>
          <w:i/>
          <w:szCs w:val="28"/>
          <w:lang w:val="kk-KZ"/>
        </w:rPr>
        <w:t xml:space="preserve">города </w:t>
      </w:r>
      <w:r>
        <w:rPr>
          <w:i/>
          <w:szCs w:val="28"/>
          <w:lang w:val="kk-KZ"/>
        </w:rPr>
        <w:t xml:space="preserve">Астаны </w:t>
      </w:r>
      <w:r>
        <w:rPr>
          <w:i/>
          <w:szCs w:val="28"/>
          <w:lang w:val="kk-KZ"/>
        </w:rPr>
        <w:t xml:space="preserve">от              </w:t>
      </w:r>
      <w:r/>
      <w:r>
        <w:rPr>
          <w:i/>
          <w:szCs w:val="28"/>
          <w:lang w:val="kk-KZ"/>
        </w:rPr>
      </w:r>
      <w:r>
        <w:rPr>
          <w:i/>
          <w:szCs w:val="28"/>
          <w:lang w:val="kk-KZ"/>
        </w:rPr>
        <w:t xml:space="preserve">6</w:t>
      </w:r>
      <w:r>
        <w:rPr>
          <w:i/>
          <w:szCs w:val="28"/>
          <w:lang w:val="kk-KZ"/>
        </w:rPr>
        <w:t xml:space="preserve"> </w:t>
      </w:r>
      <w:r>
        <w:rPr>
          <w:i/>
          <w:szCs w:val="28"/>
          <w:lang w:val="kk-KZ"/>
        </w:rPr>
        <w:t xml:space="preserve">ма</w:t>
      </w:r>
      <w:r>
        <w:rPr>
          <w:i/>
          <w:szCs w:val="28"/>
          <w:lang w:val="kk-KZ"/>
        </w:rPr>
        <w:t xml:space="preserve">я 2026 года.</w:t>
      </w:r>
      <w:r>
        <w:rPr>
          <w:i/>
          <w:szCs w:val="28"/>
          <w:lang w:val="kk-KZ"/>
        </w:rPr>
      </w:r>
      <w:r/>
    </w:p>
    <w:p>
      <w:pPr>
        <w:pStyle w:val="761"/>
        <w:ind w:firstLine="0"/>
        <w:tabs>
          <w:tab w:val="left" w:pos="709" w:leader="none"/>
          <w:tab w:val="left" w:pos="851" w:leader="none"/>
        </w:tabs>
        <w:rPr>
          <w:b/>
          <w:sz w:val="27"/>
          <w:szCs w:val="27"/>
          <w:lang w:val="kk-KZ"/>
        </w:rPr>
      </w:pPr>
      <w:r>
        <w:rPr>
          <w:b/>
          <w:sz w:val="27"/>
          <w:szCs w:val="27"/>
          <w:lang w:val="kk-KZ"/>
        </w:rPr>
        <w:tab/>
      </w:r>
      <w:r/>
    </w:p>
    <w:p>
      <w:pPr>
        <w:ind w:firstLine="708"/>
        <w:jc w:val="both"/>
        <w:rPr>
          <w:rFonts w:eastAsiaTheme="minorHAnsi"/>
          <w:b/>
          <w:sz w:val="28"/>
          <w:szCs w:val="28"/>
          <w:lang w:val="kk-KZ" w:eastAsia="en-US"/>
        </w:rPr>
      </w:pPr>
      <w:r>
        <w:rPr>
          <w:rFonts w:eastAsiaTheme="minorHAnsi"/>
          <w:b/>
          <w:bCs/>
          <w:color w:val="000000" w:themeColor="text1"/>
          <w:sz w:val="28"/>
          <w:szCs w:val="28"/>
          <w:lang w:val="kk-KZ" w:eastAsia="en-US"/>
        </w:rPr>
        <w:t xml:space="preserve">Вице-министр</w:t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  <w:t xml:space="preserve">  Б. Жақселекова</w:t>
      </w:r>
      <w:r/>
    </w:p>
    <w:p>
      <w:pPr>
        <w:rPr>
          <w:i/>
          <w:iCs/>
          <w:lang w:val="kk-KZ"/>
        </w:rPr>
      </w:pPr>
      <w:r>
        <w:rPr>
          <w:i/>
          <w:iCs/>
          <w:lang w:val="kk-KZ"/>
        </w:rPr>
      </w:r>
      <w:r/>
    </w:p>
    <w:p>
      <w:pPr>
        <w:rPr>
          <w:b/>
          <w:color w:val="000000"/>
          <w:sz w:val="28"/>
          <w:szCs w:val="22"/>
          <w:lang w:eastAsia="en-US"/>
        </w:rPr>
      </w:pPr>
      <w:r>
        <w:rPr>
          <w:rFonts w:ascii="Wingdings" w:hAnsi="Wingdings" w:cs="Wingdings" w:eastAsia="Wingdings"/>
          <w:i/>
          <w:iCs/>
        </w:rPr>
        <w:t xml:space="preserve">?</w:t>
      </w:r>
      <w:r>
        <w:rPr>
          <w:i/>
          <w:iCs/>
          <w:lang w:val="kk-KZ"/>
        </w:rPr>
        <w:t xml:space="preserve"> М.</w:t>
      </w:r>
      <w:r>
        <w:rPr>
          <w:i/>
          <w:iCs/>
          <w:lang w:val="kk-KZ"/>
        </w:rPr>
        <w:t xml:space="preserve">Орынбай</w:t>
      </w:r>
      <w:r>
        <w:rPr>
          <w:i/>
          <w:iCs/>
          <w:lang w:val="kk-KZ"/>
        </w:rPr>
        <w:t xml:space="preserve"> </w:t>
      </w:r>
      <w:r>
        <w:rPr>
          <w:rFonts w:ascii="Wingdings 2" w:hAnsi="Wingdings 2" w:cs="Wingdings 2" w:eastAsia="Wingdings 2"/>
          <w:i/>
          <w:iCs/>
        </w:rPr>
        <w:t xml:space="preserve">'</w:t>
      </w:r>
      <w:r>
        <w:rPr>
          <w:i/>
          <w:iCs/>
          <w:lang w:val="kk-KZ"/>
        </w:rPr>
        <w:t xml:space="preserve"> 8(</w:t>
      </w:r>
      <w:r>
        <w:rPr>
          <w:i/>
          <w:lang w:val="kk-KZ"/>
        </w:rPr>
        <w:t xml:space="preserve">7172)740783 </w:t>
      </w:r>
      <w:r>
        <w:rPr>
          <w:rFonts w:ascii="Wingdings" w:hAnsi="Wingdings" w:cs="Wingdings" w:eastAsia="Wingdings"/>
          <w:i/>
          <w:lang w:val="kk-KZ"/>
        </w:rPr>
        <w:t xml:space="preserve">*</w:t>
      </w:r>
      <w:r>
        <w:rPr>
          <w:i/>
        </w:rPr>
        <w:t xml:space="preserve"> </w:t>
      </w:r>
      <w:hyperlink r:id="rId13" w:tooltip="mailto:m.kaliyakhmet@adilet.gov.kz" w:history="1">
        <w:r>
          <w:rPr>
            <w:i/>
            <w:color w:val="0000FF" w:themeColor="hyperlink"/>
            <w:u w:val="single"/>
            <w:lang w:val="en-US"/>
          </w:rPr>
          <w:t xml:space="preserve">m</w:t>
        </w:r>
        <w:r>
          <w:rPr>
            <w:i/>
            <w:color w:val="0000FF" w:themeColor="hyperlink"/>
            <w:u w:val="single"/>
          </w:rPr>
          <w:t xml:space="preserve">.</w:t>
        </w:r>
        <w:r>
          <w:rPr>
            <w:i/>
            <w:color w:val="0000FF" w:themeColor="hyperlink"/>
            <w:u w:val="single"/>
            <w:lang w:val="en-US"/>
          </w:rPr>
          <w:t xml:space="preserve">orynbai</w:t>
        </w:r>
        <w:r>
          <w:rPr>
            <w:i/>
            <w:color w:val="0000FF" w:themeColor="hyperlink"/>
            <w:u w:val="single"/>
            <w:lang w:val="en-US"/>
          </w:rPr>
          <w:t xml:space="preserve">t</w:t>
        </w:r>
        <w:r>
          <w:rPr>
            <w:i/>
            <w:color w:val="0000FF" w:themeColor="hyperlink"/>
            <w:u w:val="single"/>
          </w:rPr>
          <w:t xml:space="preserve">@</w:t>
        </w:r>
        <w:r>
          <w:rPr>
            <w:i/>
            <w:color w:val="0000FF" w:themeColor="hyperlink"/>
            <w:u w:val="single"/>
            <w:lang w:val="en-US"/>
          </w:rPr>
          <w:t xml:space="preserve">adilet</w:t>
        </w:r>
        <w:r>
          <w:rPr>
            <w:i/>
            <w:color w:val="0000FF" w:themeColor="hyperlink"/>
            <w:u w:val="single"/>
          </w:rPr>
          <w:t xml:space="preserve">.</w:t>
        </w:r>
        <w:r>
          <w:rPr>
            <w:i/>
            <w:color w:val="0000FF" w:themeColor="hyperlink"/>
            <w:u w:val="single"/>
            <w:lang w:val="en-US"/>
          </w:rPr>
          <w:t xml:space="preserve">gov</w:t>
        </w:r>
        <w:r>
          <w:rPr>
            <w:i/>
            <w:color w:val="0000FF" w:themeColor="hyperlink"/>
            <w:u w:val="single"/>
          </w:rPr>
          <w:t xml:space="preserve">.</w:t>
        </w:r>
        <w:r>
          <w:rPr>
            <w:i/>
            <w:color w:val="0000FF" w:themeColor="hyperlink"/>
            <w:u w:val="single"/>
            <w:lang w:val="en-US"/>
          </w:rPr>
          <w:t xml:space="preserve">kz</w:t>
        </w:r>
      </w:hyperlink>
      <w:r/>
      <w:r/>
    </w:p>
    <w:sectPr>
      <w:headerReference w:type="default" r:id="rId9"/>
      <w:headerReference w:type="even" r:id="rId10"/>
      <w:footnotePr/>
      <w:endnotePr/>
      <w:type w:val="nextPage"/>
      <w:pgSz w:w="11906" w:h="16838" w:orient="portrait"/>
      <w:pgMar w:top="1418" w:right="851" w:bottom="426" w:left="1418" w:header="851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GulimChe">
    <w:panose1 w:val="020B0509000000000000"/>
  </w:font>
  <w:font w:name="Calibri">
    <w:panose1 w:val="020F0502020204030204"/>
  </w:font>
  <w:font w:name="Tahoma">
    <w:panose1 w:val="020B0604030504040204"/>
  </w:font>
  <w:font w:name="Wingdings 2">
    <w:panose1 w:val="05040102010807070707"/>
  </w:font>
  <w:font w:name="Times New Roman">
    <w:panose1 w:val="02020603050405020304"/>
  </w:font>
  <w:font w:name="Arial">
    <w:panose1 w:val="020B060402020202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8"/>
      <w:rPr>
        <w:rStyle w:val="750"/>
      </w:rPr>
      <w:framePr w:wrap="around" w:vAnchor="text" w:hAnchor="margin" w:xAlign="center" w:y="1"/>
    </w:pPr>
    <w:r>
      <w:rPr>
        <w:rStyle w:val="750"/>
      </w:rPr>
      <w:fldChar w:fldCharType="begin"/>
    </w:r>
    <w:r>
      <w:rPr>
        <w:rStyle w:val="750"/>
      </w:rPr>
      <w:instrText xml:space="preserve">PAGE  </w:instrText>
    </w:r>
    <w:r>
      <w:rPr>
        <w:rStyle w:val="750"/>
      </w:rPr>
      <w:fldChar w:fldCharType="separate"/>
    </w:r>
    <w:r>
      <w:rPr>
        <w:rStyle w:val="750"/>
      </w:rPr>
      <w:t xml:space="preserve">2</w:t>
    </w:r>
    <w:r>
      <w:rPr>
        <w:rStyle w:val="750"/>
      </w:rPr>
      <w:fldChar w:fldCharType="end"/>
    </w:r>
    <w:r/>
  </w:p>
  <w:p>
    <w:pPr>
      <w:pStyle w:val="748"/>
    </w:pPr>
    <w:r/>
    <w:r/>
  </w:p>
  <w:p>
    <w:r>
      <mc:AlternateContent>
        <mc:Choice Requires="wpg">
          <w:drawing>
            <wp:anchor xmlns:wp="http://schemas.openxmlformats.org/drawingml/2006/wordprocessingDrawing" distT="0" distB="0" distL="114300" distR="114300" simplePos="0" relativeHeight="251658240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" name="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  <w:t xml:space="preserve">Комитет регистрационной службы и организации юридических услуг - Орынбай М. А</w:t>
                          </w:r>
                          <w:r/>
                        </w:p>
                      </w:txbxContent>
                    </wps:txbx>
                    <wps:bodyPr lIns="0" tIns="0" rIns="0" bIns="0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-251658240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</w:pP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Комитет регистрационной службы и организации юридических услуг - Орынбай М. А</w:t>
                    </w:r>
                    <w:r/>
                  </w:p>
                </w:txbxContent>
              </v:textbox>
            </v:shape>
          </w:pict>
        </mc:Fallback>
      </mc:AlternateConten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8"/>
      <w:rPr>
        <w:rStyle w:val="750"/>
      </w:rPr>
      <w:framePr w:wrap="around" w:vAnchor="text" w:hAnchor="margin" w:xAlign="center" w:y="1"/>
    </w:pPr>
    <w:r>
      <w:rPr>
        <w:rStyle w:val="750"/>
      </w:rPr>
      <w:fldChar w:fldCharType="begin"/>
    </w:r>
    <w:r>
      <w:rPr>
        <w:rStyle w:val="750"/>
      </w:rPr>
      <w:instrText xml:space="preserve">PAGE  </w:instrText>
    </w:r>
    <w:r>
      <w:rPr>
        <w:rStyle w:val="750"/>
      </w:rPr>
      <w:fldChar w:fldCharType="end"/>
    </w:r>
    <w:r/>
  </w:p>
  <w:p>
    <w:pPr>
      <w:pStyle w:val="748"/>
    </w:pPr>
    <w:r/>
    <w:r/>
  </w:p>
  <w:p>
    <w: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2" name="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  <w:t xml:space="preserve">Комитет регистрационной службы и организации юридических услуг - Орынбай М. А</w:t>
                          </w:r>
                          <w:r/>
                        </w:p>
                      </w:txbxContent>
                    </wps:txbx>
                    <wps:bodyPr lIns="0" tIns="0" rIns="0" bIns="0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" o:spt="1" style="position:absolute;mso-wrap-distance-left:9.0pt;mso-wrap-distance-top:0.0pt;mso-wrap-distance-right:9.0pt;mso-wrap-distance-bottom:0.0pt;z-index:-251659264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</w:pP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Комитет регистрационной службы и организации юридических услуг - Орынбай М. А</w:t>
                    </w:r>
                    <w:r/>
                  </w:p>
                </w:txbxContent>
              </v:textbox>
            </v:shape>
          </w:pict>
        </mc:Fallback>
      </mc:AlternateConten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742"/>
    <w:next w:val="742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744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742"/>
    <w:next w:val="742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744"/>
    <w:link w:val="13"/>
    <w:uiPriority w:val="9"/>
    <w:rPr>
      <w:rFonts w:ascii="Arial" w:hAnsi="Arial" w:cs="Arial" w:eastAsia="Arial"/>
      <w:sz w:val="34"/>
    </w:rPr>
  </w:style>
  <w:style w:type="character" w:styleId="16">
    <w:name w:val="Heading 3 Char"/>
    <w:basedOn w:val="744"/>
    <w:link w:val="743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742"/>
    <w:next w:val="742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744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742"/>
    <w:next w:val="742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744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742"/>
    <w:next w:val="742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744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742"/>
    <w:next w:val="742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744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742"/>
    <w:next w:val="742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744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742"/>
    <w:next w:val="742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744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742"/>
    <w:uiPriority w:val="34"/>
    <w:qFormat/>
    <w:pPr>
      <w:contextualSpacing/>
      <w:ind w:left="720"/>
    </w:pPr>
  </w:style>
  <w:style w:type="paragraph" w:styleId="32">
    <w:name w:val="Title"/>
    <w:basedOn w:val="742"/>
    <w:next w:val="742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744"/>
    <w:link w:val="32"/>
    <w:uiPriority w:val="10"/>
    <w:rPr>
      <w:sz w:val="48"/>
      <w:szCs w:val="48"/>
    </w:rPr>
  </w:style>
  <w:style w:type="paragraph" w:styleId="34">
    <w:name w:val="Subtitle"/>
    <w:basedOn w:val="742"/>
    <w:next w:val="742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744"/>
    <w:link w:val="34"/>
    <w:uiPriority w:val="11"/>
    <w:rPr>
      <w:sz w:val="24"/>
      <w:szCs w:val="24"/>
    </w:rPr>
  </w:style>
  <w:style w:type="paragraph" w:styleId="36">
    <w:name w:val="Quote"/>
    <w:basedOn w:val="742"/>
    <w:next w:val="742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742"/>
    <w:next w:val="742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744"/>
    <w:link w:val="748"/>
    <w:uiPriority w:val="99"/>
  </w:style>
  <w:style w:type="paragraph" w:styleId="42">
    <w:name w:val="Footer"/>
    <w:basedOn w:val="742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744"/>
    <w:link w:val="42"/>
    <w:uiPriority w:val="99"/>
  </w:style>
  <w:style w:type="paragraph" w:styleId="44">
    <w:name w:val="Caption"/>
    <w:basedOn w:val="742"/>
    <w:next w:val="74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7">
    <w:name w:val="Table Grid Light"/>
    <w:basedOn w:val="74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74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74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7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7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7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7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7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7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7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3">
    <w:name w:val="Lined - Accent 2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4">
    <w:name w:val="Lined - Accent 3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5">
    <w:name w:val="Lined - Accent 4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6">
    <w:name w:val="Lined - Accent 5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7">
    <w:name w:val="Lined - Accent 6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8">
    <w:name w:val="Bordered &amp; Lined - Accent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0">
    <w:name w:val="Bordered &amp; Lined - Accent 2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1">
    <w:name w:val="Bordered &amp; Lined - Accent 3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2">
    <w:name w:val="Bordered &amp; Lined - Accent 4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3">
    <w:name w:val="Bordered &amp; Lined - Accent 5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4">
    <w:name w:val="Bordered &amp; Lined - Accent 6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5">
    <w:name w:val="Bordered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3">
    <w:name w:val="footnote text"/>
    <w:basedOn w:val="742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744"/>
    <w:uiPriority w:val="99"/>
    <w:unhideWhenUsed/>
    <w:rPr>
      <w:vertAlign w:val="superscript"/>
    </w:rPr>
  </w:style>
  <w:style w:type="paragraph" w:styleId="176">
    <w:name w:val="endnote text"/>
    <w:basedOn w:val="742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744"/>
    <w:uiPriority w:val="99"/>
    <w:semiHidden/>
    <w:unhideWhenUsed/>
    <w:rPr>
      <w:vertAlign w:val="superscript"/>
    </w:rPr>
  </w:style>
  <w:style w:type="paragraph" w:styleId="179">
    <w:name w:val="toc 1"/>
    <w:basedOn w:val="742"/>
    <w:next w:val="742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742"/>
    <w:next w:val="742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742"/>
    <w:next w:val="742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742"/>
    <w:next w:val="742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742"/>
    <w:next w:val="742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742"/>
    <w:next w:val="742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742"/>
    <w:next w:val="742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742"/>
    <w:next w:val="742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742"/>
    <w:next w:val="742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742"/>
    <w:next w:val="742"/>
    <w:uiPriority w:val="99"/>
    <w:unhideWhenUsed/>
    <w:pPr>
      <w:spacing w:after="0" w:afterAutospacing="0"/>
    </w:pPr>
  </w:style>
  <w:style w:type="paragraph" w:styleId="742" w:default="1">
    <w:name w:val="Normal"/>
    <w:qFormat/>
    <w:pPr>
      <w:spacing w:after="0" w:line="240" w:lineRule="auto"/>
    </w:pPr>
    <w:rPr>
      <w:rFonts w:ascii="Times New Roman" w:hAnsi="Times New Roman" w:cs="Times New Roman" w:eastAsia="Times New Roman"/>
      <w:sz w:val="20"/>
      <w:szCs w:val="20"/>
      <w:lang w:eastAsia="ru-RU"/>
    </w:rPr>
  </w:style>
  <w:style w:type="paragraph" w:styleId="743">
    <w:name w:val="Heading 3"/>
    <w:basedOn w:val="742"/>
    <w:next w:val="742"/>
    <w:link w:val="756"/>
    <w:unhideWhenUsed/>
    <w:qFormat/>
    <w:pPr>
      <w:keepLines/>
      <w:keepNext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744" w:default="1">
    <w:name w:val="Default Paragraph Font"/>
    <w:uiPriority w:val="1"/>
    <w:semiHidden/>
    <w:unhideWhenUsed/>
  </w:style>
  <w:style w:type="table" w:styleId="74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46" w:default="1">
    <w:name w:val="No List"/>
    <w:uiPriority w:val="99"/>
    <w:semiHidden/>
    <w:unhideWhenUsed/>
  </w:style>
  <w:style w:type="table" w:styleId="747">
    <w:name w:val="Table Grid"/>
    <w:basedOn w:val="745"/>
    <w:pPr>
      <w:spacing w:after="0" w:line="240" w:lineRule="auto"/>
    </w:pPr>
    <w:rPr>
      <w:rFonts w:ascii="Times New Roman" w:hAnsi="Times New Roman" w:cs="Times New Roman" w:eastAsia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48">
    <w:name w:val="Header"/>
    <w:basedOn w:val="742"/>
    <w:link w:val="749"/>
    <w:pPr>
      <w:tabs>
        <w:tab w:val="center" w:pos="4677" w:leader="none"/>
        <w:tab w:val="right" w:pos="9355" w:leader="none"/>
      </w:tabs>
    </w:pPr>
    <w:rPr>
      <w:sz w:val="24"/>
      <w:szCs w:val="24"/>
      <w:lang w:eastAsia="ar-SA"/>
    </w:rPr>
  </w:style>
  <w:style w:type="character" w:styleId="749" w:customStyle="1">
    <w:name w:val="Верхний колонтитул Знак"/>
    <w:basedOn w:val="744"/>
    <w:link w:val="748"/>
    <w:rPr>
      <w:rFonts w:ascii="Times New Roman" w:hAnsi="Times New Roman" w:cs="Times New Roman" w:eastAsia="Times New Roman"/>
      <w:sz w:val="24"/>
      <w:szCs w:val="24"/>
      <w:lang w:eastAsia="ar-SA"/>
    </w:rPr>
  </w:style>
  <w:style w:type="character" w:styleId="750">
    <w:name w:val="page number"/>
    <w:basedOn w:val="744"/>
  </w:style>
  <w:style w:type="paragraph" w:styleId="751">
    <w:name w:val="Normal (Web)"/>
    <w:basedOn w:val="742"/>
    <w:link w:val="752"/>
    <w:uiPriority w:val="99"/>
    <w:qFormat/>
    <w:pPr>
      <w:spacing w:before="100" w:beforeAutospacing="1" w:after="100" w:afterAutospacing="1"/>
    </w:pPr>
    <w:rPr>
      <w:sz w:val="24"/>
      <w:szCs w:val="24"/>
    </w:rPr>
  </w:style>
  <w:style w:type="character" w:styleId="752" w:customStyle="1">
    <w:name w:val="Обычный (веб) Знак"/>
    <w:link w:val="751"/>
    <w:uiPriority w:val="99"/>
    <w:qFormat/>
    <w:rPr>
      <w:rFonts w:ascii="Times New Roman" w:hAnsi="Times New Roman" w:cs="Times New Roman" w:eastAsia="Times New Roman"/>
      <w:sz w:val="24"/>
      <w:szCs w:val="24"/>
      <w:lang w:eastAsia="ru-RU"/>
    </w:rPr>
  </w:style>
  <w:style w:type="paragraph" w:styleId="753">
    <w:name w:val="No Spacing"/>
    <w:link w:val="755"/>
    <w:uiPriority w:val="1"/>
    <w:qFormat/>
    <w:pPr>
      <w:spacing w:after="0" w:line="240" w:lineRule="auto"/>
    </w:pPr>
    <w:rPr>
      <w:rFonts w:ascii="Times New Roman" w:hAnsi="Times New Roman" w:cs="Times New Roman" w:eastAsia="Times New Roman"/>
      <w:sz w:val="20"/>
      <w:szCs w:val="20"/>
      <w:lang w:eastAsia="ru-RU"/>
    </w:rPr>
  </w:style>
  <w:style w:type="character" w:styleId="754">
    <w:name w:val="Hyperlink"/>
    <w:uiPriority w:val="99"/>
    <w:unhideWhenUsed/>
    <w:rPr>
      <w:color w:val="0000FF"/>
      <w:u w:val="single"/>
    </w:rPr>
  </w:style>
  <w:style w:type="character" w:styleId="755" w:customStyle="1">
    <w:name w:val="Без интервала Знак"/>
    <w:link w:val="753"/>
    <w:uiPriority w:val="99"/>
    <w:rPr>
      <w:rFonts w:ascii="Times New Roman" w:hAnsi="Times New Roman" w:cs="Times New Roman" w:eastAsia="Times New Roman"/>
      <w:sz w:val="20"/>
      <w:szCs w:val="20"/>
      <w:lang w:eastAsia="ru-RU"/>
    </w:rPr>
  </w:style>
  <w:style w:type="character" w:styleId="756" w:customStyle="1">
    <w:name w:val="Заголовок 3 Знак"/>
    <w:basedOn w:val="744"/>
    <w:link w:val="743"/>
    <w:rPr>
      <w:rFonts w:asciiTheme="majorHAnsi" w:hAnsiTheme="majorHAnsi" w:eastAsiaTheme="majorEastAsia" w:cstheme="majorBidi"/>
      <w:b/>
      <w:bCs/>
      <w:color w:val="4F81BD" w:themeColor="accent1"/>
      <w:sz w:val="20"/>
      <w:szCs w:val="20"/>
      <w:lang w:eastAsia="ru-RU"/>
    </w:rPr>
  </w:style>
  <w:style w:type="paragraph" w:styleId="757">
    <w:name w:val="Balloon Text"/>
    <w:basedOn w:val="742"/>
    <w:link w:val="758"/>
    <w:uiPriority w:val="99"/>
    <w:semiHidden/>
    <w:unhideWhenUsed/>
    <w:rPr>
      <w:rFonts w:ascii="Tahoma" w:hAnsi="Tahoma" w:cs="Tahoma"/>
      <w:sz w:val="16"/>
      <w:szCs w:val="16"/>
    </w:rPr>
  </w:style>
  <w:style w:type="character" w:styleId="758" w:customStyle="1">
    <w:name w:val="Текст выноски Знак"/>
    <w:basedOn w:val="744"/>
    <w:link w:val="757"/>
    <w:uiPriority w:val="99"/>
    <w:semiHidden/>
    <w:rPr>
      <w:rFonts w:ascii="Tahoma" w:hAnsi="Tahoma" w:cs="Tahoma" w:eastAsia="Times New Roman"/>
      <w:sz w:val="16"/>
      <w:szCs w:val="16"/>
      <w:lang w:eastAsia="ru-RU"/>
    </w:rPr>
  </w:style>
  <w:style w:type="character" w:styleId="759">
    <w:name w:val="Unresolved Mention"/>
    <w:basedOn w:val="744"/>
    <w:uiPriority w:val="99"/>
    <w:semiHidden/>
    <w:unhideWhenUsed/>
    <w:rPr>
      <w:color w:val="605E5C"/>
      <w:shd w:val="clear" w:color="auto" w:fill="e1dfdd"/>
    </w:rPr>
  </w:style>
  <w:style w:type="character" w:styleId="760" w:customStyle="1">
    <w:name w:val="docdata"/>
    <w:basedOn w:val="744"/>
  </w:style>
  <w:style w:type="paragraph" w:styleId="761">
    <w:name w:val="Body Text Indent"/>
    <w:basedOn w:val="742"/>
    <w:link w:val="762"/>
    <w:uiPriority w:val="99"/>
    <w:unhideWhenUsed/>
    <w:pPr>
      <w:ind w:firstLine="705"/>
      <w:jc w:val="both"/>
    </w:pPr>
    <w:rPr>
      <w:rFonts w:eastAsia="Calibri"/>
      <w:i/>
      <w:iCs/>
      <w:sz w:val="28"/>
      <w:szCs w:val="24"/>
    </w:rPr>
  </w:style>
  <w:style w:type="character" w:styleId="762" w:customStyle="1">
    <w:name w:val="Основной текст с отступом Знак"/>
    <w:basedOn w:val="744"/>
    <w:link w:val="761"/>
    <w:uiPriority w:val="99"/>
    <w:rPr>
      <w:rFonts w:ascii="Times New Roman" w:hAnsi="Times New Roman" w:cs="Times New Roman" w:eastAsia="Calibri"/>
      <w:i/>
      <w:iCs/>
      <w:sz w:val="28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Relationship Id="rId12" Type="http://schemas.openxmlformats.org/officeDocument/2006/relationships/image" Target="media/image1.png"/><Relationship Id="rId13" Type="http://schemas.openxmlformats.org/officeDocument/2006/relationships/hyperlink" Target="mailto:m.kaliyakhmet@adilet.gov.kz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
</file>

<file path=customXml/itemProps1.xml><?xml version="1.0" encoding="utf-8"?>
<ds:datastoreItem xmlns:ds="http://schemas.openxmlformats.org/officeDocument/2006/customXml" ds:itemID="{E18B3367-D243-4BC3-B291-B748A326D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>Hewlett-Packard Company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Рыспаева Акмор Назаркановна</dc:creator>
  <cp:lastModifiedBy>Орынбай Мадина Абдіразаққызы</cp:lastModifiedBy>
  <cp:revision>6</cp:revision>
  <dcterms:created xsi:type="dcterms:W3CDTF">2026-08-24T04:31:00Z</dcterms:created>
  <dcterms:modified xsi:type="dcterms:W3CDTF">2026-08-24T13:10:26Z</dcterms:modified>
</cp:coreProperties>
</file>