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pPr w:horzAnchor="margin" w:tblpXSpec="center" w:vertAnchor="page" w:tblpY="541" w:leftFromText="180" w:topFromText="0" w:rightFromText="180" w:bottomFromText="200"/>
        <w:tblW w:w="11486" w:type="dxa"/>
        <w:tblLook w:val="04A0" w:firstRow="1" w:lastRow="0" w:firstColumn="1" w:lastColumn="0" w:noHBand="0" w:noVBand="1"/>
      </w:tblPr>
      <w:tblGrid>
        <w:gridCol w:w="4508"/>
        <w:gridCol w:w="1934"/>
        <w:gridCol w:w="5044"/>
      </w:tblGrid>
      <w:tr>
        <w:trPr>
          <w:trHeight w:val="612"/>
        </w:trPr>
        <w:tc>
          <w:tcPr>
            <w:tcW w:w="4508" w:type="dxa"/>
            <w:textDirection w:val="lrTb"/>
            <w:noWrap w:val="false"/>
          </w:tcPr>
          <w:p>
            <w:pPr>
              <w:jc w:val="center"/>
              <w:rPr>
                <w:b/>
                <w:color w:val="4F81BD"/>
                <w:sz w:val="27"/>
                <w:szCs w:val="27"/>
                <w:lang w:eastAsia="en-US"/>
              </w:rPr>
            </w:pPr>
            <w:r>
              <w:rPr>
                <w:b/>
                <w:color w:val="4F81BD"/>
                <w:sz w:val="27"/>
                <w:szCs w:val="27"/>
                <w:lang w:eastAsia="en-US"/>
              </w:rPr>
            </w:r>
            <w:r/>
          </w:p>
          <w:p>
            <w:pPr>
              <w:jc w:val="center"/>
              <w:rPr>
                <w:b/>
                <w:color w:val="4F81BD"/>
                <w:sz w:val="26"/>
                <w:szCs w:val="26"/>
                <w:lang w:eastAsia="en-US"/>
              </w:rPr>
            </w:pPr>
            <w:r>
              <w:rPr>
                <w:b/>
                <w:color w:val="4F81BD"/>
                <w:sz w:val="26"/>
                <w:szCs w:val="26"/>
                <w:lang w:eastAsia="en-US"/>
              </w:rPr>
              <w:t xml:space="preserve">«ҚАЗАҚСТАН РЕСПУБЛИКАСЫ</w:t>
            </w:r>
            <w:r/>
          </w:p>
          <w:p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b/>
                <w:color w:val="4F81BD"/>
                <w:sz w:val="26"/>
                <w:szCs w:val="26"/>
                <w:lang w:eastAsia="en-US"/>
              </w:rPr>
              <w:t xml:space="preserve">  ӘДІЛЕТ МИНИСТРЛІГІ» МЕМЛЕКЕТТІК МЕКЕМЕСІ</w:t>
            </w:r>
            <w:r/>
          </w:p>
        </w:tc>
        <w:tc>
          <w:tcPr>
            <w:tcW w:w="1934" w:type="dxa"/>
            <w:textDirection w:val="lrTb"/>
            <w:noWrap w:val="false"/>
          </w:tcPr>
          <w:p>
            <w:pPr>
              <w:rPr>
                <w:sz w:val="28"/>
                <w:lang w:eastAsia="en-US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414020</wp:posOffset>
                      </wp:positionH>
                      <wp:positionV relativeFrom="paragraph">
                        <wp:posOffset>38100</wp:posOffset>
                      </wp:positionV>
                      <wp:extent cx="857250" cy="880745"/>
                      <wp:effectExtent l="0" t="0" r="0" b="0"/>
                      <wp:wrapThrough wrapText="bothSides">
                        <wp:wrapPolygon edited="1">
                          <wp:start x="6720" y="0"/>
                          <wp:lineTo x="0" y="3269"/>
                          <wp:lineTo x="0" y="17286"/>
                          <wp:lineTo x="4320" y="21024"/>
                          <wp:lineTo x="6720" y="21024"/>
                          <wp:lineTo x="14400" y="21024"/>
                          <wp:lineTo x="16800" y="21024"/>
                          <wp:lineTo x="21120" y="17286"/>
                          <wp:lineTo x="21120" y="3269"/>
                          <wp:lineTo x="14400" y="0"/>
                          <wp:lineTo x="6720" y="0"/>
                        </wp:wrapPolygon>
                      </wp:wrapThrough>
                      <wp:docPr id="3" name="Рисунок 6" descr="Описание: Описание: 800px-Emblem_of_Kazakhstan_3d.png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1" descr="Описание: Описание: 800px-Emblem_of_Kazakhstan_3d.pn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57250" cy="88074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position:absolute;mso-wrap-distance-left:9.0pt;mso-wrap-distance-top:0.0pt;mso-wrap-distance-right:9.0pt;mso-wrap-distance-bottom:0.0pt;z-index:251661312;o:allowoverlap:true;o:allowincell:true;mso-position-horizontal-relative:text;margin-left:32.6pt;mso-position-horizontal:absolute;mso-position-vertical-relative:text;margin-top:3.0pt;mso-position-vertical:absolute;width:67.5pt;height:69.3pt;" wrapcoords="31111 0 0 15134 0 80028 20000 97333 31111 97333 66667 97333 77778 97333 97778 80028 97778 15134 66667 0 31111 0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  <w:tc>
          <w:tcPr>
            <w:tcW w:w="5044" w:type="dxa"/>
            <w:textDirection w:val="lrTb"/>
            <w:noWrap w:val="false"/>
          </w:tcPr>
          <w:p>
            <w:pPr>
              <w:jc w:val="center"/>
              <w:rPr>
                <w:b/>
                <w:color w:val="4F81BD"/>
                <w:sz w:val="27"/>
                <w:szCs w:val="27"/>
                <w:lang w:eastAsia="en-US"/>
              </w:rPr>
            </w:pPr>
            <w:r>
              <w:rPr>
                <w:b/>
                <w:color w:val="4F81BD"/>
                <w:sz w:val="27"/>
                <w:szCs w:val="27"/>
                <w:lang w:eastAsia="en-US"/>
              </w:rPr>
            </w:r>
            <w:r/>
          </w:p>
          <w:p>
            <w:pPr>
              <w:jc w:val="center"/>
              <w:rPr>
                <w:b/>
                <w:color w:val="4F81BD"/>
                <w:sz w:val="26"/>
                <w:szCs w:val="26"/>
                <w:lang w:eastAsia="en-US"/>
              </w:rPr>
            </w:pPr>
            <w:r>
              <w:rPr>
                <w:b/>
                <w:color w:val="4F81BD"/>
                <w:sz w:val="26"/>
                <w:szCs w:val="26"/>
                <w:lang w:eastAsia="en-US"/>
              </w:rPr>
              <w:t xml:space="preserve">ГОСУДАРСТВЕННОЕ УЧРЕЖДЕНИЕ </w:t>
            </w:r>
            <w:r/>
          </w:p>
          <w:p>
            <w:pPr>
              <w:jc w:val="center"/>
              <w:rPr>
                <w:sz w:val="28"/>
                <w:lang w:eastAsia="en-US"/>
              </w:rPr>
            </w:pPr>
            <w:r>
              <w:rPr>
                <w:b/>
                <w:color w:val="4F81BD"/>
                <w:sz w:val="26"/>
                <w:szCs w:val="26"/>
                <w:lang w:eastAsia="en-US"/>
              </w:rPr>
              <w:t xml:space="preserve">«МИНИСТЕРСТВО ЮСТИЦИИ РЕСПУБЛИКИ КАЗАХСТАН»</w:t>
            </w:r>
            <w:r/>
          </w:p>
        </w:tc>
      </w:tr>
      <w:tr>
        <w:trPr>
          <w:trHeight w:val="166"/>
        </w:trPr>
        <w:tc>
          <w:tcPr>
            <w:gridSpan w:val="3"/>
            <w:tcW w:w="11486" w:type="dxa"/>
            <w:textDirection w:val="lrTb"/>
            <w:noWrap w:val="false"/>
          </w:tcPr>
          <w:p>
            <w:pPr>
              <w:jc w:val="center"/>
              <w:rPr>
                <w:b/>
                <w:color w:val="4F81BD"/>
                <w:sz w:val="28"/>
                <w:u w:val="single"/>
                <w:lang w:eastAsia="en-US"/>
              </w:rPr>
            </w:pPr>
            <w:r>
              <w:rPr>
                <w:b/>
                <w:color w:val="4F81BD"/>
                <w:sz w:val="24"/>
                <w:u w:val="single"/>
                <w:lang w:eastAsia="en-US"/>
              </w:rPr>
              <w:t xml:space="preserve">______________________________________________________________________________________</w:t>
            </w:r>
            <w:r/>
          </w:p>
        </w:tc>
      </w:tr>
    </w:tbl>
    <w:p>
      <w:pPr>
        <w:rPr>
          <w:b/>
          <w:color w:val="4F81BD"/>
          <w:sz w:val="28"/>
          <w:szCs w:val="28"/>
          <w:lang w:val="kk-KZ"/>
        </w:rPr>
      </w:pPr>
      <w:r>
        <w:rPr>
          <w:b/>
          <w:color w:val="4F81BD"/>
          <w:sz w:val="28"/>
          <w:szCs w:val="28"/>
          <w:lang w:val="kk-KZ"/>
        </w:rPr>
        <w:t xml:space="preserve"> </w:t>
      </w:r>
      <w:r/>
    </w:p>
    <w:p>
      <w:pPr>
        <w:rPr>
          <w:b/>
          <w:sz w:val="28"/>
          <w:szCs w:val="28"/>
          <w:u w:val="single"/>
          <w:lang w:val="kk-KZ"/>
        </w:rPr>
      </w:pPr>
      <w:r>
        <w:rPr>
          <w:b/>
          <w:color w:val="4F81BD"/>
          <w:sz w:val="28"/>
          <w:szCs w:val="28"/>
          <w:lang w:val="kk-KZ"/>
        </w:rPr>
        <w:t xml:space="preserve">БҰЙРЫҚ</w:t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  <w:t xml:space="preserve">ПРИКАЗ</w:t>
      </w:r>
      <w:r/>
    </w:p>
    <w:p>
      <w:pPr>
        <w:rPr>
          <w:sz w:val="28"/>
          <w:szCs w:val="28"/>
          <w:u w:val="single"/>
          <w:lang w:val="kk-KZ"/>
        </w:rPr>
      </w:pPr>
      <w:r>
        <w:rPr>
          <w:b/>
          <w:color w:val="4F81BD"/>
          <w:sz w:val="28"/>
          <w:szCs w:val="28"/>
          <w:u w:val="single"/>
          <w:lang w:val="kk-KZ"/>
        </w:rPr>
        <w:t xml:space="preserve">__________</w:t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lang w:val="kk-KZ"/>
        </w:rPr>
        <w:tab/>
      </w:r>
      <w:r>
        <w:rPr>
          <w:b/>
          <w:color w:val="4F81BD"/>
          <w:sz w:val="28"/>
          <w:szCs w:val="28"/>
          <w:u w:val="single"/>
          <w:lang w:val="kk-KZ"/>
        </w:rPr>
        <w:t xml:space="preserve">__________</w:t>
      </w:r>
      <w:r/>
    </w:p>
    <w:p>
      <w:pPr>
        <w:ind w:left="-284"/>
        <w:rPr>
          <w:b/>
          <w:sz w:val="28"/>
          <w:szCs w:val="28"/>
          <w:lang w:val="kk-KZ"/>
        </w:rPr>
      </w:pPr>
      <w:r>
        <w:rPr>
          <w:b/>
          <w:color w:val="0070C0"/>
          <w:lang w:val="kk-KZ"/>
        </w:rPr>
        <w:tab/>
        <w:t xml:space="preserve">Астана қ-сы   </w:t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</w:r>
      <w:r>
        <w:rPr>
          <w:b/>
          <w:color w:val="0070C0"/>
          <w:lang w:val="kk-KZ"/>
        </w:rPr>
        <w:tab/>
        <w:t xml:space="preserve">               г. Астана</w:t>
      </w:r>
      <w:r/>
    </w:p>
    <w:p>
      <w:pPr>
        <w:ind w:left="-28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</w:r>
      <w:r/>
    </w:p>
    <w:p>
      <w:pPr>
        <w:jc w:val="both"/>
        <w:rPr>
          <w:b/>
          <w:bCs/>
          <w:sz w:val="27"/>
          <w:szCs w:val="27"/>
          <w:lang w:val="kk-KZ"/>
        </w:rPr>
      </w:pPr>
      <w:r>
        <w:rPr>
          <w:b/>
          <w:bCs/>
          <w:sz w:val="27"/>
          <w:szCs w:val="27"/>
          <w:lang w:val="kk-KZ"/>
        </w:rPr>
        <w:t xml:space="preserve">Лицензияның қолданысын</w:t>
      </w:r>
      <w:r/>
    </w:p>
    <w:p>
      <w:pPr>
        <w:jc w:val="both"/>
        <w:rPr>
          <w:b/>
          <w:bCs/>
          <w:sz w:val="27"/>
          <w:szCs w:val="27"/>
          <w:lang w:val="kk-KZ"/>
        </w:rPr>
      </w:pPr>
      <w:r>
        <w:rPr>
          <w:b/>
          <w:bCs/>
          <w:sz w:val="27"/>
          <w:szCs w:val="27"/>
          <w:lang w:val="kk-KZ"/>
        </w:rPr>
        <w:t xml:space="preserve">тоқтата тұру туралы</w:t>
      </w:r>
      <w:r/>
    </w:p>
    <w:p>
      <w:pPr>
        <w:ind w:firstLine="567"/>
        <w:jc w:val="both"/>
        <w:rPr>
          <w:b/>
          <w:bCs/>
          <w:sz w:val="27"/>
          <w:szCs w:val="27"/>
          <w:lang w:val="kk-KZ"/>
        </w:rPr>
      </w:pPr>
      <w:r>
        <w:rPr>
          <w:b/>
          <w:bCs/>
          <w:sz w:val="27"/>
          <w:szCs w:val="27"/>
          <w:lang w:val="kk-KZ"/>
        </w:rPr>
      </w:r>
      <w:r/>
    </w:p>
    <w:p>
      <w:pPr>
        <w:ind w:firstLine="567"/>
        <w:jc w:val="both"/>
        <w:rPr>
          <w:b/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«Нотариат туралы» Қазақстан Республикасы Заңының 10-бабы </w:t>
      </w:r>
      <w:r>
        <w:rPr>
          <w:sz w:val="28"/>
          <w:szCs w:val="28"/>
          <w:lang w:val="kk-KZ"/>
        </w:rPr>
        <w:t xml:space="preserve">                                2-тармағының 5) тармақшас</w:t>
      </w:r>
      <w:r>
        <w:rPr>
          <w:sz w:val="28"/>
          <w:szCs w:val="28"/>
          <w:lang w:val="kk-KZ"/>
        </w:rPr>
        <w:t xml:space="preserve">ына сәйкес </w:t>
      </w:r>
      <w:r>
        <w:rPr>
          <w:b/>
          <w:bCs/>
          <w:sz w:val="28"/>
          <w:szCs w:val="28"/>
          <w:lang w:val="kk-KZ"/>
        </w:rPr>
        <w:t xml:space="preserve">БҰЙЫРАМЫН:</w:t>
      </w:r>
      <w:r/>
    </w:p>
    <w:p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Қазақстан Республикасы Әділет министрлігімен</w:t>
      </w:r>
      <w:r>
        <w:rPr>
          <w:sz w:val="28"/>
          <w:szCs w:val="28"/>
          <w:lang w:val="kk-KZ"/>
        </w:rPr>
        <w:t xml:space="preserve"> Гульнара Тоболовна Бердыгажиноваға</w:t>
      </w:r>
      <w:r>
        <w:rPr>
          <w:sz w:val="28"/>
          <w:szCs w:val="28"/>
          <w:lang w:val="kk-KZ"/>
        </w:rPr>
        <w:t xml:space="preserve"> нотариаттық</w:t>
      </w:r>
      <w:r>
        <w:rPr>
          <w:sz w:val="28"/>
          <w:szCs w:val="28"/>
          <w:lang w:val="kk-KZ"/>
        </w:rPr>
        <w:t xml:space="preserve"> қызметпен айналысу құқығына 2002</w:t>
      </w:r>
      <w:r>
        <w:rPr>
          <w:sz w:val="28"/>
          <w:szCs w:val="28"/>
          <w:lang w:val="kk-KZ"/>
        </w:rPr>
        <w:t xml:space="preserve"> жылғы </w:t>
      </w:r>
      <w:r>
        <w:rPr>
          <w:sz w:val="28"/>
          <w:szCs w:val="28"/>
          <w:lang w:val="kk-KZ"/>
        </w:rPr>
        <w:br/>
        <w:t xml:space="preserve">29 сәуірде берілген </w:t>
      </w:r>
      <w:r>
        <w:rPr>
          <w:sz w:val="28"/>
          <w:szCs w:val="28"/>
          <w:lang w:val="kk-KZ"/>
        </w:rPr>
        <w:t xml:space="preserve">№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0001026 </w:t>
      </w:r>
      <w:r>
        <w:rPr>
          <w:sz w:val="28"/>
          <w:szCs w:val="28"/>
          <w:lang w:val="kk-KZ"/>
        </w:rPr>
        <w:t xml:space="preserve">мемлекеттік лицензиясының қолданысы </w:t>
      </w:r>
      <w:r>
        <w:rPr>
          <w:sz w:val="28"/>
          <w:szCs w:val="28"/>
          <w:lang w:val="kk-KZ"/>
        </w:rPr>
        <w:t xml:space="preserve">алты</w:t>
      </w:r>
      <w:r>
        <w:rPr>
          <w:sz w:val="28"/>
          <w:szCs w:val="28"/>
          <w:lang w:val="kk-KZ"/>
        </w:rPr>
        <w:t xml:space="preserve"> ай мерзімге тоқтатыла тұрсын.</w:t>
      </w:r>
      <w:r/>
    </w:p>
    <w:p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</w:t>
      </w:r>
      <w:r>
        <w:rPr>
          <w:sz w:val="28"/>
          <w:szCs w:val="28"/>
          <w:lang w:val="kk-KZ"/>
        </w:rPr>
        <w:t xml:space="preserve">Астана қаласы</w:t>
      </w:r>
      <w:r>
        <w:rPr>
          <w:sz w:val="28"/>
          <w:szCs w:val="28"/>
          <w:lang w:val="kk-KZ"/>
        </w:rPr>
        <w:t xml:space="preserve"> Әділет департаменті:</w:t>
      </w:r>
      <w:r/>
    </w:p>
    <w:p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осы бұйрықты жекеше нотариус </w:t>
      </w:r>
      <w:r>
        <w:rPr>
          <w:sz w:val="28"/>
          <w:szCs w:val="28"/>
          <w:lang w:val="kk-KZ"/>
        </w:rPr>
        <w:t xml:space="preserve">Г.Т. Бердыгажинованың</w:t>
      </w:r>
      <w:r>
        <w:rPr>
          <w:sz w:val="28"/>
          <w:szCs w:val="28"/>
          <w:lang w:val="kk-KZ"/>
        </w:rPr>
        <w:t xml:space="preserve"> назарына жеткізсін;</w:t>
      </w:r>
      <w:r/>
    </w:p>
    <w:p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лицензияның қолданысын тоқтата тұру кезеңінде лицензиаттың </w:t>
      </w:r>
      <w:r>
        <w:rPr>
          <w:sz w:val="28"/>
          <w:szCs w:val="28"/>
          <w:lang w:val="kk-KZ"/>
        </w:rPr>
        <w:t xml:space="preserve">Бірыңғай нотариаттық цифрлық</w:t>
      </w:r>
      <w:r>
        <w:rPr>
          <w:sz w:val="28"/>
          <w:szCs w:val="28"/>
          <w:lang w:val="kk-KZ"/>
        </w:rPr>
        <w:t xml:space="preserve"> жүйесіне қолжетімділігін тоқтата тұру туралы шаралар қабылдасын; </w:t>
      </w:r>
      <w:r/>
    </w:p>
    <w:p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3) лицензияның қолданысын тоқтата тұру кезеңінде лицензиаттың мөрін уақытша сақтауға алсын;</w:t>
      </w:r>
      <w:r/>
    </w:p>
    <w:p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4) нотариаттық палатамен бірге жекеше нотариус </w:t>
      </w:r>
      <w:r>
        <w:rPr>
          <w:sz w:val="28"/>
          <w:szCs w:val="28"/>
          <w:lang w:val="kk-KZ"/>
        </w:rPr>
        <w:t xml:space="preserve">Г.Т. Бердыгажинованың</w:t>
      </w:r>
      <w:r>
        <w:rPr>
          <w:sz w:val="28"/>
          <w:szCs w:val="28"/>
          <w:lang w:val="kk-KZ"/>
        </w:rPr>
        <w:t xml:space="preserve"> іс жүргізуінде жатқан құжаттарын басқа нотариусқа беру бойынша шаралар қабылдасын.</w:t>
      </w:r>
      <w:r/>
    </w:p>
    <w:p>
      <w:pPr>
        <w:ind w:firstLine="567"/>
        <w:jc w:val="both"/>
        <w:rPr>
          <w:sz w:val="28"/>
          <w:szCs w:val="28"/>
          <w:lang w:val="kk-KZ"/>
        </w:rPr>
      </w:pPr>
      <w:r>
        <w:rPr>
          <w:rFonts w:eastAsia="GulimChe"/>
          <w:sz w:val="28"/>
          <w:szCs w:val="28"/>
          <w:lang w:val="kk-KZ" w:eastAsia="ko-KR"/>
        </w:rPr>
        <w:t xml:space="preserve">3. </w:t>
      </w:r>
      <w:r>
        <w:rPr>
          <w:sz w:val="28"/>
          <w:szCs w:val="28"/>
          <w:lang w:val="kk-KZ"/>
        </w:rPr>
        <w:t xml:space="preserve">Қазақстан Республикасы Әділет министрлігі Тіркеу қызметі және заңгерлік қызметтер көрсетуді ұйымдастыру комитетінің Нотариаттық қызметті ұйымдастыру және лицензиялау басқармасы:</w:t>
      </w:r>
      <w:r/>
    </w:p>
    <w:p>
      <w:pPr>
        <w:ind w:firstLine="567"/>
        <w:jc w:val="both"/>
        <w:rPr>
          <w:sz w:val="28"/>
          <w:szCs w:val="28"/>
          <w:lang w:val="kk-KZ" w:eastAsia="ko-KR"/>
        </w:rPr>
      </w:pPr>
      <w:r>
        <w:rPr>
          <w:rFonts w:eastAsia="GulimChe"/>
          <w:sz w:val="28"/>
          <w:szCs w:val="28"/>
          <w:lang w:val="kk-KZ" w:eastAsia="ko-KR"/>
        </w:rPr>
        <w:t xml:space="preserve">1) осы бұйрықты Қазақстан Республикасы Әділет министрлігінің интернет-ресурсында орналастыру жөнінде шаралар қабылдасын</w:t>
      </w:r>
      <w:r>
        <w:rPr>
          <w:sz w:val="28"/>
          <w:szCs w:val="28"/>
          <w:lang w:val="kk-KZ" w:eastAsia="ko-KR"/>
        </w:rPr>
        <w:t xml:space="preserve">;</w:t>
      </w:r>
      <w:r/>
    </w:p>
    <w:p>
      <w:pPr>
        <w:ind w:firstLine="567"/>
        <w:jc w:val="both"/>
        <w:rPr>
          <w:rFonts w:eastAsia="GulimChe"/>
          <w:sz w:val="28"/>
          <w:szCs w:val="28"/>
          <w:lang w:val="kk-KZ" w:eastAsia="ko-KR"/>
        </w:rPr>
      </w:pPr>
      <w:r>
        <w:rPr>
          <w:rFonts w:eastAsia="GulimChe"/>
          <w:sz w:val="28"/>
          <w:szCs w:val="28"/>
          <w:lang w:val="kk-KZ" w:eastAsia="ko-KR"/>
        </w:rPr>
        <w:t xml:space="preserve">2) нотариаттық қызметпен айналысу құқығына лицензиялардың Мемлекеттік тiзiлiмiне аталған нотариустың </w:t>
      </w:r>
      <w:r>
        <w:rPr>
          <w:sz w:val="28"/>
          <w:szCs w:val="28"/>
          <w:lang w:val="kk-KZ" w:eastAsia="ko-KR"/>
        </w:rPr>
        <w:t xml:space="preserve">лицензиясының қолданысын тоқтата тұру </w:t>
      </w:r>
      <w:r>
        <w:rPr>
          <w:rFonts w:eastAsia="GulimChe"/>
          <w:sz w:val="28"/>
          <w:szCs w:val="28"/>
          <w:lang w:val="kk-KZ" w:eastAsia="ko-KR"/>
        </w:rPr>
        <w:t xml:space="preserve">туралы </w:t>
      </w:r>
      <w:r>
        <w:rPr>
          <w:sz w:val="28"/>
          <w:szCs w:val="28"/>
          <w:lang w:val="kk-KZ" w:eastAsia="ko-KR"/>
        </w:rPr>
        <w:t xml:space="preserve">жазбаны енгізсін.</w:t>
      </w:r>
      <w:r/>
    </w:p>
    <w:p>
      <w:pPr>
        <w:ind w:firstLine="567"/>
        <w:jc w:val="both"/>
        <w:rPr>
          <w:rFonts w:eastAsia="GulimChe"/>
          <w:sz w:val="28"/>
          <w:szCs w:val="28"/>
          <w:lang w:val="kk-KZ" w:eastAsia="ko-KR"/>
        </w:rPr>
      </w:pPr>
      <w:r>
        <w:rPr>
          <w:rFonts w:eastAsia="GulimChe"/>
          <w:sz w:val="28"/>
          <w:szCs w:val="28"/>
          <w:lang w:val="kk-KZ" w:eastAsia="ko-KR"/>
        </w:rPr>
        <w:t xml:space="preserve">4. </w:t>
      </w:r>
      <w:r>
        <w:rPr>
          <w:sz w:val="28"/>
          <w:szCs w:val="28"/>
          <w:lang w:val="kk-KZ"/>
        </w:rPr>
        <w:t xml:space="preserve">Осы бұйрықтың орындалуын бақылау Қазақстан Республикасы Әділет министрлігінің </w:t>
      </w:r>
      <w:r>
        <w:rPr>
          <w:sz w:val="28"/>
          <w:szCs w:val="28"/>
          <w:lang w:val="kk-KZ"/>
        </w:rPr>
        <w:t xml:space="preserve">Тіркеу қызметі және заң қызметін ұйымдастыру комитеті төрағасы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В.К.Калимоваға </w:t>
      </w:r>
      <w:r>
        <w:rPr>
          <w:sz w:val="28"/>
          <w:szCs w:val="28"/>
          <w:lang w:val="kk-KZ"/>
        </w:rPr>
        <w:t xml:space="preserve">жүктелсін.</w:t>
      </w:r>
      <w:r/>
    </w:p>
    <w:p>
      <w:pPr>
        <w:ind w:firstLine="567"/>
        <w:jc w:val="both"/>
        <w:rPr>
          <w:rFonts w:eastAsia="GulimChe"/>
          <w:i/>
          <w:szCs w:val="28"/>
          <w:lang w:val="kk-KZ" w:eastAsia="ko-KR"/>
        </w:rPr>
      </w:pPr>
      <w:r>
        <w:rPr>
          <w:rFonts w:eastAsia="GulimChe"/>
          <w:sz w:val="28"/>
          <w:szCs w:val="28"/>
          <w:lang w:val="kk-KZ" w:eastAsia="ko-KR"/>
        </w:rPr>
        <w:t xml:space="preserve">5. </w:t>
      </w:r>
      <w:r>
        <w:rPr>
          <w:rFonts w:eastAsia="GulimChe"/>
          <w:sz w:val="28"/>
          <w:szCs w:val="28"/>
          <w:lang w:val="kk-KZ" w:eastAsia="ko-KR"/>
        </w:rPr>
        <w:t xml:space="preserve">Осы бұйрық оның мазмұны нотариустың назарына жеткізілген күннен бастап қолданысқа енгізіледі.</w:t>
      </w:r>
      <w:r/>
    </w:p>
    <w:p>
      <w:pPr>
        <w:ind w:firstLine="567"/>
        <w:jc w:val="both"/>
        <w:rPr>
          <w:rFonts w:eastAsia="GulimChe"/>
          <w:i/>
          <w:szCs w:val="28"/>
          <w:lang w:val="kk-KZ" w:eastAsia="ko-KR"/>
        </w:rPr>
      </w:pPr>
      <w:r>
        <w:rPr>
          <w:rFonts w:eastAsia="GulimChe"/>
          <w:i/>
          <w:szCs w:val="28"/>
          <w:lang w:val="kk-KZ" w:eastAsia="ko-KR"/>
        </w:rPr>
        <w:t xml:space="preserve">Негізі: </w:t>
      </w:r>
      <w:r>
        <w:rPr>
          <w:rFonts w:eastAsia="GulimChe"/>
          <w:i/>
          <w:szCs w:val="28"/>
          <w:lang w:val="kk-KZ" w:eastAsia="ko-KR"/>
        </w:rPr>
        <w:t xml:space="preserve">Астана қаласы</w:t>
      </w:r>
      <w:r>
        <w:rPr>
          <w:rFonts w:eastAsia="GulimChe"/>
          <w:i/>
          <w:szCs w:val="28"/>
          <w:lang w:val="kk-KZ" w:eastAsia="ko-KR"/>
        </w:rPr>
        <w:t xml:space="preserve"> Әділет департаментінің </w:t>
      </w:r>
      <w:r>
        <w:rPr>
          <w:rFonts w:eastAsia="GulimChe"/>
          <w:i/>
          <w:szCs w:val="28"/>
          <w:lang w:val="kk-KZ" w:eastAsia="ko-KR"/>
        </w:rPr>
        <w:t xml:space="preserve">2026 жылғы 28 шілдедегі </w:t>
      </w:r>
      <w:r>
        <w:rPr>
          <w:rFonts w:eastAsia="GulimChe"/>
          <w:i/>
          <w:szCs w:val="28"/>
          <w:lang w:val="kk-KZ" w:eastAsia="ko-KR"/>
        </w:rPr>
        <w:br/>
        <w:t xml:space="preserve">№</w:t>
      </w:r>
      <w:r>
        <w:rPr>
          <w:rFonts w:eastAsia="GulimChe"/>
          <w:i/>
          <w:szCs w:val="28"/>
          <w:lang w:val="kk-KZ" w:eastAsia="ko-KR"/>
        </w:rPr>
        <w:t xml:space="preserve"> </w:t>
      </w:r>
      <w:r>
        <w:rPr>
          <w:rFonts w:eastAsia="GulimChe"/>
          <w:i/>
          <w:szCs w:val="28"/>
          <w:lang w:val="kk-KZ" w:eastAsia="ko-KR"/>
        </w:rPr>
        <w:t xml:space="preserve">1-1/25398-вн </w:t>
      </w:r>
      <w:r>
        <w:rPr>
          <w:rFonts w:eastAsia="GulimChe"/>
          <w:i/>
          <w:szCs w:val="28"/>
          <w:lang w:val="kk-KZ" w:eastAsia="ko-KR"/>
        </w:rPr>
        <w:t xml:space="preserve">ұсынысы</w:t>
      </w:r>
      <w:r>
        <w:rPr>
          <w:i/>
          <w:lang w:val="kk-KZ"/>
        </w:rPr>
        <w:t xml:space="preserve">, Астана</w:t>
      </w:r>
      <w:r>
        <w:rPr>
          <w:lang w:val="kk-KZ"/>
        </w:rPr>
        <w:t xml:space="preserve"> </w:t>
      </w:r>
      <w:r>
        <w:rPr>
          <w:rFonts w:eastAsia="GulimChe"/>
          <w:i/>
          <w:szCs w:val="28"/>
          <w:lang w:val="kk-KZ" w:eastAsia="ko-KR"/>
        </w:rPr>
        <w:t xml:space="preserve">қаласының </w:t>
      </w:r>
      <w:r>
        <w:rPr>
          <w:rFonts w:eastAsia="GulimChe"/>
          <w:i/>
          <w:szCs w:val="28"/>
          <w:lang w:val="kk-KZ" w:eastAsia="ko-KR"/>
        </w:rPr>
        <w:t xml:space="preserve">азаматтық</w:t>
      </w:r>
      <w:r>
        <w:rPr>
          <w:rFonts w:eastAsia="GulimChe"/>
          <w:i/>
          <w:szCs w:val="28"/>
          <w:lang w:val="kk-KZ" w:eastAsia="ko-KR"/>
        </w:rPr>
        <w:t xml:space="preserve"> істер жөніндегі</w:t>
      </w:r>
      <w:r>
        <w:rPr>
          <w:rFonts w:eastAsia="GulimChe"/>
          <w:i/>
          <w:szCs w:val="28"/>
          <w:lang w:val="kk-KZ" w:eastAsia="ko-KR"/>
        </w:rPr>
        <w:t xml:space="preserve"> </w:t>
      </w:r>
      <w:r>
        <w:rPr>
          <w:rFonts w:eastAsia="GulimChe"/>
          <w:i/>
          <w:szCs w:val="28"/>
          <w:lang w:val="kk-KZ" w:eastAsia="ko-KR"/>
        </w:rPr>
        <w:t xml:space="preserve">ауданаралық сотының 2026 жылғы </w:t>
      </w:r>
      <w:r>
        <w:rPr>
          <w:rFonts w:eastAsia="GulimChe"/>
          <w:i/>
          <w:szCs w:val="28"/>
          <w:lang w:val="kk-KZ" w:eastAsia="ko-KR"/>
        </w:rPr>
        <w:br/>
      </w:r>
      <w:r>
        <w:rPr>
          <w:rFonts w:eastAsia="GulimChe"/>
          <w:i/>
          <w:szCs w:val="28"/>
          <w:lang w:val="kk-KZ" w:eastAsia="ko-KR"/>
        </w:rPr>
        <w:t xml:space="preserve">6</w:t>
      </w:r>
      <w:r>
        <w:rPr>
          <w:rFonts w:eastAsia="GulimChe"/>
          <w:i/>
          <w:szCs w:val="28"/>
          <w:lang w:val="kk-KZ" w:eastAsia="ko-KR"/>
        </w:rPr>
        <w:t xml:space="preserve"> </w:t>
      </w:r>
      <w:r>
        <w:rPr>
          <w:rFonts w:eastAsia="GulimChe"/>
          <w:i/>
          <w:szCs w:val="28"/>
          <w:lang w:val="kk-KZ" w:eastAsia="ko-KR"/>
        </w:rPr>
        <w:t xml:space="preserve">мамырдағы</w:t>
      </w:r>
      <w:r>
        <w:rPr>
          <w:rFonts w:eastAsia="GulimChe"/>
          <w:i/>
          <w:szCs w:val="28"/>
          <w:lang w:val="kk-KZ" w:eastAsia="ko-KR"/>
        </w:rPr>
        <w:t xml:space="preserve"> жеке ұйғарымы.</w:t>
      </w:r>
      <w:r/>
    </w:p>
    <w:p>
      <w:pPr>
        <w:ind w:firstLine="567"/>
        <w:jc w:val="both"/>
        <w:rPr>
          <w:rFonts w:eastAsia="GulimChe" w:cstheme="minorBidi"/>
          <w:i/>
          <w:sz w:val="24"/>
          <w:szCs w:val="28"/>
          <w:lang w:val="kk-KZ" w:eastAsia="ko-KR"/>
        </w:rPr>
      </w:pPr>
      <w:r>
        <w:rPr>
          <w:rFonts w:eastAsia="GulimChe" w:cstheme="minorBidi"/>
          <w:i/>
          <w:sz w:val="24"/>
          <w:szCs w:val="28"/>
          <w:lang w:val="kk-KZ" w:eastAsia="ko-KR"/>
        </w:rPr>
      </w:r>
      <w:r/>
    </w:p>
    <w:p>
      <w:pPr>
        <w:ind w:firstLine="708"/>
        <w:jc w:val="both"/>
        <w:rPr>
          <w:rFonts w:eastAsiaTheme="minorHAnsi"/>
          <w:b/>
          <w:sz w:val="28"/>
          <w:szCs w:val="28"/>
          <w:lang w:val="kk-KZ" w:eastAsia="en-US"/>
        </w:rPr>
      </w:pPr>
      <w:r>
        <w:rPr>
          <w:rFonts w:eastAsiaTheme="minorHAnsi"/>
          <w:b/>
          <w:bCs/>
          <w:color w:val="000000" w:themeColor="text1"/>
          <w:sz w:val="28"/>
          <w:szCs w:val="28"/>
          <w:lang w:val="kk-KZ" w:eastAsia="en-US"/>
        </w:rPr>
        <w:t xml:space="preserve">Вице-министр</w:t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  <w:t xml:space="preserve">  Б. Жақселекова</w:t>
      </w:r>
      <w:r/>
    </w:p>
    <w:p>
      <w:pPr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</w:r>
      <w:r/>
    </w:p>
    <w:p>
      <w:pPr>
        <w:rPr>
          <w:b/>
          <w:color w:val="000000"/>
          <w:sz w:val="16"/>
          <w:szCs w:val="16"/>
          <w:lang w:eastAsia="en-US"/>
        </w:rPr>
      </w:pPr>
      <w:r/>
      <w:bookmarkStart w:id="0" w:name="_GoBack"/>
      <w:r/>
      <w:bookmarkEnd w:id="0"/>
      <w:r>
        <w:rPr>
          <w:rFonts w:ascii="Wingdings" w:hAnsi="Wingdings" w:cs="Wingdings" w:eastAsia="Wingdings"/>
          <w:i/>
          <w:iCs/>
          <w:sz w:val="16"/>
          <w:szCs w:val="16"/>
        </w:rPr>
        <w:t xml:space="preserve">?</w:t>
      </w:r>
      <w:r>
        <w:rPr>
          <w:i/>
          <w:iCs/>
          <w:sz w:val="16"/>
          <w:szCs w:val="16"/>
          <w:lang w:val="kk-KZ"/>
        </w:rPr>
        <w:t xml:space="preserve"> М.</w:t>
      </w:r>
      <w:r>
        <w:rPr>
          <w:i/>
          <w:iCs/>
          <w:sz w:val="16"/>
          <w:szCs w:val="16"/>
          <w:lang w:val="kk-KZ"/>
        </w:rPr>
        <w:t xml:space="preserve">Орынбай</w:t>
      </w:r>
      <w:r>
        <w:rPr>
          <w:i/>
          <w:iCs/>
          <w:sz w:val="16"/>
          <w:szCs w:val="16"/>
          <w:lang w:val="kk-KZ"/>
        </w:rPr>
        <w:t xml:space="preserve"> </w:t>
      </w:r>
      <w:r>
        <w:rPr>
          <w:rFonts w:ascii="Wingdings 2" w:hAnsi="Wingdings 2" w:cs="Wingdings 2" w:eastAsia="Wingdings 2"/>
          <w:i/>
          <w:iCs/>
          <w:sz w:val="16"/>
          <w:szCs w:val="16"/>
        </w:rPr>
        <w:t xml:space="preserve">'</w:t>
      </w:r>
      <w:r>
        <w:rPr>
          <w:i/>
          <w:iCs/>
          <w:sz w:val="16"/>
          <w:szCs w:val="16"/>
          <w:lang w:val="kk-KZ"/>
        </w:rPr>
        <w:t xml:space="preserve"> 8(</w:t>
      </w:r>
      <w:r>
        <w:rPr>
          <w:i/>
          <w:sz w:val="16"/>
          <w:szCs w:val="16"/>
          <w:lang w:val="kk-KZ"/>
        </w:rPr>
        <w:t xml:space="preserve">7172)740783 </w:t>
      </w:r>
      <w:r>
        <w:rPr>
          <w:rFonts w:ascii="Wingdings" w:hAnsi="Wingdings" w:cs="Wingdings" w:eastAsia="Wingdings"/>
          <w:i/>
          <w:sz w:val="16"/>
          <w:szCs w:val="16"/>
          <w:lang w:val="kk-KZ"/>
        </w:rPr>
        <w:t xml:space="preserve">*</w:t>
      </w:r>
      <w:r>
        <w:rPr>
          <w:i/>
          <w:sz w:val="16"/>
          <w:szCs w:val="16"/>
        </w:rPr>
        <w:t xml:space="preserve"> </w:t>
      </w:r>
      <w:hyperlink r:id="rId13" w:tooltip="mailto:m.kaliyakhmet@adilet.gov.kz" w:history="1">
        <w:r>
          <w:rPr>
            <w:i/>
            <w:color w:val="0000FF" w:themeColor="hyperlink"/>
            <w:sz w:val="16"/>
            <w:szCs w:val="16"/>
            <w:u w:val="single"/>
            <w:lang w:val="en-US"/>
          </w:rPr>
          <w:t xml:space="preserve">m</w:t>
        </w:r>
        <w:r>
          <w:rPr>
            <w:i/>
            <w:color w:val="0000FF" w:themeColor="hyperlink"/>
            <w:sz w:val="16"/>
            <w:szCs w:val="16"/>
            <w:u w:val="single"/>
          </w:rPr>
          <w:t xml:space="preserve">.</w:t>
        </w:r>
        <w:r>
          <w:rPr>
            <w:i/>
            <w:color w:val="0000FF" w:themeColor="hyperlink"/>
            <w:sz w:val="16"/>
            <w:szCs w:val="16"/>
            <w:u w:val="single"/>
            <w:lang w:val="en-US"/>
          </w:rPr>
          <w:t xml:space="preserve">orynbai</w:t>
        </w:r>
        <w:r>
          <w:rPr>
            <w:i/>
            <w:color w:val="0000FF" w:themeColor="hyperlink"/>
            <w:sz w:val="16"/>
            <w:szCs w:val="16"/>
            <w:u w:val="single"/>
            <w:lang w:val="en-US"/>
          </w:rPr>
          <w:t xml:space="preserve">t</w:t>
        </w:r>
        <w:r>
          <w:rPr>
            <w:i/>
            <w:color w:val="0000FF" w:themeColor="hyperlink"/>
            <w:sz w:val="16"/>
            <w:szCs w:val="16"/>
            <w:u w:val="single"/>
          </w:rPr>
          <w:t xml:space="preserve">@</w:t>
        </w:r>
        <w:r>
          <w:rPr>
            <w:i/>
            <w:color w:val="0000FF" w:themeColor="hyperlink"/>
            <w:sz w:val="16"/>
            <w:szCs w:val="16"/>
            <w:u w:val="single"/>
            <w:lang w:val="en-US"/>
          </w:rPr>
          <w:t xml:space="preserve">adilet</w:t>
        </w:r>
        <w:r>
          <w:rPr>
            <w:i/>
            <w:color w:val="0000FF" w:themeColor="hyperlink"/>
            <w:sz w:val="16"/>
            <w:szCs w:val="16"/>
            <w:u w:val="single"/>
          </w:rPr>
          <w:t xml:space="preserve">.</w:t>
        </w:r>
        <w:r>
          <w:rPr>
            <w:i/>
            <w:color w:val="0000FF" w:themeColor="hyperlink"/>
            <w:sz w:val="16"/>
            <w:szCs w:val="16"/>
            <w:u w:val="single"/>
            <w:lang w:val="en-US"/>
          </w:rPr>
          <w:t xml:space="preserve">gov</w:t>
        </w:r>
        <w:r>
          <w:rPr>
            <w:i/>
            <w:color w:val="0000FF" w:themeColor="hyperlink"/>
            <w:sz w:val="16"/>
            <w:szCs w:val="16"/>
            <w:u w:val="single"/>
          </w:rPr>
          <w:t xml:space="preserve">.</w:t>
        </w:r>
        <w:r>
          <w:rPr>
            <w:i/>
            <w:color w:val="0000FF" w:themeColor="hyperlink"/>
            <w:sz w:val="16"/>
            <w:szCs w:val="16"/>
            <w:u w:val="single"/>
            <w:lang w:val="en-US"/>
          </w:rPr>
          <w:t xml:space="preserve">kz</w:t>
        </w:r>
      </w:hyperlink>
      <w:r/>
      <w:r/>
    </w:p>
    <w:sectPr>
      <w:headerReference w:type="default" r:id="rId9"/>
      <w:headerReference w:type="even" r:id="rId10"/>
      <w:footnotePr/>
      <w:endnotePr/>
      <w:type w:val="nextPage"/>
      <w:pgSz w:w="11906" w:h="16838" w:orient="portrait"/>
      <w:pgMar w:top="1418" w:right="851" w:bottom="426" w:left="1418" w:header="851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GulimChe">
    <w:panose1 w:val="020B0509000000000000"/>
  </w:font>
  <w:font w:name="Tahoma">
    <w:panose1 w:val="020B0604030504040204"/>
  </w:font>
  <w:font w:name="Wingdings 2">
    <w:panose1 w:val="05040102010807070707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8"/>
      <w:rPr>
        <w:rStyle w:val="750"/>
      </w:rPr>
      <w:framePr w:wrap="around" w:vAnchor="text" w:hAnchor="margin" w:xAlign="center" w:y="1"/>
    </w:pPr>
    <w:r>
      <w:rPr>
        <w:rStyle w:val="750"/>
      </w:rPr>
      <w:fldChar w:fldCharType="begin"/>
    </w:r>
    <w:r>
      <w:rPr>
        <w:rStyle w:val="750"/>
      </w:rPr>
      <w:instrText xml:space="preserve">PAGE  </w:instrText>
    </w:r>
    <w:r>
      <w:rPr>
        <w:rStyle w:val="750"/>
      </w:rPr>
      <w:fldChar w:fldCharType="separate"/>
    </w:r>
    <w:r>
      <w:rPr>
        <w:rStyle w:val="750"/>
      </w:rPr>
      <w:t xml:space="preserve">2</w:t>
    </w:r>
    <w:r>
      <w:rPr>
        <w:rStyle w:val="750"/>
      </w:rPr>
      <w:fldChar w:fldCharType="end"/>
    </w:r>
    <w:r/>
  </w:p>
  <w:p>
    <w:pPr>
      <w:pStyle w:val="748"/>
    </w:pPr>
    <w:r/>
    <w:r/>
  </w:p>
  <w:p>
    <w:r>
      <mc:AlternateContent>
        <mc:Choice Requires="wpg">
          <w:drawing>
            <wp:anchor xmlns:wp="http://schemas.openxmlformats.org/drawingml/2006/wordprocessingDrawing" distT="0" distB="0" distL="114300" distR="114300" simplePos="0" relativeHeight="251658240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1" name="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Times New Roman" w:hAnsi="Times New Roman"/>
                              <w:sz w:val="2"/>
                              <w:szCs w:val="2"/>
                              <w14:textOutline w14:w="12700">
                                <w14:noFill/>
                              </w14:textOutline>
                              <w14:textFill>
                                <w14:solidFill>
                                  <w14:srgbClr w14:val="C0C0C0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"/>
                              <w:szCs w:val="2"/>
                              <w14:textOutline w14:w="12700">
                                <w14:noFill/>
                              </w14:textOutline>
                              <w14:textFill>
                                <w14:solidFill>
                                  <w14:srgbClr w14:val="C0C0C0"/>
                                </w14:solidFill>
                              </w14:textFill>
                            </w:rPr>
                            <w:t xml:space="preserve">Комитет регистрационной службы и организации юридических услуг - Орынбай М. А</w:t>
                          </w:r>
                          <w:r/>
                        </w:p>
                      </w:txbxContent>
                    </wps:txbx>
                    <wps:bodyPr lIns="0" tIns="0" rIns="0" bIns="0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-251658240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</w:pPr>
                    <w:r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  <w:t xml:space="preserve">Комитет регистрационной службы и организации юридических услуг - Орынбай М. А</w:t>
                    </w:r>
                    <w:r/>
                  </w:p>
                </w:txbxContent>
              </v:textbox>
            </v:shape>
          </w:pict>
        </mc:Fallback>
      </mc:AlternateConten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8"/>
      <w:rPr>
        <w:rStyle w:val="750"/>
      </w:rPr>
      <w:framePr w:wrap="around" w:vAnchor="text" w:hAnchor="margin" w:xAlign="center" w:y="1"/>
    </w:pPr>
    <w:r>
      <w:rPr>
        <w:rStyle w:val="750"/>
      </w:rPr>
      <w:fldChar w:fldCharType="begin"/>
    </w:r>
    <w:r>
      <w:rPr>
        <w:rStyle w:val="750"/>
      </w:rPr>
      <w:instrText xml:space="preserve">PAGE  </w:instrText>
    </w:r>
    <w:r>
      <w:rPr>
        <w:rStyle w:val="750"/>
      </w:rPr>
      <w:fldChar w:fldCharType="end"/>
    </w:r>
    <w:r/>
  </w:p>
  <w:p>
    <w:pPr>
      <w:pStyle w:val="748"/>
    </w:pPr>
    <w:r/>
    <w:r/>
  </w:p>
  <w:p>
    <w: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2" name="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Times New Roman" w:hAnsi="Times New Roman"/>
                              <w:sz w:val="2"/>
                              <w:szCs w:val="2"/>
                              <w14:textOutline w14:w="12700">
                                <w14:noFill/>
                              </w14:textOutline>
                              <w14:textFill>
                                <w14:solidFill>
                                  <w14:srgbClr w14:val="C0C0C0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"/>
                              <w:szCs w:val="2"/>
                              <w14:textOutline w14:w="12700">
                                <w14:noFill/>
                              </w14:textOutline>
                              <w14:textFill>
                                <w14:solidFill>
                                  <w14:srgbClr w14:val="C0C0C0"/>
                                </w14:solidFill>
                              </w14:textFill>
                            </w:rPr>
                            <w:t xml:space="preserve">Комитет регистрационной службы и организации юридических услуг - Орынбай М. А</w:t>
                          </w:r>
                          <w:r/>
                        </w:p>
                      </w:txbxContent>
                    </wps:txbx>
                    <wps:bodyPr lIns="0" tIns="0" rIns="0" bIns="0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id="shape 1" o:spid="_x0000_s1" o:spt="1" style="position:absolute;mso-wrap-distance-left:9.0pt;mso-wrap-distance-top:0.0pt;mso-wrap-distance-right:9.0pt;mso-wrap-distance-bottom:0.0pt;z-index:-251659264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</w:pPr>
                    <w:r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  <w:t xml:space="preserve">Комитет регистрационной службы и организации юридических услуг - Орынбай М. А</w:t>
                    </w:r>
                    <w:r/>
                  </w:p>
                </w:txbxContent>
              </v:textbox>
            </v:shape>
          </w:pict>
        </mc:Fallback>
      </mc:AlternateContent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742"/>
    <w:next w:val="742"/>
    <w:link w:val="12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12">
    <w:name w:val="Heading 1 Char"/>
    <w:basedOn w:val="744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742"/>
    <w:next w:val="742"/>
    <w:link w:val="1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14">
    <w:name w:val="Heading 2 Char"/>
    <w:basedOn w:val="744"/>
    <w:link w:val="13"/>
    <w:uiPriority w:val="9"/>
    <w:rPr>
      <w:rFonts w:ascii="Arial" w:hAnsi="Arial" w:cs="Arial" w:eastAsia="Arial"/>
      <w:sz w:val="34"/>
    </w:rPr>
  </w:style>
  <w:style w:type="character" w:styleId="16">
    <w:name w:val="Heading 3 Char"/>
    <w:basedOn w:val="744"/>
    <w:link w:val="743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742"/>
    <w:next w:val="742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744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742"/>
    <w:next w:val="742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744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742"/>
    <w:next w:val="742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744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742"/>
    <w:next w:val="742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744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742"/>
    <w:next w:val="742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744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742"/>
    <w:next w:val="742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744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29">
    <w:name w:val="List Paragraph"/>
    <w:basedOn w:val="742"/>
    <w:uiPriority w:val="34"/>
    <w:qFormat/>
    <w:pPr>
      <w:contextualSpacing/>
      <w:ind w:left="720"/>
    </w:pPr>
  </w:style>
  <w:style w:type="paragraph" w:styleId="32">
    <w:name w:val="Title"/>
    <w:basedOn w:val="742"/>
    <w:next w:val="742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744"/>
    <w:link w:val="32"/>
    <w:uiPriority w:val="10"/>
    <w:rPr>
      <w:sz w:val="48"/>
      <w:szCs w:val="48"/>
    </w:rPr>
  </w:style>
  <w:style w:type="paragraph" w:styleId="34">
    <w:name w:val="Subtitle"/>
    <w:basedOn w:val="742"/>
    <w:next w:val="742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744"/>
    <w:link w:val="34"/>
    <w:uiPriority w:val="11"/>
    <w:rPr>
      <w:sz w:val="24"/>
      <w:szCs w:val="24"/>
    </w:rPr>
  </w:style>
  <w:style w:type="paragraph" w:styleId="36">
    <w:name w:val="Quote"/>
    <w:basedOn w:val="742"/>
    <w:next w:val="742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742"/>
    <w:next w:val="742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744"/>
    <w:link w:val="748"/>
    <w:uiPriority w:val="99"/>
  </w:style>
  <w:style w:type="paragraph" w:styleId="42">
    <w:name w:val="Footer"/>
    <w:basedOn w:val="742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744"/>
    <w:link w:val="42"/>
    <w:uiPriority w:val="99"/>
  </w:style>
  <w:style w:type="paragraph" w:styleId="44">
    <w:name w:val="Caption"/>
    <w:basedOn w:val="742"/>
    <w:next w:val="74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42"/>
    <w:uiPriority w:val="99"/>
  </w:style>
  <w:style w:type="table" w:styleId="47">
    <w:name w:val="Table Grid Light"/>
    <w:basedOn w:val="74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74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74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7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7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7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7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7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7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7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3">
    <w:name w:val="Lined - Accent 2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4">
    <w:name w:val="Lined - Accent 3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5">
    <w:name w:val="Lined - Accent 4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6">
    <w:name w:val="Lined - Accent 5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7">
    <w:name w:val="Lined - Accent 6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8">
    <w:name w:val="Bordered &amp; Lined - Accent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0">
    <w:name w:val="Bordered &amp; Lined - Accent 2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1">
    <w:name w:val="Bordered &amp; Lined - Accent 3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2">
    <w:name w:val="Bordered &amp; Lined - Accent 4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3">
    <w:name w:val="Bordered &amp; Lined - Accent 5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4">
    <w:name w:val="Bordered &amp; Lined - Accent 6"/>
    <w:basedOn w:val="7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5">
    <w:name w:val="Bordered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7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3">
    <w:name w:val="footnote text"/>
    <w:basedOn w:val="742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744"/>
    <w:uiPriority w:val="99"/>
    <w:unhideWhenUsed/>
    <w:rPr>
      <w:vertAlign w:val="superscript"/>
    </w:rPr>
  </w:style>
  <w:style w:type="paragraph" w:styleId="176">
    <w:name w:val="endnote text"/>
    <w:basedOn w:val="742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744"/>
    <w:uiPriority w:val="99"/>
    <w:semiHidden/>
    <w:unhideWhenUsed/>
    <w:rPr>
      <w:vertAlign w:val="superscript"/>
    </w:rPr>
  </w:style>
  <w:style w:type="paragraph" w:styleId="179">
    <w:name w:val="toc 1"/>
    <w:basedOn w:val="742"/>
    <w:next w:val="742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742"/>
    <w:next w:val="742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742"/>
    <w:next w:val="742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742"/>
    <w:next w:val="742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742"/>
    <w:next w:val="742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742"/>
    <w:next w:val="742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742"/>
    <w:next w:val="742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742"/>
    <w:next w:val="742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742"/>
    <w:next w:val="742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742"/>
    <w:next w:val="742"/>
    <w:uiPriority w:val="99"/>
    <w:unhideWhenUsed/>
    <w:pPr>
      <w:spacing w:after="0" w:afterAutospacing="0"/>
    </w:pPr>
  </w:style>
  <w:style w:type="paragraph" w:styleId="742" w:default="1">
    <w:name w:val="Normal"/>
    <w:qFormat/>
    <w:pPr>
      <w:spacing w:after="0" w:line="240" w:lineRule="auto"/>
    </w:pPr>
    <w:rPr>
      <w:rFonts w:ascii="Times New Roman" w:hAnsi="Times New Roman" w:cs="Times New Roman" w:eastAsia="Times New Roman"/>
      <w:sz w:val="20"/>
      <w:szCs w:val="20"/>
      <w:lang w:eastAsia="ru-RU"/>
    </w:rPr>
  </w:style>
  <w:style w:type="paragraph" w:styleId="743">
    <w:name w:val="Heading 3"/>
    <w:basedOn w:val="742"/>
    <w:next w:val="742"/>
    <w:link w:val="756"/>
    <w:unhideWhenUsed/>
    <w:qFormat/>
    <w:pPr>
      <w:keepLines/>
      <w:keepNext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744" w:default="1">
    <w:name w:val="Default Paragraph Font"/>
    <w:uiPriority w:val="1"/>
    <w:semiHidden/>
    <w:unhideWhenUsed/>
  </w:style>
  <w:style w:type="table" w:styleId="74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46" w:default="1">
    <w:name w:val="No List"/>
    <w:uiPriority w:val="99"/>
    <w:semiHidden/>
    <w:unhideWhenUsed/>
  </w:style>
  <w:style w:type="table" w:styleId="747">
    <w:name w:val="Table Grid"/>
    <w:basedOn w:val="745"/>
    <w:pPr>
      <w:spacing w:after="0" w:line="240" w:lineRule="auto"/>
    </w:pPr>
    <w:rPr>
      <w:rFonts w:ascii="Times New Roman" w:hAnsi="Times New Roman" w:cs="Times New Roman" w:eastAsia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748">
    <w:name w:val="Header"/>
    <w:basedOn w:val="742"/>
    <w:link w:val="749"/>
    <w:pPr>
      <w:tabs>
        <w:tab w:val="center" w:pos="4677" w:leader="none"/>
        <w:tab w:val="right" w:pos="9355" w:leader="none"/>
      </w:tabs>
    </w:pPr>
    <w:rPr>
      <w:sz w:val="24"/>
      <w:szCs w:val="24"/>
      <w:lang w:eastAsia="ar-SA"/>
    </w:rPr>
  </w:style>
  <w:style w:type="character" w:styleId="749" w:customStyle="1">
    <w:name w:val="Верхний колонтитул Знак"/>
    <w:basedOn w:val="744"/>
    <w:link w:val="748"/>
    <w:rPr>
      <w:rFonts w:ascii="Times New Roman" w:hAnsi="Times New Roman" w:cs="Times New Roman" w:eastAsia="Times New Roman"/>
      <w:sz w:val="24"/>
      <w:szCs w:val="24"/>
      <w:lang w:eastAsia="ar-SA"/>
    </w:rPr>
  </w:style>
  <w:style w:type="character" w:styleId="750">
    <w:name w:val="page number"/>
    <w:basedOn w:val="744"/>
  </w:style>
  <w:style w:type="paragraph" w:styleId="751">
    <w:name w:val="Normal (Web)"/>
    <w:basedOn w:val="742"/>
    <w:link w:val="752"/>
    <w:uiPriority w:val="99"/>
    <w:qFormat/>
    <w:pPr>
      <w:spacing w:before="100" w:beforeAutospacing="1" w:after="100" w:afterAutospacing="1"/>
    </w:pPr>
    <w:rPr>
      <w:sz w:val="24"/>
      <w:szCs w:val="24"/>
    </w:rPr>
  </w:style>
  <w:style w:type="character" w:styleId="752" w:customStyle="1">
    <w:name w:val="Обычный (веб) Знак"/>
    <w:link w:val="751"/>
    <w:uiPriority w:val="99"/>
    <w:qFormat/>
    <w:rPr>
      <w:rFonts w:ascii="Times New Roman" w:hAnsi="Times New Roman" w:cs="Times New Roman" w:eastAsia="Times New Roman"/>
      <w:sz w:val="24"/>
      <w:szCs w:val="24"/>
      <w:lang w:eastAsia="ru-RU"/>
    </w:rPr>
  </w:style>
  <w:style w:type="paragraph" w:styleId="753">
    <w:name w:val="No Spacing"/>
    <w:link w:val="755"/>
    <w:uiPriority w:val="1"/>
    <w:qFormat/>
    <w:pPr>
      <w:spacing w:after="0" w:line="240" w:lineRule="auto"/>
    </w:pPr>
    <w:rPr>
      <w:rFonts w:ascii="Times New Roman" w:hAnsi="Times New Roman" w:cs="Times New Roman" w:eastAsia="Times New Roman"/>
      <w:sz w:val="20"/>
      <w:szCs w:val="20"/>
      <w:lang w:eastAsia="ru-RU"/>
    </w:rPr>
  </w:style>
  <w:style w:type="character" w:styleId="754">
    <w:name w:val="Hyperlink"/>
    <w:uiPriority w:val="99"/>
    <w:unhideWhenUsed/>
    <w:rPr>
      <w:color w:val="0000FF"/>
      <w:u w:val="single"/>
    </w:rPr>
  </w:style>
  <w:style w:type="character" w:styleId="755" w:customStyle="1">
    <w:name w:val="Без интервала Знак"/>
    <w:link w:val="753"/>
    <w:uiPriority w:val="99"/>
    <w:rPr>
      <w:rFonts w:ascii="Times New Roman" w:hAnsi="Times New Roman" w:cs="Times New Roman" w:eastAsia="Times New Roman"/>
      <w:sz w:val="20"/>
      <w:szCs w:val="20"/>
      <w:lang w:eastAsia="ru-RU"/>
    </w:rPr>
  </w:style>
  <w:style w:type="character" w:styleId="756" w:customStyle="1">
    <w:name w:val="Заголовок 3 Знак"/>
    <w:basedOn w:val="744"/>
    <w:link w:val="743"/>
    <w:rPr>
      <w:rFonts w:asciiTheme="majorHAnsi" w:hAnsiTheme="majorHAnsi" w:eastAsiaTheme="majorEastAsia" w:cstheme="majorBidi"/>
      <w:b/>
      <w:bCs/>
      <w:color w:val="4F81BD" w:themeColor="accent1"/>
      <w:sz w:val="20"/>
      <w:szCs w:val="20"/>
      <w:lang w:eastAsia="ru-RU"/>
    </w:rPr>
  </w:style>
  <w:style w:type="paragraph" w:styleId="757">
    <w:name w:val="Balloon Text"/>
    <w:basedOn w:val="742"/>
    <w:link w:val="758"/>
    <w:uiPriority w:val="99"/>
    <w:semiHidden/>
    <w:unhideWhenUsed/>
    <w:rPr>
      <w:rFonts w:ascii="Tahoma" w:hAnsi="Tahoma" w:cs="Tahoma"/>
      <w:sz w:val="16"/>
      <w:szCs w:val="16"/>
    </w:rPr>
  </w:style>
  <w:style w:type="character" w:styleId="758" w:customStyle="1">
    <w:name w:val="Текст выноски Знак"/>
    <w:basedOn w:val="744"/>
    <w:link w:val="757"/>
    <w:uiPriority w:val="99"/>
    <w:semiHidden/>
    <w:rPr>
      <w:rFonts w:ascii="Tahoma" w:hAnsi="Tahoma" w:cs="Tahoma" w:eastAsia="Times New Roman"/>
      <w:sz w:val="16"/>
      <w:szCs w:val="16"/>
      <w:lang w:eastAsia="ru-RU"/>
    </w:rPr>
  </w:style>
  <w:style w:type="character" w:styleId="759">
    <w:name w:val="Unresolved Mention"/>
    <w:basedOn w:val="744"/>
    <w:uiPriority w:val="99"/>
    <w:semiHidden/>
    <w:unhideWhenUsed/>
    <w:rPr>
      <w:color w:val="605E5C"/>
      <w:shd w:val="clear" w:color="auto" w:fill="e1dfdd"/>
    </w:rPr>
  </w:style>
  <w:style w:type="character" w:styleId="760" w:customStyle="1">
    <w:name w:val="docdata"/>
    <w:basedOn w:val="744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customXml" Target="../customXml/item1.xml" /><Relationship Id="rId12" Type="http://schemas.openxmlformats.org/officeDocument/2006/relationships/image" Target="media/image1.png"/><Relationship Id="rId13" Type="http://schemas.openxmlformats.org/officeDocument/2006/relationships/hyperlink" Target="mailto:m.kaliyakhmet@adilet.gov.kz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
</file>

<file path=customXml/itemProps1.xml><?xml version="1.0" encoding="utf-8"?>
<ds:datastoreItem xmlns:ds="http://schemas.openxmlformats.org/officeDocument/2006/customXml" ds:itemID="{728B1930-EC9F-4EA2-9D11-9BDA253FC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ONLYOFFICE/7.0.1.37</Application>
  <Company>Hewlett-Packard Company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Рыспаева Акмор Назаркановна</dc:creator>
  <cp:lastModifiedBy>Орынбай Мадина Абдіразаққызы</cp:lastModifiedBy>
  <cp:revision>9</cp:revision>
  <dcterms:created xsi:type="dcterms:W3CDTF">2026-08-24T04:30:00Z</dcterms:created>
  <dcterms:modified xsi:type="dcterms:W3CDTF">2026-08-24T13:11:17Z</dcterms:modified>
</cp:coreProperties>
</file>