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337" w:leftFromText="180" w:topFromText="0" w:rightFromText="180" w:bottomFromText="200"/>
        <w:tblW w:w="11273" w:type="dxa"/>
        <w:tblLayout w:type="fixed"/>
        <w:tblLook w:val="04A0" w:firstRow="1" w:lastRow="0" w:firstColumn="1" w:lastColumn="0" w:noHBand="0" w:noVBand="1"/>
      </w:tblPr>
      <w:tblGrid>
        <w:gridCol w:w="74"/>
        <w:gridCol w:w="4321"/>
        <w:gridCol w:w="1560"/>
        <w:gridCol w:w="5318"/>
      </w:tblGrid>
      <w:tr>
        <w:trPr>
          <w:trHeight w:val="612"/>
        </w:trPr>
        <w:tc>
          <w:tcPr>
            <w:gridSpan w:val="2"/>
            <w:tcW w:w="4395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59264;o:allowoverlap:true;o:allowincell:true;mso-position-horizontal-relative:text;margin-left:5.8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31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gridBefore w:val="1"/>
          <w:trHeight w:val="166"/>
        </w:trPr>
        <w:tc>
          <w:tcPr>
            <w:gridSpan w:val="3"/>
            <w:tcW w:w="11199" w:type="dxa"/>
            <w:textDirection w:val="lrTb"/>
            <w:noWrap w:val="false"/>
          </w:tcPr>
          <w:p>
            <w:pPr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sz w:val="28"/>
          <w:szCs w:val="28"/>
          <w:u w:val="single"/>
          <w:lang w:eastAsia="en-US"/>
        </w:rPr>
      </w:pPr>
      <w:r>
        <w:rPr>
          <w:b/>
          <w:color w:val="4F81BD"/>
          <w:sz w:val="28"/>
          <w:szCs w:val="28"/>
          <w:lang w:eastAsia="en-US"/>
        </w:rPr>
        <w:t xml:space="preserve">Б</w:t>
      </w:r>
      <w:r>
        <w:rPr>
          <w:b/>
          <w:color w:val="4F81BD"/>
          <w:sz w:val="28"/>
          <w:szCs w:val="28"/>
          <w:lang w:eastAsia="en-US"/>
        </w:rPr>
        <w:t xml:space="preserve">ҰЙРЫҚ</w:t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  <w:t xml:space="preserve">ПРИКАЗ</w:t>
      </w:r>
      <w:r/>
    </w:p>
    <w:p>
      <w:pPr>
        <w:ind w:left="-284"/>
        <w:rPr>
          <w:b/>
          <w:color w:val="FFFFFF"/>
        </w:rPr>
      </w:pPr>
      <w:r>
        <w:rPr>
          <w:b/>
          <w:color w:val="FFFFFF"/>
        </w:rPr>
      </w:r>
      <w:r/>
    </w:p>
    <w:p>
      <w:pPr>
        <w:rPr>
          <w:sz w:val="28"/>
          <w:szCs w:val="28"/>
          <w:u w:val="single"/>
          <w:lang w:eastAsia="en-US"/>
        </w:rPr>
      </w:pPr>
      <w:r>
        <w:rPr>
          <w:b/>
          <w:color w:val="4F81BD"/>
          <w:sz w:val="28"/>
          <w:szCs w:val="28"/>
          <w:u w:val="single"/>
          <w:lang w:eastAsia="en-US"/>
        </w:rPr>
        <w:t xml:space="preserve">__________</w:t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u w:val="single"/>
          <w:lang w:eastAsia="en-US"/>
        </w:rPr>
        <w:t xml:space="preserve">__________</w:t>
      </w:r>
      <w:r/>
    </w:p>
    <w:p>
      <w:pPr>
        <w:ind w:left="-284"/>
        <w:rPr>
          <w:b/>
          <w:color w:val="0070C0"/>
        </w:rPr>
      </w:pPr>
      <w:r>
        <w:rPr>
          <w:b/>
          <w:color w:val="0070C0"/>
        </w:rPr>
        <w:tab/>
      </w:r>
      <w:r/>
    </w:p>
    <w:p>
      <w:pPr>
        <w:ind w:left="-284" w:firstLine="284"/>
        <w:rPr>
          <w:b/>
          <w:sz w:val="28"/>
          <w:szCs w:val="28"/>
          <w:lang w:eastAsia="en-US"/>
        </w:rPr>
      </w:pPr>
      <w:r>
        <w:rPr>
          <w:b/>
          <w:color w:val="0070C0"/>
        </w:rPr>
        <w:t xml:space="preserve">Астана </w:t>
      </w:r>
      <w:r>
        <w:rPr>
          <w:b/>
          <w:color w:val="0070C0"/>
        </w:rPr>
        <w:t xml:space="preserve">қ-</w:t>
      </w:r>
      <w:r>
        <w:rPr>
          <w:b/>
          <w:color w:val="0070C0"/>
        </w:rPr>
        <w:t xml:space="preserve">сы</w:t>
      </w:r>
      <w:r>
        <w:rPr>
          <w:b/>
          <w:color w:val="0070C0"/>
        </w:rPr>
        <w:t xml:space="preserve">   </w:t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  <w:t xml:space="preserve">               г. Астана</w:t>
      </w:r>
      <w:r/>
    </w:p>
    <w:p>
      <w:pPr>
        <w:rPr>
          <w:rFonts w:eastAsiaTheme="minorHAnsi" w:cstheme="minorBidi"/>
          <w:b/>
          <w:bCs/>
          <w:sz w:val="27"/>
          <w:szCs w:val="27"/>
          <w:lang w:val="kk-KZ" w:eastAsia="en-US"/>
        </w:rPr>
      </w:pPr>
      <w:r>
        <w:rPr>
          <w:rFonts w:eastAsiaTheme="minorHAnsi" w:cstheme="minorBidi"/>
          <w:b/>
          <w:bCs/>
          <w:sz w:val="27"/>
          <w:szCs w:val="27"/>
          <w:lang w:val="kk-KZ" w:eastAsia="en-US"/>
        </w:rPr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  <w:t xml:space="preserve">О приостановлении </w:t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  <w:t xml:space="preserve">действия лицензии</w:t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В соответствии с подпунктом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3)</w:t>
      </w:r>
      <w:r>
        <w:rPr>
          <w:rFonts w:eastAsiaTheme="minorHAnsi" w:cstheme="minorBidi"/>
          <w:sz w:val="28"/>
          <w:szCs w:val="28"/>
          <w:lang w:eastAsia="en-US"/>
        </w:rPr>
        <w:t xml:space="preserve"> пункта 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-1</w:t>
      </w:r>
      <w:r>
        <w:rPr>
          <w:rFonts w:eastAsiaTheme="minorHAnsi" w:cstheme="minorBidi"/>
          <w:sz w:val="28"/>
          <w:szCs w:val="28"/>
          <w:lang w:eastAsia="en-US"/>
        </w:rPr>
        <w:t xml:space="preserve"> статьи 10 Закона Республики Казахстан «О нотариате»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b/>
          <w:bCs/>
          <w:sz w:val="28"/>
          <w:szCs w:val="28"/>
          <w:lang w:eastAsia="en-US"/>
        </w:rPr>
        <w:t xml:space="preserve">ПРИКАЗЫВАЮ: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 1. Приостановить действие государственной лицензии на право занятия нотариальной деятельностью от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10 ноября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20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5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года </w:t>
      </w:r>
      <w:r>
        <w:rPr>
          <w:rFonts w:eastAsiaTheme="minorHAnsi" w:cstheme="minorBidi"/>
          <w:sz w:val="28"/>
          <w:szCs w:val="28"/>
          <w:lang w:eastAsia="en-US"/>
        </w:rPr>
        <w:t xml:space="preserve">№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25036597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выданной Министерств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ом</w:t>
      </w:r>
      <w:r>
        <w:rPr>
          <w:rFonts w:eastAsiaTheme="minorHAnsi" w:cstheme="minorBidi"/>
          <w:sz w:val="28"/>
          <w:szCs w:val="28"/>
          <w:lang w:eastAsia="en-US"/>
        </w:rPr>
        <w:t xml:space="preserve"> юстиции Республики Казахстан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Раушанбек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ңлік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Тасболатқызы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сроком до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 августа 2027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года.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 2. Департаменту юстиции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города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Шымкент</w:t>
      </w:r>
      <w:r>
        <w:rPr>
          <w:rFonts w:eastAsiaTheme="minorHAnsi" w:cstheme="minorBidi"/>
          <w:sz w:val="28"/>
          <w:szCs w:val="28"/>
          <w:lang w:eastAsia="en-US"/>
        </w:rPr>
        <w:t xml:space="preserve">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1) </w:t>
      </w:r>
      <w:moveFromRangeStart w:author="Шәріпбай Диас Бақытұлы" w:date="2026-08-20T05:54:02Z" w:id="0" w:name="move2" oouserid="d09ff26e-e3fd-4608-9424-5e774aaf03a8"/>
      <w:r/>
      <w:moveFromRangeEnd w:id="0"/>
      <w:r>
        <w:rPr>
          <w:rFonts w:eastAsiaTheme="minorHAnsi" w:cstheme="minorBidi"/>
          <w:sz w:val="28"/>
          <w:szCs w:val="28"/>
          <w:lang w:eastAsia="en-US"/>
        </w:rPr>
        <w:t xml:space="preserve">довести </w:t>
      </w:r>
      <w:moveToRangeStart w:author="Шәріпбай Диас Бақытұлы" w:date="2026-08-20T05:54:02Z" w:id="1" w:name="move2" oouserid="d09ff26e-e3fd-4608-9424-5e774aaf03a8"/>
      <w:r>
        <w:rPr>
          <w:rFonts w:eastAsiaTheme="minorHAnsi" w:cstheme="minorBidi"/>
          <w:sz w:val="28"/>
          <w:szCs w:val="28"/>
          <w:lang w:eastAsia="en-US"/>
        </w:rPr>
        <w:t xml:space="preserve">настоящий приказ </w:t>
      </w:r>
      <w:moveToRangeEnd w:id="1"/>
      <w:r>
        <w:rPr>
          <w:rFonts w:eastAsiaTheme="minorHAnsi" w:cstheme="minorBidi"/>
          <w:sz w:val="28"/>
          <w:szCs w:val="28"/>
          <w:lang w:eastAsia="en-US"/>
        </w:rPr>
        <w:t xml:space="preserve">до сведения частного нотариуса</w:t>
      </w:r>
      <w:bookmarkStart w:id="0" w:name="_Hlk110329426"/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br/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Раушанбек Е.Т.</w:t>
      </w:r>
      <w:r>
        <w:rPr>
          <w:rFonts w:eastAsiaTheme="minorHAnsi" w:cstheme="minorBidi"/>
          <w:sz w:val="28"/>
          <w:szCs w:val="28"/>
          <w:lang w:eastAsia="en-US"/>
        </w:rPr>
        <w:t xml:space="preserve">;</w:t>
      </w:r>
      <w:bookmarkEnd w:id="0"/>
      <w:r/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2)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принять меры по </w:t>
      </w:r>
      <w:r>
        <w:rPr>
          <w:rFonts w:eastAsiaTheme="minorHAnsi" w:cstheme="minorBidi"/>
          <w:sz w:val="28"/>
          <w:szCs w:val="22"/>
          <w:lang w:val="kk-KZ" w:eastAsia="en-US"/>
        </w:rPr>
        <w:t xml:space="preserve">приостановлению</w:t>
      </w:r>
      <w:r>
        <w:rPr>
          <w:rFonts w:asciiTheme="minorHAnsi" w:hAnsiTheme="minorHAnsi" w:eastAsiaTheme="minorHAnsi" w:cstheme="minorBidi"/>
          <w:sz w:val="22"/>
          <w:szCs w:val="22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доступа лицензиата к 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диной нот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ариальной информационной системе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на период приостановления действия лицензии; 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3) </w:t>
      </w:r>
      <w:r>
        <w:rPr>
          <w:rFonts w:eastAsiaTheme="minorHAnsi" w:cstheme="minorBidi"/>
          <w:sz w:val="28"/>
          <w:szCs w:val="28"/>
          <w:lang w:eastAsia="en-US"/>
        </w:rPr>
        <w:t xml:space="preserve">изъять печать лицензиата на временное хранение на период приостановления действия лицензии;</w:t>
      </w:r>
      <w:r/>
    </w:p>
    <w:p>
      <w:pPr>
        <w:ind w:firstLine="567"/>
        <w:jc w:val="both"/>
        <w:tabs>
          <w:tab w:val="left" w:pos="1918" w:leader="none"/>
        </w:tabs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4</w:t>
      </w:r>
      <w:r>
        <w:rPr>
          <w:rFonts w:eastAsiaTheme="minorHAnsi" w:cstheme="minorBidi"/>
          <w:sz w:val="28"/>
          <w:szCs w:val="28"/>
          <w:lang w:eastAsia="en-US"/>
        </w:rPr>
        <w:t xml:space="preserve">) совместно с нотариальной палатой принять меры по передаче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находящихся в </w:t>
      </w:r>
      <w:r>
        <w:rPr>
          <w:rFonts w:eastAsiaTheme="minorHAnsi" w:cstheme="minorBidi"/>
          <w:sz w:val="28"/>
          <w:szCs w:val="28"/>
          <w:lang w:eastAsia="en-US"/>
        </w:rPr>
        <w:t xml:space="preserve">производстве частного нотариуса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Раушанбек Е.Т.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документов другому нотариусу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.</w:t>
      </w:r>
      <w:r/>
    </w:p>
    <w:p>
      <w:pPr>
        <w:ind w:firstLine="567"/>
        <w:jc w:val="both"/>
        <w:tabs>
          <w:tab w:val="left" w:pos="1918" w:leader="none"/>
        </w:tabs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3. </w:t>
      </w:r>
      <w:r>
        <w:rPr>
          <w:rFonts w:eastAsiaTheme="minorHAnsi" w:cstheme="minorBidi"/>
          <w:sz w:val="28"/>
          <w:szCs w:val="28"/>
          <w:lang w:eastAsia="en-US"/>
        </w:rPr>
        <w:t xml:space="preserve">Управлению организации нотариальной деятельности и лицензирования</w:t>
      </w:r>
      <w:r>
        <w:rPr>
          <w:rFonts w:eastAsiaTheme="minorHAnsi" w:cstheme="minorBidi"/>
          <w:sz w:val="28"/>
          <w:szCs w:val="28"/>
          <w:lang w:eastAsia="en-US"/>
        </w:rPr>
        <w:t xml:space="preserve"> Комитет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а</w:t>
      </w:r>
      <w:r>
        <w:rPr>
          <w:rFonts w:eastAsiaTheme="minorHAnsi" w:cstheme="minorBidi"/>
          <w:sz w:val="28"/>
          <w:szCs w:val="28"/>
          <w:lang w:eastAsia="en-US"/>
        </w:rPr>
        <w:t xml:space="preserve"> регистрационной службы и организации юридических услуг Министерства юстиции Республики Казахстан: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1) принять меры по размещению настоящего приказа на </w:t>
      </w:r>
      <w:r>
        <w:rPr>
          <w:rFonts w:eastAsiaTheme="minorHAnsi" w:cstheme="minorBidi"/>
          <w:sz w:val="28"/>
          <w:szCs w:val="28"/>
          <w:lang w:eastAsia="en-US"/>
        </w:rPr>
        <w:t xml:space="preserve">интернет-ресурсе</w:t>
      </w:r>
      <w:r>
        <w:rPr>
          <w:rFonts w:eastAsiaTheme="minorHAnsi" w:cstheme="minorBidi"/>
          <w:sz w:val="28"/>
          <w:szCs w:val="28"/>
          <w:lang w:eastAsia="en-US"/>
        </w:rPr>
        <w:t xml:space="preserve"> Министерства юстиции Республики Казахстан;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4. </w:t>
      </w:r>
      <w:r>
        <w:rPr>
          <w:rFonts w:eastAsiaTheme="minorHAnsi" w:cstheme="minorBidi"/>
          <w:sz w:val="28"/>
          <w:szCs w:val="28"/>
          <w:lang w:eastAsia="en-US"/>
        </w:rPr>
        <w:t xml:space="preserve">Контроль за</w:t>
      </w:r>
      <w:r>
        <w:rPr>
          <w:rFonts w:eastAsiaTheme="minorHAnsi" w:cstheme="minorBidi"/>
          <w:sz w:val="28"/>
          <w:szCs w:val="28"/>
          <w:lang w:eastAsia="en-US"/>
        </w:rPr>
        <w:t xml:space="preserve"> исполнением настоящего приказа возложить на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председателя Комитета регистрационной службы и организации юридических услуг Министерства юстиции Республики Казахстан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Калимову В.К.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5. </w:t>
      </w:r>
      <w:r>
        <w:rPr>
          <w:rFonts w:eastAsiaTheme="minorHAnsi" w:cstheme="minorBidi"/>
          <w:sz w:val="28"/>
          <w:szCs w:val="28"/>
          <w:lang w:eastAsia="en-US"/>
        </w:rPr>
        <w:t xml:space="preserve">Настоящий приказ вводится в действие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 дня подписания.</w:t>
      </w:r>
      <w:r/>
    </w:p>
    <w:p>
      <w:pPr>
        <w:ind w:firstLine="567"/>
        <w:jc w:val="both"/>
        <w:rPr>
          <w:rFonts w:eastAsiaTheme="minorHAnsi" w:cstheme="minorBidi"/>
          <w:i/>
          <w:sz w:val="24"/>
          <w:szCs w:val="28"/>
          <w:lang w:val="kk-KZ" w:eastAsia="en-US"/>
        </w:rPr>
      </w:pPr>
      <w:r>
        <w:rPr>
          <w:rFonts w:eastAsiaTheme="minorHAnsi" w:cstheme="minorBidi"/>
          <w:i/>
          <w:sz w:val="24"/>
          <w:szCs w:val="28"/>
          <w:lang w:val="kk-KZ" w:eastAsia="en-US"/>
        </w:rPr>
      </w:r>
      <w:r/>
    </w:p>
    <w:p>
      <w:pPr>
        <w:ind w:firstLine="567"/>
        <w:jc w:val="both"/>
        <w:rPr>
          <w:rFonts w:eastAsiaTheme="minorHAnsi" w:cstheme="minorBidi"/>
          <w:i/>
          <w:sz w:val="24"/>
          <w:szCs w:val="28"/>
          <w:lang w:val="kk-KZ" w:eastAsia="en-US"/>
        </w:rPr>
      </w:pPr>
      <w:r>
        <w:rPr>
          <w:rFonts w:eastAsiaTheme="minorHAnsi" w:cstheme="minorBidi"/>
          <w:i/>
          <w:sz w:val="24"/>
          <w:szCs w:val="28"/>
          <w:lang w:eastAsia="en-US"/>
        </w:rPr>
        <w:t xml:space="preserve">Основание: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Представление Департамента юстиции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города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Шымкент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br/>
      </w:r>
      <w:r>
        <w:rPr>
          <w:rFonts w:eastAsiaTheme="minorHAnsi"/>
          <w:i/>
          <w:sz w:val="24"/>
          <w:szCs w:val="22"/>
          <w:lang w:val="kk-KZ" w:eastAsia="en-US"/>
        </w:rPr>
        <w:t xml:space="preserve">№ -1/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26897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-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вн от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10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августа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202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6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 г., заявление частного нотариуса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Раушанбек Е.Т.</w:t>
      </w:r>
      <w:bookmarkStart w:id="1" w:name="_GoBack"/>
      <w:r/>
      <w:bookmarkEnd w:id="1"/>
      <w:r/>
      <w:r/>
    </w:p>
    <w:p>
      <w:pPr>
        <w:ind w:firstLine="708"/>
        <w:jc w:val="both"/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 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Б. Жакселекова</w:t>
      </w:r>
      <w:r/>
    </w:p>
    <w:p>
      <w:pPr>
        <w:rPr>
          <w:i/>
          <w:iCs/>
        </w:rPr>
      </w:pPr>
      <w:r>
        <w:rPr>
          <w:i/>
          <w:iCs/>
        </w:rPr>
      </w:r>
      <w:r/>
    </w:p>
    <w:p>
      <w:pPr>
        <w:rPr>
          <w:i/>
        </w:rPr>
      </w:pPr>
      <w:r>
        <w:rPr>
          <w:rFonts w:ascii="Wingdings" w:hAnsi="Wingdings" w:cs="Wingdings" w:eastAsia="Wingdings"/>
          <w:i/>
          <w:iCs/>
        </w:rPr>
        <w:t xml:space="preserve">?</w:t>
      </w:r>
      <w:r>
        <w:rPr>
          <w:i/>
          <w:iCs/>
          <w:lang w:val="kk-KZ"/>
        </w:rPr>
        <w:t xml:space="preserve"> </w:t>
      </w:r>
      <w:r>
        <w:rPr>
          <w:i/>
          <w:iCs/>
          <w:lang w:val="kk-KZ"/>
        </w:rPr>
        <w:t xml:space="preserve">Б. Мұхтарұлы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</w:t>
      </w:r>
      <w:r>
        <w:rPr>
          <w:i/>
          <w:lang w:val="kk-KZ"/>
        </w:rPr>
        <w:t xml:space="preserve">7</w:t>
      </w:r>
      <w:r>
        <w:rPr>
          <w:i/>
          <w:lang w:val="kk-KZ"/>
        </w:rPr>
        <w:t xml:space="preserve">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</w:rPr>
        <w:t xml:space="preserve"> </w:t>
      </w:r>
      <w:hyperlink r:id="rId13" w:tooltip="mailto:b.mukhtaruly@adilet.gov.kz" w:history="1">
        <w:r>
          <w:rPr>
            <w:rStyle w:val="765"/>
            <w:i/>
            <w:lang w:val="en-US"/>
          </w:rPr>
          <w:t xml:space="preserve">b</w:t>
        </w:r>
        <w:r>
          <w:rPr>
            <w:rStyle w:val="765"/>
            <w:i/>
          </w:rPr>
          <w:t xml:space="preserve">.</w:t>
        </w:r>
        <w:r>
          <w:rPr>
            <w:rStyle w:val="765"/>
            <w:i/>
            <w:lang w:val="en-US"/>
          </w:rPr>
          <w:t xml:space="preserve">mukhtaruly</w:t>
        </w:r>
        <w:r>
          <w:rPr>
            <w:rStyle w:val="765"/>
            <w:i/>
          </w:rPr>
          <w:t xml:space="preserve">@</w:t>
        </w:r>
        <w:r>
          <w:rPr>
            <w:rStyle w:val="765"/>
            <w:i/>
            <w:lang w:val="en-US"/>
          </w:rPr>
          <w:t xml:space="preserve">adilet</w:t>
        </w:r>
        <w:r>
          <w:rPr>
            <w:rStyle w:val="765"/>
            <w:i/>
          </w:rPr>
          <w:t xml:space="preserve">.</w:t>
        </w:r>
        <w:r>
          <w:rPr>
            <w:rStyle w:val="765"/>
            <w:i/>
            <w:lang w:val="en-US"/>
          </w:rPr>
          <w:t xml:space="preserve">gov</w:t>
        </w:r>
        <w:r>
          <w:rPr>
            <w:rStyle w:val="765"/>
            <w:i/>
          </w:rPr>
          <w:t xml:space="preserve">.</w:t>
        </w:r>
        <w:r>
          <w:rPr>
            <w:rStyle w:val="765"/>
            <w:i/>
            <w:lang w:val="en-US"/>
          </w:rPr>
          <w:t xml:space="preserve">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0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Tahoma">
    <w:panose1 w:val="020B0604030504040204"/>
  </w:font>
  <w:font w:name="Calibri">
    <w:panose1 w:val="020F0502020204030204"/>
  </w:font>
  <w:font w:name="Wingdings 2">
    <w:panose1 w:val="05040102010807070707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  <w:rPr>
        <w:rStyle w:val="769"/>
      </w:rPr>
      <w:framePr w:wrap="around" w:vAnchor="text" w:hAnchor="margin" w:xAlign="center" w:y="1"/>
    </w:pPr>
    <w:r>
      <w:rPr>
        <w:rStyle w:val="769"/>
      </w:rPr>
      <w:fldChar w:fldCharType="begin"/>
    </w:r>
    <w:r>
      <w:rPr>
        <w:rStyle w:val="769"/>
      </w:rPr>
      <w:instrText xml:space="preserve">PAGE  </w:instrText>
    </w:r>
    <w:r>
      <w:rPr>
        <w:rStyle w:val="769"/>
      </w:rPr>
      <w:fldChar w:fldCharType="separate"/>
    </w:r>
    <w:r>
      <w:rPr>
        <w:rStyle w:val="769"/>
      </w:rPr>
      <w:t xml:space="preserve">2</w:t>
    </w:r>
    <w:r>
      <w:rPr>
        <w:rStyle w:val="769"/>
      </w:rPr>
      <w:fldChar w:fldCharType="end"/>
    </w:r>
    <w:r/>
  </w:p>
  <w:p>
    <w:pPr>
      <w:pStyle w:val="759"/>
    </w:pPr>
    <w:r/>
    <w:r/>
  </w:p>
  <w:p>
    <w:pPr>
      <w:pStyle w:val="75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  <w:rPr>
        <w:rStyle w:val="769"/>
      </w:rPr>
      <w:framePr w:wrap="around" w:vAnchor="text" w:hAnchor="margin" w:xAlign="center" w:y="1"/>
    </w:pPr>
    <w:r>
      <w:rPr>
        <w:rStyle w:val="769"/>
      </w:rPr>
      <w:fldChar w:fldCharType="begin"/>
    </w:r>
    <w:r>
      <w:rPr>
        <w:rStyle w:val="769"/>
      </w:rPr>
      <w:instrText xml:space="preserve">PAGE  </w:instrText>
    </w:r>
    <w:r>
      <w:rPr>
        <w:rStyle w:val="769"/>
      </w:rPr>
      <w:fldChar w:fldCharType="end"/>
    </w:r>
    <w:r/>
  </w:p>
  <w:p>
    <w:pPr>
      <w:pStyle w:val="759"/>
    </w:pPr>
    <w:r/>
    <w:r/>
  </w:p>
  <w:p>
    <w:pPr>
      <w:pStyle w:val="75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46"/>
    <w:next w:val="746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48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48"/>
    <w:link w:val="747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46"/>
    <w:next w:val="746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748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46"/>
    <w:next w:val="746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8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46"/>
    <w:next w:val="746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48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46"/>
    <w:next w:val="746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48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46"/>
    <w:next w:val="746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48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46"/>
    <w:next w:val="746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48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46"/>
    <w:next w:val="746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48"/>
    <w:link w:val="27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748"/>
    <w:link w:val="753"/>
    <w:uiPriority w:val="10"/>
    <w:rPr>
      <w:sz w:val="48"/>
      <w:szCs w:val="48"/>
    </w:rPr>
  </w:style>
  <w:style w:type="character" w:styleId="35">
    <w:name w:val="Subtitle Char"/>
    <w:basedOn w:val="748"/>
    <w:link w:val="754"/>
    <w:uiPriority w:val="11"/>
    <w:rPr>
      <w:sz w:val="24"/>
      <w:szCs w:val="24"/>
    </w:rPr>
  </w:style>
  <w:style w:type="paragraph" w:styleId="36">
    <w:name w:val="Quote"/>
    <w:basedOn w:val="746"/>
    <w:next w:val="74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46"/>
    <w:next w:val="74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8"/>
    <w:link w:val="759"/>
    <w:uiPriority w:val="99"/>
  </w:style>
  <w:style w:type="character" w:styleId="43">
    <w:name w:val="Footer Char"/>
    <w:basedOn w:val="748"/>
    <w:link w:val="771"/>
    <w:uiPriority w:val="99"/>
  </w:style>
  <w:style w:type="paragraph" w:styleId="44">
    <w:name w:val="Caption"/>
    <w:basedOn w:val="746"/>
    <w:next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71"/>
    <w:uiPriority w:val="99"/>
  </w:style>
  <w:style w:type="table" w:styleId="47">
    <w:name w:val="Table Grid Light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4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48"/>
    <w:uiPriority w:val="99"/>
    <w:unhideWhenUsed/>
    <w:rPr>
      <w:vertAlign w:val="superscript"/>
    </w:rPr>
  </w:style>
  <w:style w:type="paragraph" w:styleId="176">
    <w:name w:val="endnote text"/>
    <w:basedOn w:val="74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8"/>
    <w:uiPriority w:val="99"/>
    <w:semiHidden/>
    <w:unhideWhenUsed/>
    <w:rPr>
      <w:vertAlign w:val="superscript"/>
    </w:rPr>
  </w:style>
  <w:style w:type="paragraph" w:styleId="179">
    <w:name w:val="toc 1"/>
    <w:basedOn w:val="746"/>
    <w:next w:val="74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46"/>
    <w:next w:val="74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46"/>
    <w:next w:val="74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46"/>
    <w:next w:val="74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46"/>
    <w:next w:val="74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46"/>
    <w:next w:val="74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46"/>
    <w:next w:val="74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46"/>
    <w:next w:val="74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46"/>
    <w:next w:val="74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46"/>
    <w:next w:val="746"/>
    <w:uiPriority w:val="99"/>
    <w:unhideWhenUsed/>
    <w:pPr>
      <w:spacing w:after="0" w:afterAutospacing="0"/>
    </w:pPr>
  </w:style>
  <w:style w:type="paragraph" w:styleId="746" w:default="1">
    <w:name w:val="Normal"/>
    <w:qFormat/>
  </w:style>
  <w:style w:type="paragraph" w:styleId="747">
    <w:name w:val="Heading 2"/>
    <w:basedOn w:val="746"/>
    <w:next w:val="746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748" w:default="1">
    <w:name w:val="Default Paragraph Font"/>
    <w:uiPriority w:val="1"/>
    <w:semiHidden/>
    <w:unhideWhenUsed/>
  </w:style>
  <w:style w:type="table" w:styleId="7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0" w:default="1">
    <w:name w:val="No List"/>
    <w:uiPriority w:val="99"/>
    <w:semiHidden/>
    <w:unhideWhenUsed/>
  </w:style>
  <w:style w:type="paragraph" w:styleId="751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52">
    <w:name w:val="Body Text Indent"/>
    <w:basedOn w:val="746"/>
    <w:pPr>
      <w:ind w:firstLine="1122"/>
      <w:jc w:val="both"/>
    </w:pPr>
    <w:rPr>
      <w:sz w:val="24"/>
      <w:szCs w:val="24"/>
      <w:lang w:val="kk-KZ"/>
    </w:rPr>
  </w:style>
  <w:style w:type="paragraph" w:styleId="753">
    <w:name w:val="Title"/>
    <w:basedOn w:val="746"/>
    <w:qFormat/>
    <w:pPr>
      <w:jc w:val="center"/>
    </w:pPr>
    <w:rPr>
      <w:sz w:val="28"/>
      <w:szCs w:val="24"/>
    </w:rPr>
  </w:style>
  <w:style w:type="paragraph" w:styleId="754">
    <w:name w:val="Subtitle"/>
    <w:basedOn w:val="746"/>
    <w:link w:val="757"/>
    <w:qFormat/>
    <w:pPr>
      <w:ind w:firstLine="709"/>
      <w:jc w:val="both"/>
    </w:pPr>
    <w:rPr>
      <w:sz w:val="28"/>
      <w:szCs w:val="24"/>
    </w:rPr>
  </w:style>
  <w:style w:type="paragraph" w:styleId="755">
    <w:name w:val="No Spacing"/>
    <w:qFormat/>
    <w:rPr>
      <w:sz w:val="24"/>
      <w:szCs w:val="24"/>
    </w:rPr>
  </w:style>
  <w:style w:type="paragraph" w:styleId="756" w:customStyle="1">
    <w:name w:val="Стиль Слева:  0 см Выступ:  15 см"/>
    <w:basedOn w:val="746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757" w:customStyle="1">
    <w:name w:val="Подзаголовок Знак"/>
    <w:link w:val="754"/>
    <w:rPr>
      <w:sz w:val="28"/>
      <w:szCs w:val="24"/>
      <w:lang w:val="ru-RU" w:bidi="ar-SA" w:eastAsia="ru-RU"/>
    </w:rPr>
  </w:style>
  <w:style w:type="table" w:styleId="758">
    <w:name w:val="Table Grid"/>
    <w:basedOn w:val="74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59">
    <w:name w:val="Header"/>
    <w:basedOn w:val="746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60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761" w:customStyle="1">
    <w:name w:val="Знак Знак Знак1 Знак"/>
    <w:basedOn w:val="746"/>
    <w:pPr>
      <w:spacing w:after="160" w:line="240" w:lineRule="exact"/>
    </w:pPr>
    <w:rPr>
      <w:sz w:val="28"/>
      <w:lang w:val="en-US" w:eastAsia="en-US"/>
    </w:rPr>
  </w:style>
  <w:style w:type="paragraph" w:styleId="762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763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764">
    <w:name w:val="Body Text Indent 2"/>
    <w:basedOn w:val="746"/>
    <w:pPr>
      <w:ind w:left="283"/>
      <w:spacing w:after="120" w:line="480" w:lineRule="auto"/>
    </w:pPr>
  </w:style>
  <w:style w:type="character" w:styleId="765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766" w:customStyle="1">
    <w:name w:val="Знак Знак 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67">
    <w:name w:val="List Paragraph"/>
    <w:basedOn w:val="746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68">
    <w:name w:val="Normal (Web)"/>
    <w:basedOn w:val="746"/>
    <w:link w:val="778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69">
    <w:name w:val="page number"/>
    <w:basedOn w:val="748"/>
  </w:style>
  <w:style w:type="character" w:styleId="770">
    <w:name w:val="Strong"/>
    <w:qFormat/>
    <w:rPr>
      <w:b/>
      <w:bCs/>
    </w:rPr>
  </w:style>
  <w:style w:type="paragraph" w:styleId="771">
    <w:name w:val="Footer"/>
    <w:basedOn w:val="746"/>
    <w:link w:val="772"/>
    <w:pPr>
      <w:tabs>
        <w:tab w:val="center" w:pos="4677" w:leader="none"/>
        <w:tab w:val="right" w:pos="9355" w:leader="none"/>
      </w:tabs>
    </w:pPr>
  </w:style>
  <w:style w:type="character" w:styleId="772" w:customStyle="1">
    <w:name w:val="Нижний колонтитул Знак"/>
    <w:basedOn w:val="748"/>
    <w:link w:val="771"/>
  </w:style>
  <w:style w:type="paragraph" w:styleId="773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4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5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6">
    <w:name w:val="Balloon Text"/>
    <w:basedOn w:val="746"/>
    <w:link w:val="777"/>
    <w:semiHidden/>
    <w:unhideWhenUsed/>
    <w:rPr>
      <w:rFonts w:ascii="Tahoma" w:hAnsi="Tahoma" w:cs="Tahoma"/>
      <w:sz w:val="16"/>
      <w:szCs w:val="16"/>
    </w:rPr>
  </w:style>
  <w:style w:type="character" w:styleId="777" w:customStyle="1">
    <w:name w:val="Текст выноски Знак"/>
    <w:basedOn w:val="748"/>
    <w:link w:val="776"/>
    <w:semiHidden/>
    <w:rPr>
      <w:rFonts w:ascii="Tahoma" w:hAnsi="Tahoma" w:cs="Tahoma"/>
      <w:sz w:val="16"/>
      <w:szCs w:val="16"/>
    </w:rPr>
  </w:style>
  <w:style w:type="character" w:styleId="778" w:customStyle="1">
    <w:name w:val="Обычный (веб) Знак"/>
    <w:link w:val="768"/>
    <w:uiPriority w:val="99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b.mukhtaruly@adilet.gov.k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5836152B-E8EE-4047-9812-48AA5236B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Шәріпбай Диас Бақытұлы</cp:lastModifiedBy>
  <cp:revision>100</cp:revision>
  <dcterms:created xsi:type="dcterms:W3CDTF">2018-09-21T12:01:00Z</dcterms:created>
  <dcterms:modified xsi:type="dcterms:W3CDTF">2026-08-20T05:56:59Z</dcterms:modified>
</cp:coreProperties>
</file>