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87158" w14:textId="17A9BC47" w:rsidR="00A056AE" w:rsidRDefault="00FA1FE7" w:rsidP="00CA6FD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A1FE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Budget execution as of September 1, 2026</w:t>
      </w:r>
    </w:p>
    <w:p w14:paraId="56CA2C59" w14:textId="77777777" w:rsidR="00FA1FE7" w:rsidRPr="00FA1FE7" w:rsidRDefault="00FA1FE7" w:rsidP="00CA6FD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94D53F9" w14:textId="2C4E4DFF" w:rsidR="00CC0560" w:rsidRDefault="00FA1FE7" w:rsidP="00415AA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The volume of the city budget for 2026 is 11,348,956 thousand tenge.</w:t>
      </w:r>
    </w:p>
    <w:p w14:paraId="08ADC045" w14:textId="77777777" w:rsidR="00FA1FE7" w:rsidRDefault="00FA1FE7" w:rsidP="00CB0C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The revenue forecast for January-August 2026 was fulfilled by 115%, with a plan of KZT 6,097,893 thousand, 7,013,019.1 thousand tenge was actually received, overfulfilling by 915,126.1 thousand tenge. In comparison with 2025, receipts decreased by 1,810,547.5 thousand tenge or by 20.5%, due to the transfer of Ridder </w:t>
      </w:r>
      <w:proofErr w:type="spellStart"/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Polymetal</w:t>
      </w:r>
      <w:proofErr w:type="spellEnd"/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LLP to large taxpayers, a decrease in the number of payers of advance payments under the CPN, due to changes in the amount of payroll deductions under the Tax Code, as well as a decrease in transfer receipts from the higher budget.</w:t>
      </w:r>
    </w:p>
    <w:p w14:paraId="5EF006C0" w14:textId="77777777" w:rsidR="00FA1FE7" w:rsidRDefault="00FA1FE7" w:rsidP="00CB0C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The forecast of the city budget's own revenues was fulfilled by 116.4%. With the plan of 5,454,076 thousand tenge, 6,349,187.9 thousand tenge was actually received. By 2025, receipts decreased by 17.6% or by 1,352,292.7 thousand tenge.</w:t>
      </w:r>
    </w:p>
    <w:p w14:paraId="7AD87C3E" w14:textId="08E1F13A" w:rsidR="00CC0560" w:rsidRDefault="00CC0560" w:rsidP="00CB0C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CC056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Implementation of approved plans by category: </w:t>
      </w:r>
    </w:p>
    <w:p w14:paraId="62EF9ED1" w14:textId="77777777" w:rsidR="00FA1FE7" w:rsidRDefault="00FA1FE7" w:rsidP="00CB0C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- fulfillment of 116.9% on tax revenues, with a forecast of 5,311,142 thousand tenge, received 6,206,308.2 thousand tenge. The rate of decline compared to the same period last year was 17.8%;</w:t>
      </w:r>
    </w:p>
    <w:p w14:paraId="040A57A5" w14:textId="77777777" w:rsidR="00FA1FE7" w:rsidRDefault="00FA1FE7" w:rsidP="00C438E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- for non-tax receipts, the forecast non-fulfillment amounted to 909.4 thousand tenge, with a forecast of 52,901 thousand tenge, 51,991.6 thousand tenge were received. In comparison with 2025, receipts decreased by 7,443.7 thousand tenge or 12.5%;</w:t>
      </w:r>
    </w:p>
    <w:p w14:paraId="4B94FB44" w14:textId="77777777" w:rsidR="00FA1FE7" w:rsidRDefault="00FA1FE7" w:rsidP="00C438E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- according to the proceeds from the sale of fixed assets, the over-fulfillment amounted to 855.1 thousand tenge. In comparison with 2025, receipts increased by 4065.8 thousand tenge or 4.5%.</w:t>
      </w:r>
    </w:p>
    <w:p w14:paraId="424B3F88" w14:textId="77777777" w:rsidR="00FA1FE7" w:rsidRDefault="00FA1FE7" w:rsidP="00A056A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The development of the budget of the city of Ridder (without redeemable codes) on 01.09.2026 is 99.0% (the plan is 3552524.8 thousand rubles). tenge, cash expenses – 3516040.8 thousand rubles tenge). The remaining balance as of 09/01/2026 is 36484.0 thousand people. tenge (OB – 35151.6 thousand tenge). tenge, GB – 1332.4 thousand tenge), including:</w:t>
      </w:r>
    </w:p>
    <w:p w14:paraId="06D22A75" w14:textId="77777777" w:rsidR="00FA1FE7" w:rsidRDefault="00FA1FE7" w:rsidP="00FA1FE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- 20,903.6 thousand tenge-no transfers were received for the construction of an ICI to an apartment building in the 6th </w:t>
      </w:r>
      <w:proofErr w:type="spellStart"/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microdistrict</w:t>
      </w:r>
      <w:proofErr w:type="spellEnd"/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, pos. 18 (OB);</w:t>
      </w:r>
    </w:p>
    <w:p w14:paraId="1E4CE8CE" w14:textId="77777777" w:rsidR="00FA1FE7" w:rsidRDefault="00FA1FE7" w:rsidP="00FA1FE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- 13093.6 thousand tenge-decrease in the number of recipients of social benefits (OB); </w:t>
      </w:r>
    </w:p>
    <w:p w14:paraId="1AEFA47D" w14:textId="77777777" w:rsidR="00FA1FE7" w:rsidRDefault="00FA1FE7" w:rsidP="00FA1FE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- 1154.4 thousand tenge-late submission of invoices for payment to the treasury authorities for per capita financing (OB); </w:t>
      </w:r>
    </w:p>
    <w:p w14:paraId="0EC1E949" w14:textId="77777777" w:rsidR="00FA1FE7" w:rsidRDefault="00FA1FE7" w:rsidP="00FA1FE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-502.9 thousand tenge-acts for a smaller amount (GB); </w:t>
      </w:r>
    </w:p>
    <w:p w14:paraId="0CF51CA8" w14:textId="77777777" w:rsidR="00FA1FE7" w:rsidRDefault="00FA1FE7" w:rsidP="00FA1FE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- 303 thousand tenge-undistributed reserve balance (GB);</w:t>
      </w:r>
    </w:p>
    <w:p w14:paraId="071D5FF9" w14:textId="77777777" w:rsidR="00FA1FE7" w:rsidRDefault="00FA1FE7" w:rsidP="00FA1FE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- 303 thousand tenge-discrepancy in specifics, requires changes to financing plans (GB); </w:t>
      </w:r>
    </w:p>
    <w:p w14:paraId="322B0D84" w14:textId="1B4D7F67" w:rsidR="00674662" w:rsidRPr="00FA1FE7" w:rsidRDefault="00FA1FE7" w:rsidP="00FA1FE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FA1FE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- 223.5 thousand tenge-other balances: savings on PHOT, changes in the schedule of business trips, due to rounding for all ABP programs.</w:t>
      </w:r>
    </w:p>
    <w:sectPr w:rsidR="00674662" w:rsidRPr="00FA1FE7" w:rsidSect="00155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7603B"/>
    <w:multiLevelType w:val="multilevel"/>
    <w:tmpl w:val="0E983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0227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27E"/>
    <w:rsid w:val="0008720F"/>
    <w:rsid w:val="00155C7F"/>
    <w:rsid w:val="003212D2"/>
    <w:rsid w:val="003611D5"/>
    <w:rsid w:val="003B4398"/>
    <w:rsid w:val="00415AA0"/>
    <w:rsid w:val="004636F0"/>
    <w:rsid w:val="004A442C"/>
    <w:rsid w:val="0055027E"/>
    <w:rsid w:val="005E439A"/>
    <w:rsid w:val="00674662"/>
    <w:rsid w:val="006B1F55"/>
    <w:rsid w:val="006B3458"/>
    <w:rsid w:val="007369B0"/>
    <w:rsid w:val="00760ADC"/>
    <w:rsid w:val="008374BB"/>
    <w:rsid w:val="00933416"/>
    <w:rsid w:val="009D1F70"/>
    <w:rsid w:val="00A056AE"/>
    <w:rsid w:val="00A365F2"/>
    <w:rsid w:val="00C346E7"/>
    <w:rsid w:val="00C438E3"/>
    <w:rsid w:val="00C65459"/>
    <w:rsid w:val="00C95F13"/>
    <w:rsid w:val="00CA6FD0"/>
    <w:rsid w:val="00CB0C23"/>
    <w:rsid w:val="00CB72D2"/>
    <w:rsid w:val="00CC0560"/>
    <w:rsid w:val="00D2508D"/>
    <w:rsid w:val="00D4079E"/>
    <w:rsid w:val="00D90F59"/>
    <w:rsid w:val="00ED243C"/>
    <w:rsid w:val="00F761DA"/>
    <w:rsid w:val="00FA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87D63"/>
  <w15:docId w15:val="{A11293F6-FB17-4A9A-AACE-3864B5E9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C7F"/>
  </w:style>
  <w:style w:type="paragraph" w:styleId="1">
    <w:name w:val="heading 1"/>
    <w:basedOn w:val="a"/>
    <w:next w:val="a"/>
    <w:link w:val="10"/>
    <w:uiPriority w:val="9"/>
    <w:qFormat/>
    <w:rsid w:val="00550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2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0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02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0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0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0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0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02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02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02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02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02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02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02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02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02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02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0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0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0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0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02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02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02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02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02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027E"/>
    <w:rPr>
      <w:b/>
      <w:bCs/>
      <w:smallCaps/>
      <w:color w:val="2F5496" w:themeColor="accent1" w:themeShade="BF"/>
      <w:spacing w:val="5"/>
    </w:rPr>
  </w:style>
  <w:style w:type="paragraph" w:customStyle="1" w:styleId="serp-item">
    <w:name w:val="serp-item"/>
    <w:basedOn w:val="a"/>
    <w:rsid w:val="00CB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2026-05-05T02:57:00Z</cp:lastPrinted>
  <dcterms:created xsi:type="dcterms:W3CDTF">2025-02-05T09:58:00Z</dcterms:created>
  <dcterms:modified xsi:type="dcterms:W3CDTF">2026-09-02T05:19:00Z</dcterms:modified>
</cp:coreProperties>
</file>