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409B" w:rsidRDefault="0001299D">
      <w:pPr>
        <w:pStyle w:val="pc"/>
      </w:pPr>
      <w:bookmarkStart w:id="0" w:name="_GoBack"/>
      <w:bookmarkEnd w:id="0"/>
      <w:r>
        <w:rPr>
          <w:rStyle w:val="s1"/>
        </w:rPr>
        <w:t>Агентство Республики Казахстан по противодействию коррупции (Антикоррупционная служба)</w:t>
      </w:r>
    </w:p>
    <w:p w:rsidR="00B4409B" w:rsidRDefault="0001299D">
      <w:pPr>
        <w:pStyle w:val="pj"/>
        <w:ind w:firstLine="0"/>
        <w:jc w:val="left"/>
      </w:pPr>
      <w:r>
        <w:t> </w:t>
      </w:r>
    </w:p>
    <w:p w:rsidR="00B4409B" w:rsidRDefault="0001299D">
      <w:pPr>
        <w:pStyle w:val="pj"/>
        <w:ind w:firstLine="0"/>
        <w:jc w:val="left"/>
      </w:pPr>
      <w:r>
        <w:t> </w:t>
      </w:r>
    </w:p>
    <w:p w:rsidR="00B4409B" w:rsidRDefault="0001299D">
      <w:pPr>
        <w:pStyle w:val="pc"/>
      </w:pPr>
      <w:r>
        <w:rPr>
          <w:rStyle w:val="s1"/>
        </w:rPr>
        <w:t>Национальный доклад</w:t>
      </w:r>
      <w:r>
        <w:rPr>
          <w:rStyle w:val="s1"/>
        </w:rPr>
        <w:br/>
        <w:t>о противодействии коррупции</w:t>
      </w:r>
      <w:r>
        <w:rPr>
          <w:rStyle w:val="s1"/>
        </w:rPr>
        <w:br/>
        <w:t>за 2023 год</w:t>
      </w:r>
    </w:p>
    <w:p w:rsidR="00B4409B" w:rsidRDefault="0001299D">
      <w:pPr>
        <w:pStyle w:val="pc"/>
      </w:pPr>
      <w:r>
        <w:t> </w:t>
      </w:r>
    </w:p>
    <w:p w:rsidR="00B4409B" w:rsidRDefault="0001299D">
      <w:pPr>
        <w:pStyle w:val="pc"/>
      </w:pPr>
      <w:r>
        <w:rPr>
          <w:rStyle w:val="s1"/>
        </w:rPr>
        <w:t>город Астана</w:t>
      </w:r>
      <w:r>
        <w:rPr>
          <w:rStyle w:val="s1"/>
        </w:rPr>
        <w:br/>
        <w:t>2024 год</w:t>
      </w:r>
    </w:p>
    <w:p w:rsidR="00B4409B" w:rsidRDefault="0001299D">
      <w:pPr>
        <w:pStyle w:val="pc"/>
      </w:pPr>
      <w:r>
        <w:t> </w:t>
      </w:r>
    </w:p>
    <w:p w:rsidR="00B4409B" w:rsidRDefault="0001299D">
      <w:pPr>
        <w:pStyle w:val="pc"/>
      </w:pPr>
      <w:bookmarkStart w:id="1" w:name="ContentStart"/>
      <w:bookmarkEnd w:id="1"/>
      <w:r>
        <w:rPr>
          <w:rStyle w:val="s1"/>
        </w:rPr>
        <w:t>СОДЕРЖАНИЕ</w:t>
      </w:r>
    </w:p>
    <w:p w:rsidR="00B4409B" w:rsidRDefault="0001299D">
      <w:pPr>
        <w:pStyle w:val="pc"/>
      </w:pPr>
      <w:r>
        <w:rPr>
          <w:rStyle w:val="s1"/>
        </w:rPr>
        <w:t> </w:t>
      </w:r>
    </w:p>
    <w:p w:rsidR="00B4409B" w:rsidRDefault="008A306F">
      <w:pPr>
        <w:pStyle w:val="pj"/>
      </w:pPr>
      <w:hyperlink w:anchor="sub101" w:history="1">
        <w:r w:rsidR="0001299D">
          <w:rPr>
            <w:rStyle w:val="a5"/>
          </w:rPr>
          <w:t>Введение</w:t>
        </w:r>
      </w:hyperlink>
    </w:p>
    <w:p w:rsidR="00B4409B" w:rsidRDefault="008A306F">
      <w:pPr>
        <w:pStyle w:val="pj"/>
      </w:pPr>
      <w:hyperlink w:anchor="sub100" w:history="1">
        <w:r w:rsidR="0001299D">
          <w:rPr>
            <w:rStyle w:val="a5"/>
          </w:rPr>
          <w:t>Основная часть</w:t>
        </w:r>
      </w:hyperlink>
    </w:p>
    <w:p w:rsidR="00B4409B" w:rsidRDefault="008A306F">
      <w:pPr>
        <w:pStyle w:val="pj"/>
      </w:pPr>
      <w:hyperlink w:anchor="sub100" w:history="1">
        <w:r w:rsidR="0001299D">
          <w:rPr>
            <w:rStyle w:val="a5"/>
          </w:rPr>
          <w:t>1. Формирование антикоррупционной культуры</w:t>
        </w:r>
      </w:hyperlink>
    </w:p>
    <w:p w:rsidR="00B4409B" w:rsidRDefault="008A306F">
      <w:pPr>
        <w:pStyle w:val="pj"/>
      </w:pPr>
      <w:hyperlink w:anchor="sub200" w:history="1">
        <w:r w:rsidR="0001299D">
          <w:rPr>
            <w:rStyle w:val="a5"/>
          </w:rPr>
          <w:t>2. Внешний анализ коррупционных рисков</w:t>
        </w:r>
      </w:hyperlink>
    </w:p>
    <w:p w:rsidR="00B4409B" w:rsidRDefault="008A306F">
      <w:pPr>
        <w:pStyle w:val="pj"/>
      </w:pPr>
      <w:hyperlink w:anchor="sub20100" w:history="1">
        <w:r w:rsidR="0001299D">
          <w:rPr>
            <w:rStyle w:val="a5"/>
          </w:rPr>
          <w:t>2.1. Внешний анализ коррупционных рисков по вопросам строительства и выделения земельных участков в предгорных зонах г. Алматы</w:t>
        </w:r>
      </w:hyperlink>
    </w:p>
    <w:p w:rsidR="00B4409B" w:rsidRDefault="008A306F">
      <w:pPr>
        <w:pStyle w:val="pj"/>
      </w:pPr>
      <w:hyperlink w:anchor="sub20200" w:history="1">
        <w:r w:rsidR="0001299D">
          <w:rPr>
            <w:rStyle w:val="a5"/>
          </w:rPr>
          <w:t>2.2. Внешний анализ коррупционных рисков по вопросам планирования и освоения бюджетных средств в сфере образования</w:t>
        </w:r>
      </w:hyperlink>
    </w:p>
    <w:p w:rsidR="00B4409B" w:rsidRDefault="008A306F">
      <w:pPr>
        <w:pStyle w:val="pj"/>
      </w:pPr>
      <w:hyperlink w:anchor="sub20300" w:history="1">
        <w:r w:rsidR="0001299D">
          <w:rPr>
            <w:rStyle w:val="a5"/>
          </w:rPr>
          <w:t>2.3. Внешний анализ коррупционных рисков по вопросам оборота бланков диплома об образовании и присуждения ученых степеней</w:t>
        </w:r>
      </w:hyperlink>
    </w:p>
    <w:p w:rsidR="00B4409B" w:rsidRDefault="008A306F">
      <w:pPr>
        <w:pStyle w:val="pj"/>
      </w:pPr>
      <w:hyperlink w:anchor="sub300" w:history="1">
        <w:r w:rsidR="0001299D">
          <w:rPr>
            <w:rStyle w:val="a5"/>
          </w:rPr>
          <w:t>3. Антикоррупционный мониторинг</w:t>
        </w:r>
      </w:hyperlink>
    </w:p>
    <w:p w:rsidR="00B4409B" w:rsidRDefault="008A306F">
      <w:pPr>
        <w:pStyle w:val="pj"/>
      </w:pPr>
      <w:hyperlink w:anchor="sub400" w:history="1">
        <w:r w:rsidR="0001299D">
          <w:rPr>
            <w:rStyle w:val="a5"/>
          </w:rPr>
          <w:t>4. Научная антикоррупционная экспертиза проектов нормативных правовых актов</w:t>
        </w:r>
      </w:hyperlink>
    </w:p>
    <w:p w:rsidR="00B4409B" w:rsidRDefault="008A306F">
      <w:pPr>
        <w:pStyle w:val="pj"/>
      </w:pPr>
      <w:hyperlink w:anchor="sub500" w:history="1">
        <w:r w:rsidR="0001299D">
          <w:rPr>
            <w:rStyle w:val="a5"/>
          </w:rPr>
          <w:t>5. Противодействие коррупции в сфере предпринимательства</w:t>
        </w:r>
      </w:hyperlink>
    </w:p>
    <w:p w:rsidR="00B4409B" w:rsidRDefault="008A306F">
      <w:pPr>
        <w:pStyle w:val="pj"/>
      </w:pPr>
      <w:hyperlink w:anchor="sub600" w:history="1">
        <w:r w:rsidR="0001299D">
          <w:rPr>
            <w:rStyle w:val="a5"/>
          </w:rPr>
          <w:t>6. Участие общественности в противодействии коррупции</w:t>
        </w:r>
      </w:hyperlink>
    </w:p>
    <w:p w:rsidR="00B4409B" w:rsidRDefault="008A306F">
      <w:pPr>
        <w:pStyle w:val="pj"/>
      </w:pPr>
      <w:hyperlink w:anchor="sub700" w:history="1">
        <w:r w:rsidR="0001299D">
          <w:rPr>
            <w:rStyle w:val="a5"/>
          </w:rPr>
          <w:t>7. Вовлеченность государственных органов и субъектов квазигосударственного сектора в противодействие коррупции</w:t>
        </w:r>
      </w:hyperlink>
    </w:p>
    <w:p w:rsidR="00B4409B" w:rsidRDefault="008A306F">
      <w:pPr>
        <w:pStyle w:val="pj"/>
      </w:pPr>
      <w:hyperlink w:anchor="sub70100" w:history="1">
        <w:r w:rsidR="0001299D">
          <w:rPr>
            <w:rStyle w:val="a5"/>
          </w:rPr>
          <w:t>7.1. Типовое базовое направление по противодействию коррупции</w:t>
        </w:r>
      </w:hyperlink>
    </w:p>
    <w:p w:rsidR="00B4409B" w:rsidRDefault="008A306F">
      <w:pPr>
        <w:pStyle w:val="pj"/>
      </w:pPr>
      <w:hyperlink w:anchor="sub70200" w:history="1">
        <w:r w:rsidR="0001299D">
          <w:rPr>
            <w:rStyle w:val="a5"/>
          </w:rPr>
          <w:t>7.2. Коллегиальные органы по противодействию коррупции</w:t>
        </w:r>
      </w:hyperlink>
    </w:p>
    <w:p w:rsidR="00B4409B" w:rsidRDefault="008A306F">
      <w:pPr>
        <w:pStyle w:val="pj"/>
      </w:pPr>
      <w:hyperlink w:anchor="sub800" w:history="1">
        <w:r w:rsidR="0001299D">
          <w:rPr>
            <w:rStyle w:val="a5"/>
          </w:rPr>
          <w:t>8. Дебюрократизация и цифровизация государственного аппарата</w:t>
        </w:r>
      </w:hyperlink>
    </w:p>
    <w:p w:rsidR="00B4409B" w:rsidRDefault="008A306F">
      <w:pPr>
        <w:pStyle w:val="pj"/>
      </w:pPr>
      <w:hyperlink w:anchor="sub900" w:history="1">
        <w:r w:rsidR="0001299D">
          <w:rPr>
            <w:rStyle w:val="a5"/>
          </w:rPr>
          <w:t>9. Минимизация коррупционных рисков в сфере государственной службы</w:t>
        </w:r>
      </w:hyperlink>
    </w:p>
    <w:p w:rsidR="00B4409B" w:rsidRDefault="008A306F">
      <w:pPr>
        <w:pStyle w:val="pj"/>
      </w:pPr>
      <w:hyperlink w:anchor="sub1000" w:history="1">
        <w:r w:rsidR="0001299D">
          <w:rPr>
            <w:rStyle w:val="a5"/>
          </w:rPr>
          <w:t>10. Обеспечение неотвратимости ответственности</w:t>
        </w:r>
      </w:hyperlink>
    </w:p>
    <w:p w:rsidR="00B4409B" w:rsidRDefault="008A306F">
      <w:pPr>
        <w:pStyle w:val="pj"/>
      </w:pPr>
      <w:hyperlink w:anchor="sub1100" w:history="1">
        <w:r w:rsidR="0001299D">
          <w:rPr>
            <w:rStyle w:val="a5"/>
          </w:rPr>
          <w:t>11. Новые антикоррупционные инструменты</w:t>
        </w:r>
      </w:hyperlink>
    </w:p>
    <w:p w:rsidR="00B4409B" w:rsidRDefault="008A306F">
      <w:pPr>
        <w:pStyle w:val="pj"/>
      </w:pPr>
      <w:hyperlink w:anchor="sub1200" w:history="1">
        <w:r w:rsidR="0001299D">
          <w:rPr>
            <w:rStyle w:val="a5"/>
          </w:rPr>
          <w:t>12. Международное сотрудничество</w:t>
        </w:r>
      </w:hyperlink>
    </w:p>
    <w:p w:rsidR="00B4409B" w:rsidRDefault="008A306F">
      <w:pPr>
        <w:pStyle w:val="pj"/>
      </w:pPr>
      <w:hyperlink w:anchor="sub1300" w:history="1">
        <w:r w:rsidR="0001299D">
          <w:rPr>
            <w:rStyle w:val="a5"/>
          </w:rPr>
          <w:t>13. Исследования и рейтинги в сфере противодействия коррупции. Состояние и тенденции распространения коррупции на международном уровне</w:t>
        </w:r>
      </w:hyperlink>
    </w:p>
    <w:p w:rsidR="00B4409B" w:rsidRDefault="008A306F">
      <w:pPr>
        <w:pStyle w:val="pj"/>
      </w:pPr>
      <w:hyperlink w:anchor="sub102" w:history="1">
        <w:r w:rsidR="0001299D">
          <w:rPr>
            <w:rStyle w:val="a5"/>
          </w:rPr>
          <w:t>Заключение</w:t>
        </w:r>
      </w:hyperlink>
    </w:p>
    <w:p w:rsidR="00B4409B" w:rsidRDefault="008A306F">
      <w:pPr>
        <w:pStyle w:val="pj"/>
      </w:pPr>
      <w:hyperlink w:anchor="sub1" w:history="1">
        <w:r w:rsidR="0001299D">
          <w:rPr>
            <w:rStyle w:val="a5"/>
          </w:rPr>
          <w:t>Список ссылок</w:t>
        </w:r>
      </w:hyperlink>
    </w:p>
    <w:p w:rsidR="00B4409B" w:rsidRDefault="0001299D">
      <w:pPr>
        <w:pStyle w:val="pc"/>
      </w:pPr>
      <w:bookmarkStart w:id="2" w:name="ContentEnd"/>
      <w:bookmarkEnd w:id="2"/>
      <w:r>
        <w:rPr>
          <w:rStyle w:val="s1"/>
        </w:rPr>
        <w:t> </w:t>
      </w:r>
    </w:p>
    <w:p w:rsidR="00B4409B" w:rsidRDefault="0001299D">
      <w:pPr>
        <w:pStyle w:val="pc"/>
      </w:pPr>
      <w:r>
        <w:rPr>
          <w:rStyle w:val="s1"/>
        </w:rPr>
        <w:t> </w:t>
      </w:r>
    </w:p>
    <w:p w:rsidR="00B4409B" w:rsidRDefault="0001299D">
      <w:pPr>
        <w:pStyle w:val="pj"/>
        <w:ind w:firstLine="708"/>
        <w:jc w:val="left"/>
      </w:pPr>
      <w:r>
        <w:rPr>
          <w:b/>
          <w:bCs/>
          <w:color w:val="003B5C"/>
        </w:rPr>
        <w:t> </w:t>
      </w:r>
    </w:p>
    <w:p w:rsidR="00B4409B" w:rsidRDefault="0001299D">
      <w:pPr>
        <w:pStyle w:val="pc"/>
      </w:pPr>
      <w:bookmarkStart w:id="3" w:name="SUB101"/>
      <w:bookmarkEnd w:id="3"/>
      <w:r>
        <w:rPr>
          <w:rStyle w:val="s1"/>
        </w:rPr>
        <w:t>ВВЕДЕНИЕ</w:t>
      </w:r>
    </w:p>
    <w:p w:rsidR="00B4409B" w:rsidRDefault="0001299D">
      <w:pPr>
        <w:pStyle w:val="pj"/>
      </w:pPr>
      <w:r>
        <w:rPr>
          <w:rStyle w:val="s0"/>
        </w:rPr>
        <w:t> </w:t>
      </w:r>
    </w:p>
    <w:p w:rsidR="00B4409B" w:rsidRDefault="0001299D">
      <w:pPr>
        <w:pStyle w:val="pj"/>
      </w:pPr>
      <w:r>
        <w:rPr>
          <w:rStyle w:val="s0"/>
        </w:rPr>
        <w:t xml:space="preserve">Настоящий доклад подготовлен во исполнение </w:t>
      </w:r>
      <w:hyperlink r:id="rId6" w:anchor="sub_id=170000" w:history="1">
        <w:r>
          <w:rPr>
            <w:rStyle w:val="a5"/>
          </w:rPr>
          <w:t>статьи 17</w:t>
        </w:r>
      </w:hyperlink>
      <w:r>
        <w:rPr>
          <w:rStyle w:val="s0"/>
        </w:rPr>
        <w:t xml:space="preserve"> Закона Республики Казахстан «О противодействии коррупции» с соблюдением требований соответствующих Правил. </w:t>
      </w:r>
      <w:hyperlink w:anchor="sub1" w:history="1">
        <w:r>
          <w:rPr>
            <w:rStyle w:val="a5"/>
          </w:rPr>
          <w:t>[1]</w:t>
        </w:r>
      </w:hyperlink>
    </w:p>
    <w:p w:rsidR="00B4409B" w:rsidRDefault="0001299D">
      <w:pPr>
        <w:pStyle w:val="pj"/>
      </w:pPr>
      <w:r>
        <w:rPr>
          <w:rStyle w:val="s0"/>
        </w:rPr>
        <w:t>Целью документа является информирование общества о результатах реализации антикоррупционной политики Казахстана в 2023 году.</w:t>
      </w:r>
    </w:p>
    <w:p w:rsidR="00B4409B" w:rsidRDefault="0001299D">
      <w:pPr>
        <w:pStyle w:val="pj"/>
      </w:pPr>
      <w:r>
        <w:rPr>
          <w:rStyle w:val="s0"/>
        </w:rPr>
        <w:lastRenderedPageBreak/>
        <w:t>Представлены законодательные и практические меры по минимизации коррупционных рисков и обеспечению неотвратимости ответственности за коррупцию, выводы и предложения по дальнейшему совершенствованию антикоррупционной политики.</w:t>
      </w:r>
    </w:p>
    <w:p w:rsidR="00B4409B" w:rsidRDefault="0001299D">
      <w:pPr>
        <w:pStyle w:val="pj"/>
      </w:pPr>
      <w:r>
        <w:rPr>
          <w:rStyle w:val="s0"/>
        </w:rPr>
        <w:t>Отражены усилия Казахстана по международному сотрудничеству в вопросах борьбы с коррупцией, а также итоги независимой оценки уровня восприятия коррупции в стране и мире.</w:t>
      </w:r>
    </w:p>
    <w:p w:rsidR="00B4409B" w:rsidRDefault="0001299D">
      <w:pPr>
        <w:pStyle w:val="pj"/>
      </w:pPr>
      <w:r>
        <w:rPr>
          <w:rStyle w:val="s0"/>
        </w:rPr>
        <w:t>Документ предназначен для широкого круга читателей - граждан, предпринимателей, экспертов, ученых, государственных служащих и других заинтересованных лиц.</w:t>
      </w:r>
    </w:p>
    <w:p w:rsidR="00B4409B" w:rsidRDefault="0001299D">
      <w:pPr>
        <w:pStyle w:val="pj"/>
      </w:pPr>
      <w:r>
        <w:rPr>
          <w:rStyle w:val="s0"/>
        </w:rPr>
        <w:t> </w:t>
      </w:r>
    </w:p>
    <w:p w:rsidR="00B4409B" w:rsidRDefault="0001299D">
      <w:pPr>
        <w:pStyle w:val="pj"/>
      </w:pPr>
      <w:r>
        <w:rPr>
          <w:rStyle w:val="s0"/>
        </w:rPr>
        <w:t> </w:t>
      </w:r>
    </w:p>
    <w:p w:rsidR="00B4409B" w:rsidRDefault="0001299D">
      <w:pPr>
        <w:pStyle w:val="pc"/>
      </w:pPr>
      <w:bookmarkStart w:id="4" w:name="SUB100"/>
      <w:bookmarkEnd w:id="4"/>
      <w:r>
        <w:rPr>
          <w:rStyle w:val="s1"/>
        </w:rPr>
        <w:t>ОСНОВНАЯ ЧАСТЬ</w:t>
      </w:r>
    </w:p>
    <w:p w:rsidR="00B4409B" w:rsidRDefault="0001299D">
      <w:pPr>
        <w:pStyle w:val="pj"/>
        <w:ind w:firstLine="0"/>
        <w:jc w:val="left"/>
      </w:pPr>
      <w:r>
        <w:t> </w:t>
      </w:r>
    </w:p>
    <w:p w:rsidR="00B4409B" w:rsidRDefault="0001299D">
      <w:pPr>
        <w:pStyle w:val="pc"/>
      </w:pPr>
      <w:r>
        <w:rPr>
          <w:rStyle w:val="s1"/>
        </w:rPr>
        <w:t>1. Формирование антикоррупционной культуры</w:t>
      </w:r>
    </w:p>
    <w:p w:rsidR="00B4409B" w:rsidRDefault="0001299D">
      <w:pPr>
        <w:pStyle w:val="pj"/>
        <w:ind w:firstLine="708"/>
      </w:pPr>
      <w:r>
        <w:t> </w:t>
      </w:r>
    </w:p>
    <w:p w:rsidR="00B4409B" w:rsidRDefault="0001299D">
      <w:pPr>
        <w:pStyle w:val="pj"/>
      </w:pPr>
      <w:r>
        <w:t>Антикоррупционной службой продолжена системная работа по формированию антикоррупционной культуры в обществе.</w:t>
      </w:r>
    </w:p>
    <w:p w:rsidR="00B4409B" w:rsidRDefault="0001299D">
      <w:pPr>
        <w:pStyle w:val="pj"/>
      </w:pPr>
      <w:r>
        <w:t xml:space="preserve">В целях ее усиления утвержден План мероприятий по проведению информационной работы с декомпозицией на уровне различных целевых групп на 2023-2026 годы </w:t>
      </w:r>
      <w:r>
        <w:rPr>
          <w:i/>
          <w:iCs/>
        </w:rPr>
        <w:t>(</w:t>
      </w:r>
      <w:hyperlink r:id="rId7" w:history="1">
        <w:r>
          <w:rPr>
            <w:rStyle w:val="a5"/>
          </w:rPr>
          <w:t>постановление</w:t>
        </w:r>
      </w:hyperlink>
      <w:r>
        <w:rPr>
          <w:i/>
          <w:iCs/>
        </w:rPr>
        <w:t xml:space="preserve"> Правительства Республики Казахстан от 31.12.2022 г. № 1147)</w:t>
      </w:r>
      <w:r>
        <w:t>.</w:t>
      </w:r>
    </w:p>
    <w:p w:rsidR="00B4409B" w:rsidRDefault="0001299D">
      <w:pPr>
        <w:pStyle w:val="pj"/>
      </w:pPr>
      <w:r>
        <w:t>Тем самым впервые на уровне Правительства создана правовая основа для полноценного вовлечения всех госорганов в работу по укреплению в сознании граждан иммунитета против коррупции.</w:t>
      </w:r>
    </w:p>
    <w:p w:rsidR="00B4409B" w:rsidRDefault="0001299D">
      <w:pPr>
        <w:pStyle w:val="pj"/>
      </w:pPr>
      <w:r>
        <w:t xml:space="preserve">План состоит из 40 пунктов, предусматривающих масштабную работу по изменению ценностей и повышению антикоррупционной культуры в обществе, в том числе путем широкого распространения материалов и проведения мероприятий на антикоррупционную тематику </w:t>
      </w:r>
      <w:r>
        <w:rPr>
          <w:i/>
          <w:iCs/>
        </w:rPr>
        <w:t>(проведение встреч, семинаров, конкурсов, приема граждан; распространение постеров, брошюр, флаеров, буклетов; размещение билбордов и баннеров; создание и трансляция фильмов и видеороликов; публикация статей, постановка спектаклей и др.)</w:t>
      </w:r>
      <w:r>
        <w:t>.</w:t>
      </w:r>
    </w:p>
    <w:p w:rsidR="00B4409B" w:rsidRDefault="0001299D">
      <w:pPr>
        <w:pStyle w:val="pj"/>
      </w:pPr>
      <w:r>
        <w:t xml:space="preserve">Так, местными исполнительными органами изготовлены более 455 тыс. антикоррупционных памяток </w:t>
      </w:r>
      <w:r>
        <w:rPr>
          <w:i/>
          <w:iCs/>
        </w:rPr>
        <w:t>(в бумажном и цифровом форматах)</w:t>
      </w:r>
      <w:r>
        <w:t xml:space="preserve">. Они размещаются на стендах государственных органов, социальных объектов </w:t>
      </w:r>
      <w:r>
        <w:rPr>
          <w:i/>
          <w:iCs/>
        </w:rPr>
        <w:t>(больницы, поликлиники)</w:t>
      </w:r>
      <w:r>
        <w:t xml:space="preserve">, центров обслуживания населения </w:t>
      </w:r>
      <w:r>
        <w:rPr>
          <w:i/>
          <w:iCs/>
        </w:rPr>
        <w:t>(далее - ЦОН)</w:t>
      </w:r>
      <w:r>
        <w:t xml:space="preserve">, маршрутных автобусах, упаковках пищевой продукции </w:t>
      </w:r>
      <w:r>
        <w:rPr>
          <w:i/>
          <w:iCs/>
        </w:rPr>
        <w:t>(стаканчики для кофе, бутилированная вода, упаковки хлеба и т.д.)</w:t>
      </w:r>
      <w:r>
        <w:t>. К их распространению привлекаются волонтеры из числа студентов колледжей и высших учебных заведений.</w:t>
      </w:r>
    </w:p>
    <w:p w:rsidR="00B4409B" w:rsidRDefault="0001299D">
      <w:pPr>
        <w:pStyle w:val="pj"/>
      </w:pPr>
      <w:r>
        <w:t xml:space="preserve">Также более 5 млн квитанций коммунальных услуг с антикоррупционной тематикой распространены в ряде регионов </w:t>
      </w:r>
      <w:r>
        <w:rPr>
          <w:i/>
          <w:iCs/>
        </w:rPr>
        <w:t>(Атырауская область - 812 тыс., Костанайская область - 462 тыс., г. Астана и Карагандинская область - по 400 тыс., Акмолинская область - 186 тыс. и Актюбинская область - 83 тыс.).</w:t>
      </w:r>
    </w:p>
    <w:p w:rsidR="00B4409B" w:rsidRDefault="0001299D">
      <w:pPr>
        <w:pStyle w:val="pj"/>
      </w:pPr>
      <w:r>
        <w:t xml:space="preserve">В г. Астане запущено SMS-оповещение с предупреждением об ответственности за совершение коррупционных преступлений </w:t>
      </w:r>
      <w:r>
        <w:rPr>
          <w:i/>
          <w:iCs/>
        </w:rPr>
        <w:t>(охвачено более 1 млн абонентов)</w:t>
      </w:r>
      <w:r>
        <w:t>.</w:t>
      </w:r>
    </w:p>
    <w:p w:rsidR="00B4409B" w:rsidRDefault="0001299D">
      <w:pPr>
        <w:pStyle w:val="pj"/>
      </w:pPr>
      <w:r>
        <w:t>Во всех регионах страны в местах массового скопления людей размещено более 2 тыс. билбордов и баннеров антикоррупционной направленности.</w:t>
      </w:r>
    </w:p>
    <w:p w:rsidR="00B4409B" w:rsidRDefault="0001299D">
      <w:pPr>
        <w:pStyle w:val="pj"/>
      </w:pPr>
      <w:r>
        <w:t xml:space="preserve">Антикоррупционные видеоролики </w:t>
      </w:r>
      <w:r>
        <w:rPr>
          <w:i/>
          <w:iCs/>
        </w:rPr>
        <w:t>(свыше 210)</w:t>
      </w:r>
      <w:r>
        <w:t xml:space="preserve"> демонстрируются на LED-экранах городов республиканского значения и областных центров, телеканалах, в общественных местах </w:t>
      </w:r>
      <w:r>
        <w:rPr>
          <w:i/>
          <w:iCs/>
        </w:rPr>
        <w:t>(в ЦОНах, аэропортах, городских автобусах и т.д.)</w:t>
      </w:r>
      <w:r>
        <w:t>, в кинотеатрах перед началом сеансов.</w:t>
      </w:r>
    </w:p>
    <w:p w:rsidR="00B4409B" w:rsidRDefault="0001299D">
      <w:pPr>
        <w:pStyle w:val="pj"/>
      </w:pPr>
      <w:r>
        <w:t xml:space="preserve">Антикоррупционные аудиоролики </w:t>
      </w:r>
      <w:r>
        <w:rPr>
          <w:i/>
          <w:iCs/>
        </w:rPr>
        <w:t>(о деятельности call-центра 1424, о запрете получения подарков, о разрешении конфликта интересов, о коррупционных кейсах и т.д.)</w:t>
      </w:r>
      <w:r>
        <w:t xml:space="preserve"> транслируются на региональных радиостанциях, а также в общественных местах </w:t>
      </w:r>
      <w:r>
        <w:rPr>
          <w:i/>
          <w:iCs/>
        </w:rPr>
        <w:t xml:space="preserve">(театры, </w:t>
      </w:r>
      <w:r>
        <w:rPr>
          <w:i/>
          <w:iCs/>
        </w:rPr>
        <w:lastRenderedPageBreak/>
        <w:t>вокзалы, ЦОНы, аэропорты, образовательные учреждения, городские автобусы, торговые центры и др.)</w:t>
      </w:r>
      <w:r>
        <w:t>.</w:t>
      </w:r>
    </w:p>
    <w:p w:rsidR="00B4409B" w:rsidRDefault="0001299D">
      <w:pPr>
        <w:pStyle w:val="pj"/>
      </w:pPr>
      <w:r>
        <w:t>В регионах состоялись показы 69 спектаклей на антикоррупционную тематику, на премьеры которых были приглашены первые руководители государственных органов и организаций.</w:t>
      </w:r>
    </w:p>
    <w:p w:rsidR="00B4409B" w:rsidRDefault="0001299D">
      <w:pPr>
        <w:pStyle w:val="pj"/>
      </w:pPr>
      <w:r>
        <w:t xml:space="preserve">Агентством по противодействию коррупции </w:t>
      </w:r>
      <w:r>
        <w:rPr>
          <w:i/>
          <w:iCs/>
        </w:rPr>
        <w:t>(далее - Агентство, Антикоррупционная служба)</w:t>
      </w:r>
      <w:r>
        <w:t xml:space="preserve"> совместно с республиканским телеканалом «24KZ» на еженедельной основе осуществляется выпуск программы «STOP коррупция» и «STOP жемқорлық» </w:t>
      </w:r>
      <w:r>
        <w:rPr>
          <w:i/>
          <w:iCs/>
        </w:rPr>
        <w:t>(в 2023 году транслировалось 32 выпуска программы, по 16 на казахском и русском языках)</w:t>
      </w:r>
      <w:r>
        <w:t>.</w:t>
      </w:r>
    </w:p>
    <w:p w:rsidR="00B4409B" w:rsidRDefault="0001299D">
      <w:pPr>
        <w:pStyle w:val="pj"/>
      </w:pPr>
      <w:r>
        <w:t>В целях формирования положительного образа сотрудников правоохранительных органов и повышения престижа антикоррупционной службы снят сериал «QANA», основанный на реальных уголовных делах, трансляция которого проводилась на телеканале «Хабар».</w:t>
      </w:r>
    </w:p>
    <w:p w:rsidR="00B4409B" w:rsidRDefault="0001299D">
      <w:pPr>
        <w:pStyle w:val="pj"/>
      </w:pPr>
      <w:r>
        <w:t xml:space="preserve">На антикоррупционную тематику в республиканских средствах массовой информации </w:t>
      </w:r>
      <w:r>
        <w:rPr>
          <w:i/>
          <w:iCs/>
        </w:rPr>
        <w:t>(далее - СМИ)</w:t>
      </w:r>
      <w:r>
        <w:t xml:space="preserve"> опубликованы авторские статьи руководителей центральных исполнительных органов </w:t>
      </w:r>
      <w:r>
        <w:rPr>
          <w:i/>
          <w:iCs/>
        </w:rPr>
        <w:t>(9)</w:t>
      </w:r>
      <w:r>
        <w:t xml:space="preserve"> и акимов всех уровней </w:t>
      </w:r>
      <w:r>
        <w:rPr>
          <w:i/>
          <w:iCs/>
        </w:rPr>
        <w:t>(257)</w:t>
      </w:r>
      <w:r>
        <w:t>.</w:t>
      </w:r>
    </w:p>
    <w:p w:rsidR="00B4409B" w:rsidRDefault="0001299D">
      <w:pPr>
        <w:pStyle w:val="pj"/>
      </w:pPr>
      <w:r>
        <w:t>Во всех регионах страны с представителями профсоюзных объединений проведено более тысячи мероприятий различного формата с охватом более 52 тыс. человек.</w:t>
      </w:r>
    </w:p>
    <w:p w:rsidR="00B4409B" w:rsidRDefault="0001299D">
      <w:pPr>
        <w:pStyle w:val="pj"/>
      </w:pPr>
      <w:r>
        <w:t>В библиотеках, вплоть до сельских округов, организованы антикоррупционные книжные выставки. Вниманию посетителей представлены книги, брошюры, сборники, журналы и другие материалы об антикоррупционной политике Казахстана.</w:t>
      </w:r>
    </w:p>
    <w:p w:rsidR="00B4409B" w:rsidRDefault="0001299D">
      <w:pPr>
        <w:pStyle w:val="pj"/>
      </w:pPr>
      <w:r>
        <w:t>Наряду с этим, центральными и местными исполнительными государственными органами изданы приказы</w:t>
      </w:r>
      <w:r>
        <w:rPr>
          <w:b/>
          <w:bCs/>
        </w:rPr>
        <w:t xml:space="preserve"> по правовой пропаганде</w:t>
      </w:r>
      <w:r>
        <w:t xml:space="preserve"> для обеспечения точечного информирования граждан и предпринимателей об их правах с разъяснением действующих правовых актов понятным и кратким языком </w:t>
      </w:r>
      <w:r>
        <w:rPr>
          <w:i/>
          <w:iCs/>
        </w:rPr>
        <w:t>(с применением цифровых решений по определенным жизненным ситуациям и юридическим фактам)</w:t>
      </w:r>
      <w:r>
        <w:t>.</w:t>
      </w:r>
    </w:p>
    <w:p w:rsidR="00B4409B" w:rsidRDefault="0001299D">
      <w:pPr>
        <w:pStyle w:val="pj"/>
      </w:pPr>
      <w:r>
        <w:t>Достаточная правовая информированность населения, наличие каналов качественной передачи информации позволяют защищать граждан от нарушений закона, ущемления их прав и свобод.</w:t>
      </w:r>
    </w:p>
    <w:p w:rsidR="00B4409B" w:rsidRDefault="0001299D">
      <w:pPr>
        <w:pStyle w:val="pj"/>
      </w:pPr>
      <w:r>
        <w:t xml:space="preserve">Неотъемлемым компонентом укрепления антикоррупционной культуры в обществе является </w:t>
      </w:r>
      <w:r>
        <w:rPr>
          <w:b/>
          <w:bCs/>
        </w:rPr>
        <w:t>антикоррупционное образование</w:t>
      </w:r>
      <w:r>
        <w:t xml:space="preserve">. Во исполнение Концепции антикоррупционной политики на 2022-2026 годы </w:t>
      </w:r>
      <w:r>
        <w:rPr>
          <w:i/>
          <w:iCs/>
        </w:rPr>
        <w:t>(</w:t>
      </w:r>
      <w:hyperlink r:id="rId8" w:history="1">
        <w:r>
          <w:rPr>
            <w:rStyle w:val="a5"/>
          </w:rPr>
          <w:t>Указ</w:t>
        </w:r>
      </w:hyperlink>
      <w:r>
        <w:rPr>
          <w:i/>
          <w:iCs/>
        </w:rPr>
        <w:t xml:space="preserve"> Президента Республики Казахстан от 02.02.2022 г. № 802)</w:t>
      </w:r>
      <w:r>
        <w:t xml:space="preserve"> </w:t>
      </w:r>
      <w:r>
        <w:rPr>
          <w:i/>
          <w:iCs/>
        </w:rPr>
        <w:t xml:space="preserve">(далее - Концепция антикоррупционной политики) </w:t>
      </w:r>
      <w:r>
        <w:t xml:space="preserve">оно внедрено на всех уровнях </w:t>
      </w:r>
      <w:r>
        <w:rPr>
          <w:i/>
          <w:iCs/>
        </w:rPr>
        <w:t>(детские сады, школы, колледжи, высшие учебные заведения)</w:t>
      </w:r>
      <w:r>
        <w:t>.</w:t>
      </w:r>
    </w:p>
    <w:p w:rsidR="00B4409B" w:rsidRDefault="0001299D">
      <w:pPr>
        <w:pStyle w:val="pj"/>
      </w:pPr>
      <w:r>
        <w:t xml:space="preserve">В высших учебных заведениях </w:t>
      </w:r>
      <w:r>
        <w:rPr>
          <w:i/>
          <w:iCs/>
        </w:rPr>
        <w:t>(далее - вуз)</w:t>
      </w:r>
      <w:r>
        <w:t xml:space="preserve"> такое обучение организовано в рамках антикоррупционных элективных дисциплин </w:t>
      </w:r>
      <w:r>
        <w:rPr>
          <w:i/>
          <w:iCs/>
        </w:rPr>
        <w:t>(в 2022-2023 учебном году обучение прошли более 77 тыс. студентов)</w:t>
      </w:r>
      <w:r>
        <w:t>.</w:t>
      </w:r>
    </w:p>
    <w:p w:rsidR="00B4409B" w:rsidRDefault="0001299D">
      <w:pPr>
        <w:pStyle w:val="pj"/>
      </w:pPr>
      <w:r>
        <w:t>В рамках ежегодной акции «Час добропорядочности» проведены встречи с участием сотрудников антикоррупционной службы. В ходе встреч молодежи разъяснена необходимость соблюдения закона и нетерпимого отношения к коррупционным проявлениям, важность укрепления ценностей честности, добропорядочности и справедливости.</w:t>
      </w:r>
    </w:p>
    <w:p w:rsidR="00B4409B" w:rsidRDefault="0001299D">
      <w:pPr>
        <w:pStyle w:val="pj"/>
      </w:pPr>
      <w:r>
        <w:t>На региональном уровне с управлениями образования утверждены совместные планы, проведены разъяснительные встречи с учителями, родителями и учащимися. На сайтах управлений опубликованы приказы о запрете незаконных поборов в организациях образования, организован выпуск статей и интервью руководителей управлений образования.</w:t>
      </w:r>
    </w:p>
    <w:p w:rsidR="00B4409B" w:rsidRDefault="0001299D">
      <w:pPr>
        <w:pStyle w:val="pj"/>
      </w:pPr>
      <w:r>
        <w:t xml:space="preserve">Антикоррупционное образование подрастающего поколения сопровождается воспитательными элементами в виде популярных среди молодежи форм активностей на антикоррупционную тематику. Так, во всех регионах проведены квест-игры </w:t>
      </w:r>
      <w:r>
        <w:lastRenderedPageBreak/>
        <w:t xml:space="preserve">«Antiparacraft», интеллектуальные игры </w:t>
      </w:r>
      <w:r>
        <w:rPr>
          <w:i/>
          <w:iCs/>
        </w:rPr>
        <w:t>(в формате дебатов, квиза, брейн-ринга)</w:t>
      </w:r>
      <w:r>
        <w:t xml:space="preserve">, творческие конкурсы на антикоррупционную тематику </w:t>
      </w:r>
      <w:r>
        <w:rPr>
          <w:i/>
          <w:iCs/>
        </w:rPr>
        <w:t>(социальная реклама, рисунки и др.)</w:t>
      </w:r>
      <w:r>
        <w:t>.</w:t>
      </w:r>
    </w:p>
    <w:p w:rsidR="00B4409B" w:rsidRDefault="0001299D">
      <w:pPr>
        <w:pStyle w:val="pj"/>
      </w:pPr>
      <w:r>
        <w:t>Для формирования антикоррупционного мировоззрения у подрастающего поколения и развития навыков антикоррупционного поведения при поддержке Республиканского учебно-методического центра дополнительного образования Министерства просвещения проведен Республиканский конкурс детских рисунков «Дети против коррупции». Конкурс объединил творчество более 3500 казахстанских детей в возрасте от 7 до 17 лет. Лучшие работы доступны на сайте Агентства и указанного центра.</w:t>
      </w:r>
    </w:p>
    <w:p w:rsidR="00B4409B" w:rsidRDefault="0001299D">
      <w:pPr>
        <w:pStyle w:val="pj"/>
      </w:pPr>
      <w:r>
        <w:t xml:space="preserve">В целях привлечения молодежи к участию в профилактике коррупции, Агентством организовано участие молодых авторов творческих работ на антикоррупционную тематику на Международном молодежном конкурсе социальной рекламы «Вместе против коррупции!». Работы победителей Конкурса представлены в декабре 2023 года в г. Атланте </w:t>
      </w:r>
      <w:r>
        <w:rPr>
          <w:i/>
          <w:iCs/>
        </w:rPr>
        <w:t>(США)</w:t>
      </w:r>
      <w:r>
        <w:t>, видеоролик жителя СКО признан «Лучшим роликом», плакат жителя г. Шымкенте занял третье место.</w:t>
      </w:r>
    </w:p>
    <w:p w:rsidR="00B4409B" w:rsidRDefault="0001299D">
      <w:pPr>
        <w:pStyle w:val="pj"/>
      </w:pPr>
      <w:r>
        <w:t xml:space="preserve">Продолжается работа по развитию </w:t>
      </w:r>
      <w:r>
        <w:rPr>
          <w:b/>
          <w:bCs/>
        </w:rPr>
        <w:t xml:space="preserve">антикоррупционного обучения госслужащих, судей, сотрудников правоохранительных органов, военнослужащих </w:t>
      </w:r>
      <w:r>
        <w:rPr>
          <w:i/>
          <w:iCs/>
        </w:rPr>
        <w:t>(обучено 18 тыс. человек в рамках повышения квалификации, переподготовки, послевузовского образования)</w:t>
      </w:r>
      <w:r>
        <w:t>.</w:t>
      </w:r>
    </w:p>
    <w:p w:rsidR="00B4409B" w:rsidRDefault="0001299D">
      <w:pPr>
        <w:pStyle w:val="pj"/>
      </w:pPr>
      <w:r>
        <w:t xml:space="preserve">Для усиления взаимодействия Агентства с уполномоченными по этике утвержден совместный приказ с Агентством по делам государственной службы </w:t>
      </w:r>
      <w:r>
        <w:rPr>
          <w:i/>
          <w:iCs/>
        </w:rPr>
        <w:t>(далее - АДГС)</w:t>
      </w:r>
      <w:r>
        <w:t>. Предусмотрена системная профилактическая работа с госслужащими, в том числе обучение при поступлении на должность по вопросам добропорядочности, этики и противодействия коррупции.</w:t>
      </w:r>
    </w:p>
    <w:p w:rsidR="00B4409B" w:rsidRDefault="0001299D">
      <w:pPr>
        <w:pStyle w:val="pj"/>
      </w:pPr>
      <w:r>
        <w:t>В июне 2023 года проведена национальная конференция на тему «Перспективы совершенствования мер противодействия коррупции в Республике Казахстан», где обсуждены вопросы противодействия коррупции в государственном управлении, добропорядочности бизнеса и искоренения коррупции в судебной системе и правоохранительных органах.</w:t>
      </w:r>
    </w:p>
    <w:p w:rsidR="00B4409B" w:rsidRDefault="0001299D">
      <w:pPr>
        <w:pStyle w:val="pj"/>
      </w:pPr>
      <w:r>
        <w:t xml:space="preserve">Под девизом «Объединяемся, чтобы помогать!» во всех регионах проведена традиционная республиканская акция «Народный юрист» </w:t>
      </w:r>
      <w:r>
        <w:rPr>
          <w:i/>
          <w:iCs/>
        </w:rPr>
        <w:t>(26.05.2023 г., организаторы: Агентство, сетевое издание Zakon.kz, информационная система «Параграф», госорганы, известные юристы, адвокаты)</w:t>
      </w:r>
      <w:r>
        <w:t>. В рамках акции 1300 юристов и представителей госорганов оказали правовую помощь более 10 тыс. граждан. Информация о мероприятии опубликована на страницах более 563 СМИ и социальных сетей.</w:t>
      </w:r>
    </w:p>
    <w:p w:rsidR="00B4409B" w:rsidRDefault="0001299D">
      <w:pPr>
        <w:pStyle w:val="pj"/>
      </w:pPr>
      <w:r>
        <w:t>Готовность граждан и организаций вносить личный вклад в снижение уровня коррупции выражается в реализации общественных антикоррупционных инициатив.</w:t>
      </w:r>
    </w:p>
    <w:p w:rsidR="00B4409B" w:rsidRDefault="0001299D">
      <w:pPr>
        <w:pStyle w:val="pj"/>
      </w:pPr>
      <w:r>
        <w:t xml:space="preserve">Команда Высшей школы права Maqsut Narikbayev University на основе материалов Агентства разработала антикоррупционный курс «Основы противодействия коррупции. Требования антикоррупционного законодательства». Курс доступен в информационной системе </w:t>
      </w:r>
      <w:r>
        <w:rPr>
          <w:i/>
          <w:iCs/>
        </w:rPr>
        <w:t>(далее - ИС)</w:t>
      </w:r>
      <w:r>
        <w:t xml:space="preserve"> документооборота «Documentolog» для работников центральных и местных исполнительных органов </w:t>
      </w:r>
      <w:r>
        <w:rPr>
          <w:i/>
          <w:iCs/>
        </w:rPr>
        <w:t>(охват порядка 150 тыс. пользователей)</w:t>
      </w:r>
      <w:r>
        <w:t>.</w:t>
      </w:r>
    </w:p>
    <w:p w:rsidR="00B4409B" w:rsidRDefault="0001299D">
      <w:pPr>
        <w:pStyle w:val="pj"/>
      </w:pPr>
      <w:r>
        <w:t xml:space="preserve">В декабре 2023 года в Карагандинской области совместно с общественным объединением «Әділдік жолы» проведен республиканский конкурс антикоррупционных проектов «Инновационные решения против коррупции». Из 120 работ отобрано 6 лучших проектов </w:t>
      </w:r>
      <w:r>
        <w:rPr>
          <w:i/>
          <w:iCs/>
        </w:rPr>
        <w:t>(информационно-образовательная платформа, автоматизация выявления рисков, блокчейн-технологии, настольная и компьютерная игры, разработка антикоррупционных комиксов)</w:t>
      </w:r>
      <w:r>
        <w:t>, которые будут реализованы при сопровождении Агентства и «Әділдік жолы».</w:t>
      </w:r>
    </w:p>
    <w:p w:rsidR="00B4409B" w:rsidRDefault="0001299D">
      <w:pPr>
        <w:pStyle w:val="pj"/>
      </w:pPr>
      <w:r>
        <w:t xml:space="preserve">Агентством совместно с Narxoz University при технической поддержке экспертов ООН разработан проект типовой учебной программы и учебно-методического пособия по </w:t>
      </w:r>
      <w:r>
        <w:lastRenderedPageBreak/>
        <w:t xml:space="preserve">антикоррупционному образованию для вузов с использованием элементов </w:t>
      </w:r>
      <w:r>
        <w:rPr>
          <w:b/>
          <w:bCs/>
        </w:rPr>
        <w:t xml:space="preserve">инициативы Управления по наркотикам и преступности Организации Объединенных Наций </w:t>
      </w:r>
      <w:r>
        <w:rPr>
          <w:i/>
          <w:iCs/>
        </w:rPr>
        <w:t>(далее - УНП ООН)</w:t>
      </w:r>
      <w:r>
        <w:rPr>
          <w:b/>
          <w:bCs/>
        </w:rPr>
        <w:t xml:space="preserve"> «Глобальный ресурс для антикоррупционного образования и расширения прав и возможностей молодежи»</w:t>
      </w:r>
      <w:r>
        <w:t xml:space="preserve"> (GRACE).</w:t>
      </w:r>
    </w:p>
    <w:p w:rsidR="00B4409B" w:rsidRDefault="0001299D">
      <w:pPr>
        <w:pStyle w:val="pj"/>
      </w:pPr>
      <w:r>
        <w:t>Преимуществом создания стандартизованного учебного курса является воспитание антикоррупционной культуры у студентов и вовлечение активной молодежи и ученых к проводимой работе в сфере антикоррупционной политики.</w:t>
      </w:r>
    </w:p>
    <w:p w:rsidR="00B4409B" w:rsidRDefault="0001299D">
      <w:pPr>
        <w:pStyle w:val="pj"/>
      </w:pPr>
      <w:r>
        <w:t> </w:t>
      </w:r>
    </w:p>
    <w:p w:rsidR="00B4409B" w:rsidRDefault="0001299D">
      <w:pPr>
        <w:pStyle w:val="pc"/>
      </w:pPr>
      <w:bookmarkStart w:id="5" w:name="SUB200"/>
      <w:bookmarkEnd w:id="5"/>
      <w:r>
        <w:rPr>
          <w:rStyle w:val="s1"/>
        </w:rPr>
        <w:t>2. Внешний анализ коррупционных рисков</w:t>
      </w:r>
    </w:p>
    <w:p w:rsidR="00B4409B" w:rsidRDefault="0001299D">
      <w:pPr>
        <w:pStyle w:val="p"/>
      </w:pPr>
      <w:r>
        <w:t> </w:t>
      </w:r>
    </w:p>
    <w:p w:rsidR="00B4409B" w:rsidRDefault="0001299D">
      <w:pPr>
        <w:pStyle w:val="pj"/>
      </w:pPr>
      <w:r>
        <w:t>Внешний анализ коррупционных рисков играет важную роль в разработке и реализации эффективных мер по предотвращению коррупции путем выявления и устранения ее причин и условий.</w:t>
      </w:r>
    </w:p>
    <w:p w:rsidR="00B4409B" w:rsidRDefault="0001299D">
      <w:pPr>
        <w:pStyle w:val="pj"/>
      </w:pPr>
      <w:r>
        <w:t>В 2023 году Агентством и его территориальными органами проведено 106 внешних анализов коррупционных рисков, в госорганы внесено 1 118 рекомендаций, из которых исполнено 802 или 71,7%. Анализу подвергнуты сферы здравоохранения, образования, архитектуры, градостроительства и земельных отношении, экологии, занятости и социальных программ, энергетики, сельского хозяйства, спорта и др.</w:t>
      </w:r>
    </w:p>
    <w:p w:rsidR="00B4409B" w:rsidRDefault="0001299D">
      <w:pPr>
        <w:pStyle w:val="p"/>
      </w:pPr>
      <w:r>
        <w:t> </w:t>
      </w:r>
    </w:p>
    <w:p w:rsidR="00B4409B" w:rsidRDefault="0001299D">
      <w:pPr>
        <w:pStyle w:val="pc"/>
      </w:pPr>
      <w:bookmarkStart w:id="6" w:name="SUB20100"/>
      <w:bookmarkEnd w:id="6"/>
      <w:r>
        <w:rPr>
          <w:rStyle w:val="s1"/>
        </w:rPr>
        <w:t>2.1. Внешний анализ коррупционных рисков по вопросам строительства и выделения земельных участков в предгорных зонах г. Алматы</w:t>
      </w:r>
    </w:p>
    <w:p w:rsidR="00B4409B" w:rsidRDefault="0001299D">
      <w:pPr>
        <w:pStyle w:val="pj"/>
      </w:pPr>
      <w:r>
        <w:rPr>
          <w:color w:val="003B5C"/>
        </w:rPr>
        <w:t> </w:t>
      </w:r>
    </w:p>
    <w:p w:rsidR="00B4409B" w:rsidRDefault="0001299D">
      <w:pPr>
        <w:pStyle w:val="pj"/>
      </w:pPr>
      <w:r>
        <w:t>Анализом по вопросам строительства и выделения земельных участков в предгорных зонах г. Алматы установлены системные коррупционные риски в процессах изменения градостроительных документов и целевого назначения земель, строительства объектов, изъятия земель для государственных нужд, а также в деятельности контролирующих органов.</w:t>
      </w:r>
    </w:p>
    <w:p w:rsidR="00B4409B" w:rsidRDefault="0001299D">
      <w:pPr>
        <w:pStyle w:val="pj"/>
      </w:pPr>
      <w:r>
        <w:t>Установлена практика «двойных» стандартов при принятии решения об изменении целевого назначения земли. Почти в каждом третьем случае заявителям сначала отказывали в изменении целевого назначения, а затем этим же лицам выдавали положительные решения.</w:t>
      </w:r>
    </w:p>
    <w:p w:rsidR="00B4409B" w:rsidRDefault="0001299D">
      <w:pPr>
        <w:pStyle w:val="pj"/>
      </w:pPr>
      <w:r>
        <w:t xml:space="preserve">Причиной послужило несоответствие региональных актов нормам </w:t>
      </w:r>
      <w:hyperlink r:id="rId9" w:history="1">
        <w:r>
          <w:rPr>
            <w:rStyle w:val="a5"/>
          </w:rPr>
          <w:t>Земельного кодекса</w:t>
        </w:r>
      </w:hyperlink>
      <w:r>
        <w:t xml:space="preserve"> и в целом пробелы в законодательстве. Отсутствовало нормативное закрепление таких элементарных понятий, как «садовый дом», «усадебная застройка», «мансарда». Генеральный план </w:t>
      </w:r>
      <w:r>
        <w:rPr>
          <w:i/>
          <w:iCs/>
        </w:rPr>
        <w:t>(далее - Генплан)</w:t>
      </w:r>
      <w:r>
        <w:t xml:space="preserve"> г. Алматы утратил свою актуальность еще в 2011 году.</w:t>
      </w:r>
    </w:p>
    <w:p w:rsidR="00B4409B" w:rsidRDefault="0001299D">
      <w:pPr>
        <w:pStyle w:val="pj"/>
      </w:pPr>
      <w:r>
        <w:t>Все эти недостатки позволяли должностным лицам акимата менять целевое назначение земельных участков по своему усмотрению, а землевладельцам - строить жилые дома и комплексы без уплаты разницы кадастровой стоимости. В результате имеющихся пробелов вместо садовых домиков строились многоквартирные жилые комплексы.</w:t>
      </w:r>
    </w:p>
    <w:p w:rsidR="00B4409B" w:rsidRDefault="0001299D">
      <w:pPr>
        <w:pStyle w:val="pj"/>
      </w:pPr>
      <w:r>
        <w:t>Также выявлены факты фиктивного ввода в эксплуатацию зданий для последующего получения земли в частную собственность, а также выкупа земли для государственных нужд по необоснованно высокой цене.</w:t>
      </w:r>
    </w:p>
    <w:p w:rsidR="00B4409B" w:rsidRDefault="0001299D">
      <w:pPr>
        <w:pStyle w:val="pj"/>
      </w:pPr>
      <w:r>
        <w:t>Только по двум случаям сумма завышения стоимости земли составила порядка 4,7 млрд тенге. Тем самым нанесен прямой ущерб государству.</w:t>
      </w:r>
    </w:p>
    <w:p w:rsidR="00B4409B" w:rsidRDefault="0001299D">
      <w:pPr>
        <w:pStyle w:val="pj"/>
      </w:pPr>
      <w:r>
        <w:t xml:space="preserve">Наряду с этим, допускались факты застройки в санитарно-охранных зонах. По информации Министерства по чрезвычайным ситуациям </w:t>
      </w:r>
      <w:r>
        <w:rPr>
          <w:i/>
          <w:iCs/>
        </w:rPr>
        <w:t xml:space="preserve">(далее - МЧС) </w:t>
      </w:r>
      <w:r>
        <w:t>в опасной зоне схода лавин, оползней и селей находятся около 5 тыс. строений, что несет угрозу безопасности более 29 тыс. жителей.</w:t>
      </w:r>
    </w:p>
    <w:p w:rsidR="00B4409B" w:rsidRDefault="0001299D">
      <w:pPr>
        <w:pStyle w:val="pj"/>
      </w:pPr>
      <w:r>
        <w:lastRenderedPageBreak/>
        <w:t>По инициативе Агентства в рекреационную зону возвращено 229,1 га земель. Тем самым установлен запрет на дальнейшее строительство в 6 микрорайонах г. Алматы.</w:t>
      </w:r>
    </w:p>
    <w:p w:rsidR="00B4409B" w:rsidRDefault="0001299D">
      <w:pPr>
        <w:pStyle w:val="pj"/>
      </w:pPr>
      <w:r>
        <w:t>По итогам анализа внесено более 50 рекомендаций.</w:t>
      </w:r>
    </w:p>
    <w:p w:rsidR="00B4409B" w:rsidRDefault="0001299D">
      <w:pPr>
        <w:pStyle w:val="pj"/>
      </w:pPr>
      <w:r>
        <w:t xml:space="preserve">3 мая 2023 года утвержден новый Генплан г. Алматы, где учтены территории, подверженные чрезвычайным ситуациям природного характера </w:t>
      </w:r>
      <w:r>
        <w:rPr>
          <w:i/>
          <w:iCs/>
        </w:rPr>
        <w:t>(селевая, лавинная и оползневая опасность)</w:t>
      </w:r>
      <w:r>
        <w:t>. Теперь отвод земель и застройка в пределах границ объектов будут осуществляться с обязательным проведением изыскательских работ, что позволит обеспечить соблюдение законодательства в сфере чрезвычайных ситуаций и безопасность населения при строительстве.</w:t>
      </w:r>
    </w:p>
    <w:p w:rsidR="00B4409B" w:rsidRDefault="0001299D">
      <w:pPr>
        <w:pStyle w:val="pj"/>
      </w:pPr>
      <w:r>
        <w:t xml:space="preserve">В должностные инструкции архитекторов введена ответственность за невыполнение сверки снимков участков с Генпланом, проектом детальной планировки и схемой функционального зонирования </w:t>
      </w:r>
      <w:r>
        <w:rPr>
          <w:i/>
          <w:iCs/>
        </w:rPr>
        <w:t>(ранее такая ответственность отсутствовала)</w:t>
      </w:r>
      <w:r>
        <w:t>.</w:t>
      </w:r>
    </w:p>
    <w:p w:rsidR="00B4409B" w:rsidRDefault="0001299D">
      <w:pPr>
        <w:pStyle w:val="pj"/>
      </w:pPr>
      <w:r>
        <w:t>По выявленным в предгорных зонах 54 незаконным объектам состоялось 36 судебных актов в пользу государства, в том числе по их сносу.</w:t>
      </w:r>
    </w:p>
    <w:p w:rsidR="00B4409B" w:rsidRDefault="0001299D">
      <w:pPr>
        <w:pStyle w:val="pj"/>
      </w:pPr>
      <w:r>
        <w:t>Иле-Алатауским национальным парком проводятся работы по разработке естественно-научных и технико-экономических обоснований для установления охранной зоны парка. По их результатам акиматом впервые будет принято постановление об установлении такой зоны. Это позволит ограничить негативное воздействие на особо охраняемую природную территорию.</w:t>
      </w:r>
    </w:p>
    <w:p w:rsidR="00B4409B" w:rsidRDefault="0001299D">
      <w:pPr>
        <w:pStyle w:val="pj"/>
      </w:pPr>
      <w:r>
        <w:t>В Мажилис Парламента на рассмотрение внесено 4</w:t>
      </w:r>
      <w:r>
        <w:rPr>
          <w:b/>
          <w:bCs/>
        </w:rPr>
        <w:t xml:space="preserve"> </w:t>
      </w:r>
      <w:r>
        <w:t xml:space="preserve">законопроекта, которые предусматривают усиление ответственности органов государственного архитектурно-строительного контроля </w:t>
      </w:r>
      <w:r>
        <w:rPr>
          <w:i/>
          <w:iCs/>
        </w:rPr>
        <w:t xml:space="preserve">(далее - ГАСК), </w:t>
      </w:r>
      <w:r>
        <w:t>внедрение контроля строительства через ИС «е-Qurylys», согласование градостроительных проектов с МЧС и недопущение срезки горных массивов, а также регламентацию понятий «таунхаус», «индивидуальный жилой дом» и «многоквартирный жилой дом».</w:t>
      </w:r>
    </w:p>
    <w:p w:rsidR="00B4409B" w:rsidRDefault="0001299D">
      <w:pPr>
        <w:pStyle w:val="pj"/>
      </w:pPr>
      <w:r>
        <w:rPr>
          <w:color w:val="003B5C"/>
        </w:rPr>
        <w:t> </w:t>
      </w:r>
    </w:p>
    <w:p w:rsidR="00B4409B" w:rsidRDefault="0001299D">
      <w:pPr>
        <w:pStyle w:val="pc"/>
      </w:pPr>
      <w:bookmarkStart w:id="7" w:name="SUB20200"/>
      <w:bookmarkEnd w:id="7"/>
      <w:r>
        <w:rPr>
          <w:rStyle w:val="s1"/>
        </w:rPr>
        <w:t>2.2. Внешний анализ коррупционных рисков по вопросам планирования и освоения бюджетных средств в сфере образования</w:t>
      </w:r>
    </w:p>
    <w:p w:rsidR="00B4409B" w:rsidRDefault="0001299D">
      <w:pPr>
        <w:pStyle w:val="pj"/>
      </w:pPr>
      <w:r>
        <w:t> </w:t>
      </w:r>
    </w:p>
    <w:p w:rsidR="00B4409B" w:rsidRDefault="0001299D">
      <w:pPr>
        <w:pStyle w:val="pj"/>
      </w:pPr>
      <w:r>
        <w:t xml:space="preserve">Анализом в сфере образования вскрыта схема хищения бюджетных средств из фонда оплаты труда педагогов, установлены системные коррупционные риски на этапах планирования и освоения бюджетных средств. </w:t>
      </w:r>
    </w:p>
    <w:p w:rsidR="00B4409B" w:rsidRDefault="0001299D">
      <w:pPr>
        <w:pStyle w:val="pj"/>
      </w:pPr>
      <w:r>
        <w:t>Многочисленные факты хищений бюджетных средств стали возможными по причине отсутствия автоматизации процессов формирования бюджетных заявок, механизмов предотвращения нарушений и интеграции систем бухгалтерского учета и государственных баз данных.</w:t>
      </w:r>
    </w:p>
    <w:p w:rsidR="00B4409B" w:rsidRDefault="0001299D">
      <w:pPr>
        <w:pStyle w:val="pj"/>
      </w:pPr>
      <w:r>
        <w:t>Основная доля похищаемых бюджетных средств приходится на фонд оплаты труда педагогов. Так, предполагаемые к хищению денежные средства заранее закладывались на уровне школ путем необоснованного завышения бюджетной заявки. Образовавшаяся экономия передвигалась в фонд оплаты труда и распределялась отделом образования среди аффилированных школ.</w:t>
      </w:r>
    </w:p>
    <w:p w:rsidR="00B4409B" w:rsidRDefault="0001299D">
      <w:pPr>
        <w:pStyle w:val="pj"/>
      </w:pPr>
      <w:r>
        <w:t xml:space="preserve">В дальнейшем ключевую роль в хищении играли директора и бухгалтеры школ, которые используя уязвимости программ бухгалтерского учета и государственных информационных систем </w:t>
      </w:r>
      <w:r>
        <w:rPr>
          <w:i/>
          <w:iCs/>
        </w:rPr>
        <w:t>(отсутствие интеграции систем бухгалтерского учета с казначейством и др.)</w:t>
      </w:r>
      <w:r>
        <w:t>, похищали из зарплатного фонда многомиллиардные бюджетные средства.</w:t>
      </w:r>
    </w:p>
    <w:p w:rsidR="00B4409B" w:rsidRDefault="0001299D">
      <w:pPr>
        <w:pStyle w:val="pj"/>
      </w:pPr>
      <w:r>
        <w:t>Бесконтрольно вносились любые изменения, в том числе завышение сумм, включались фиктивные данные посторонних лиц и др.</w:t>
      </w:r>
    </w:p>
    <w:p w:rsidR="00B4409B" w:rsidRDefault="0001299D">
      <w:pPr>
        <w:pStyle w:val="pj"/>
      </w:pPr>
      <w:r>
        <w:t xml:space="preserve">По подобной схеме хищение осуществлялось следующими способами: перечисление зарплаты сверхустановленной нормы; начисление ее посторонним аффилированным </w:t>
      </w:r>
      <w:r>
        <w:lastRenderedPageBreak/>
        <w:t>лицам; начисление на свои карт-счета по реквизитам посторонних лиц; дублирование переводов денежных средств; начисление зарплаты «мертвым душам».</w:t>
      </w:r>
    </w:p>
    <w:p w:rsidR="00B4409B" w:rsidRDefault="0001299D">
      <w:pPr>
        <w:pStyle w:val="pj"/>
      </w:pPr>
      <w:r>
        <w:t>Так, в г. Талдыкоргане на протяжении 2,5 лет действовала преступная группа, в которую входили руководитель, главный и расчетный бухгалтеры отдела образования, а также 13 бухгалтеров школ. Все роли были распределены. Бухгалтеры похищали бюджетные средства из фонда оплаты труда, а руководитель городского отдела образования прикрывал их за взятки. Доказано получение им 280 млн тенге. При задержании у главного бухгалтера отдела образования изъят почти 1 млрд тенге.</w:t>
      </w:r>
    </w:p>
    <w:p w:rsidR="00B4409B" w:rsidRDefault="0001299D">
      <w:pPr>
        <w:pStyle w:val="pj"/>
      </w:pPr>
      <w:r>
        <w:t xml:space="preserve">В целях устранения преступной схемы в рамках исполнения рекомендаций Агентства внесены поправки в Правила составления бюджетной заявки, позволяющие формировать их в электронном виде. </w:t>
      </w:r>
    </w:p>
    <w:p w:rsidR="00B4409B" w:rsidRDefault="0001299D">
      <w:pPr>
        <w:pStyle w:val="pj"/>
      </w:pPr>
      <w:r>
        <w:t xml:space="preserve">После чего Министерство просвещения </w:t>
      </w:r>
      <w:r>
        <w:rPr>
          <w:i/>
          <w:iCs/>
        </w:rPr>
        <w:t xml:space="preserve">(далее - МП) </w:t>
      </w:r>
      <w:r>
        <w:t>ориентировало акиматы на перевод процедуры формирования бюджетных заявок в цифровой формат.</w:t>
      </w:r>
    </w:p>
    <w:p w:rsidR="00B4409B" w:rsidRDefault="0001299D">
      <w:pPr>
        <w:pStyle w:val="pj"/>
      </w:pPr>
      <w:r>
        <w:t xml:space="preserve">С августа 2023 года Министерством финансов </w:t>
      </w:r>
      <w:r>
        <w:rPr>
          <w:i/>
          <w:iCs/>
        </w:rPr>
        <w:t>(далее - МФ)</w:t>
      </w:r>
      <w:r>
        <w:t xml:space="preserve"> реализуется пилотный проект «Единое хранилище данных бухгалтерских операций». </w:t>
      </w:r>
    </w:p>
    <w:p w:rsidR="00B4409B" w:rsidRDefault="0001299D">
      <w:pPr>
        <w:pStyle w:val="pj"/>
      </w:pPr>
      <w:r>
        <w:t xml:space="preserve">Проект предусматривает единую стандартизацию бухучета, проведение электронного аудита и применение превентивных мер за счет настройки индикаторов риска </w:t>
      </w:r>
      <w:r>
        <w:rPr>
          <w:i/>
          <w:iCs/>
        </w:rPr>
        <w:t>(пилот планируют завершить в декабре 2025 года)</w:t>
      </w:r>
      <w:r>
        <w:t xml:space="preserve">. </w:t>
      </w:r>
    </w:p>
    <w:p w:rsidR="00B4409B" w:rsidRDefault="0001299D">
      <w:pPr>
        <w:pStyle w:val="pj"/>
      </w:pPr>
      <w:r>
        <w:t xml:space="preserve">МП проведена интеграция Национальной образовательной базы данных </w:t>
      </w:r>
      <w:r>
        <w:rPr>
          <w:i/>
          <w:iCs/>
        </w:rPr>
        <w:t>(далее - НОБД)</w:t>
      </w:r>
      <w:r>
        <w:t xml:space="preserve"> с ИС министерств юстиции </w:t>
      </w:r>
      <w:r>
        <w:rPr>
          <w:i/>
          <w:iCs/>
        </w:rPr>
        <w:t>(ГБД ФЛ - Государственная база данных «Физические лица»)</w:t>
      </w:r>
      <w:r>
        <w:t xml:space="preserve">, здравоохранения </w:t>
      </w:r>
      <w:r>
        <w:rPr>
          <w:i/>
          <w:iCs/>
        </w:rPr>
        <w:t>(medinfo.kz)</w:t>
      </w:r>
      <w:r>
        <w:t xml:space="preserve"> и труда </w:t>
      </w:r>
      <w:r>
        <w:rPr>
          <w:i/>
          <w:iCs/>
        </w:rPr>
        <w:t>(enbek.kz)</w:t>
      </w:r>
      <w:r>
        <w:t>. Это позволит бухгалтерским системам сверять сведения по персональным данным, больничным листам и занятости.</w:t>
      </w:r>
    </w:p>
    <w:p w:rsidR="00B4409B" w:rsidRDefault="0001299D">
      <w:pPr>
        <w:pStyle w:val="pj"/>
      </w:pPr>
      <w:r>
        <w:t xml:space="preserve">Кроме того, в НОБД разработан модуль «Портфолио педагога» </w:t>
      </w:r>
      <w:r>
        <w:rPr>
          <w:i/>
          <w:iCs/>
        </w:rPr>
        <w:t>(электронное досье работника со сведениями об образовании, здоровье, квалификации и др.)</w:t>
      </w:r>
      <w:r>
        <w:t>. Аккумулирование таких данных позволит бухгалтерским системам «подтягивать» объективные данные о работниках и формировать достоверную тарификацию зарплат.</w:t>
      </w:r>
    </w:p>
    <w:p w:rsidR="00B4409B" w:rsidRDefault="0001299D">
      <w:pPr>
        <w:pStyle w:val="pj"/>
      </w:pPr>
      <w:r>
        <w:t xml:space="preserve">В целях исключения «мертвых душ» в минимальные требования  к объектам информатизации в области образования включена норма  о внедрении системы фиксации посещения работниками учреждений образования </w:t>
      </w:r>
      <w:r>
        <w:rPr>
          <w:i/>
          <w:iCs/>
        </w:rPr>
        <w:t>(в т.ч. по биометрическим данным)</w:t>
      </w:r>
      <w:r>
        <w:t xml:space="preserve">. На сегодня такая система уже работает в учреждениях образования г. Павлодара </w:t>
      </w:r>
      <w:r>
        <w:rPr>
          <w:i/>
          <w:iCs/>
        </w:rPr>
        <w:t>(50 школ)</w:t>
      </w:r>
      <w:r>
        <w:t xml:space="preserve"> и Туркестанской области </w:t>
      </w:r>
      <w:r>
        <w:rPr>
          <w:i/>
          <w:iCs/>
        </w:rPr>
        <w:t>(25 колледжей, 191 школа; на 2024 год из бюджета выделено 408,9 млн тенге,  в рамках которых планируется охватить еще 216 учреждений)</w:t>
      </w:r>
      <w:r>
        <w:t xml:space="preserve">. </w:t>
      </w:r>
    </w:p>
    <w:p w:rsidR="00B4409B" w:rsidRDefault="0001299D">
      <w:pPr>
        <w:pStyle w:val="pj"/>
      </w:pPr>
      <w:r>
        <w:t>Принятые меры позволят существенно сократить риски хищений  в сфере образования.</w:t>
      </w:r>
    </w:p>
    <w:p w:rsidR="00B4409B" w:rsidRDefault="0001299D">
      <w:pPr>
        <w:pStyle w:val="pj"/>
      </w:pPr>
      <w:r>
        <w:t> </w:t>
      </w:r>
    </w:p>
    <w:p w:rsidR="00B4409B" w:rsidRDefault="0001299D">
      <w:pPr>
        <w:pStyle w:val="pc"/>
      </w:pPr>
      <w:bookmarkStart w:id="8" w:name="SUB20300"/>
      <w:bookmarkEnd w:id="8"/>
      <w:r>
        <w:rPr>
          <w:rStyle w:val="s1"/>
        </w:rPr>
        <w:t>2.3. Внешний анализ коррупционных рисков по вопросам оборота бланков диплома об образовании и присуждения ученых степеней</w:t>
      </w:r>
    </w:p>
    <w:p w:rsidR="00B4409B" w:rsidRDefault="0001299D">
      <w:pPr>
        <w:pStyle w:val="pj"/>
      </w:pPr>
      <w:r>
        <w:t> </w:t>
      </w:r>
    </w:p>
    <w:p w:rsidR="00B4409B" w:rsidRDefault="0001299D">
      <w:pPr>
        <w:pStyle w:val="pj"/>
      </w:pPr>
      <w:r>
        <w:t xml:space="preserve">По поручению Администрации Президента проведен анализ коррупционных рисков в деятельности Министерства науки и высшего образования </w:t>
      </w:r>
      <w:r>
        <w:rPr>
          <w:i/>
          <w:iCs/>
        </w:rPr>
        <w:t>(далее - МНВО)</w:t>
      </w:r>
      <w:r>
        <w:t>, связанной с оборотом бланков диплома об образовании и присуждением ученых степеней.</w:t>
      </w:r>
    </w:p>
    <w:p w:rsidR="00B4409B" w:rsidRDefault="0001299D">
      <w:pPr>
        <w:pStyle w:val="pj"/>
      </w:pPr>
      <w:r>
        <w:t>Установлены риски, связанные с отсутствием контроля за движением бланков дипломов, несовершенством информационных систем, недостаточностью государственного контроля.</w:t>
      </w:r>
    </w:p>
    <w:p w:rsidR="00B4409B" w:rsidRDefault="0001299D">
      <w:pPr>
        <w:pStyle w:val="pj"/>
      </w:pPr>
      <w:r>
        <w:t xml:space="preserve">В частности, с 2021 года вузы наделены правом самостоятельного изготовления и выдачи дипломов о высшем образовании. При этом подлинность диплома подтверждалась наличием записи в НОБД, доступ к которой для внесения сведений и их корректировки был предоставлен 2,6 тыс. работникам вузов. Еще 550 работников вузов, в том числе тех, чья деятельность не связана с методико-организационной работой </w:t>
      </w:r>
      <w:r>
        <w:rPr>
          <w:i/>
          <w:iCs/>
        </w:rPr>
        <w:t>(помощники проректоров, преподаватели, магистры и т.д.)</w:t>
      </w:r>
      <w:r>
        <w:t>, были наделены правом генерации QR-кодов для дипломов.</w:t>
      </w:r>
    </w:p>
    <w:p w:rsidR="00B4409B" w:rsidRDefault="0001299D">
      <w:pPr>
        <w:pStyle w:val="pj"/>
      </w:pPr>
      <w:r>
        <w:lastRenderedPageBreak/>
        <w:t>Таким образом, неограниченные полномочия сотрудников вузов при отсутствии эффективного контроля за такой деятельностью создали риски для выдачи поддельных дипломов.</w:t>
      </w:r>
    </w:p>
    <w:p w:rsidR="00B4409B" w:rsidRDefault="0001299D">
      <w:pPr>
        <w:pStyle w:val="pj"/>
      </w:pPr>
      <w:r>
        <w:t>Лишь при выборочном изучении установлено, что МНВО в рамках проведенного в 19 вузах профилактического контроля установлено 2 733 лица, числящихся в НОБД, но отсутствующих в документах и базах данных вузов. Не исключаются риски, что данные расхождения могут быть связаны с легализацией поддельных дипломов.</w:t>
      </w:r>
    </w:p>
    <w:p w:rsidR="00B4409B" w:rsidRDefault="0001299D">
      <w:pPr>
        <w:pStyle w:val="pj"/>
      </w:pPr>
      <w:r>
        <w:t>Также в НОБД имелась возможность для включения выпускников задним числом, поскольку система этого не запрещала и не предусматривала функцию прикрепления документов.</w:t>
      </w:r>
    </w:p>
    <w:p w:rsidR="00B4409B" w:rsidRDefault="0001299D">
      <w:pPr>
        <w:pStyle w:val="pj"/>
      </w:pPr>
      <w:r>
        <w:t xml:space="preserve">В рамках анализа путем направления запросов в учебные заведения установлено 1 143 диплома, выдача которых учебными заведениями  не подтверждена </w:t>
      </w:r>
      <w:r>
        <w:rPr>
          <w:i/>
          <w:iCs/>
        </w:rPr>
        <w:t>(1 028 - работники сферы образования, 78 - здравоохранения,  31 - квазигосударственного сектора, 6 - госслужащие)</w:t>
      </w:r>
      <w:r>
        <w:t xml:space="preserve">. Как следствие, установлен аномальный двукратный рост количества выпускников в 10 вузах </w:t>
      </w:r>
      <w:r>
        <w:rPr>
          <w:i/>
          <w:iCs/>
        </w:rPr>
        <w:t>(2020 г. - 24 113, 2021 г. - 45 947, 2022 г. - 49 604)</w:t>
      </w:r>
      <w:r>
        <w:t xml:space="preserve">, а в отдельных из них - в 4 раза </w:t>
      </w:r>
      <w:r>
        <w:rPr>
          <w:i/>
          <w:iCs/>
        </w:rPr>
        <w:t>(если в 2020 году  в «Шымкентском университете» было выпущено 2 002 студента, то в 2021 году - 8 213)</w:t>
      </w:r>
      <w:r>
        <w:t>.</w:t>
      </w:r>
    </w:p>
    <w:p w:rsidR="00B4409B" w:rsidRDefault="0001299D">
      <w:pPr>
        <w:pStyle w:val="pj"/>
      </w:pPr>
      <w:r>
        <w:t xml:space="preserve">Риски выявлены также в процедурах выдачи дипломов докторов философии </w:t>
      </w:r>
      <w:r>
        <w:rPr>
          <w:i/>
          <w:iCs/>
        </w:rPr>
        <w:t>(PhD)</w:t>
      </w:r>
      <w:r>
        <w:t xml:space="preserve"> и докторов по профилю </w:t>
      </w:r>
      <w:r>
        <w:rPr>
          <w:i/>
          <w:iCs/>
        </w:rPr>
        <w:t>(PD)</w:t>
      </w:r>
      <w:r>
        <w:t xml:space="preserve">. Установлено, что МНВО самостоятельно осуществляло закуп, заполнение, регистрацию и выдачу бланков дипломов </w:t>
      </w:r>
      <w:r>
        <w:rPr>
          <w:i/>
          <w:iCs/>
        </w:rPr>
        <w:t>(с 2018 года МНВО выдано более 1 600 дипломов)</w:t>
      </w:r>
      <w:r>
        <w:t>.</w:t>
      </w:r>
    </w:p>
    <w:p w:rsidR="00B4409B" w:rsidRDefault="0001299D">
      <w:pPr>
        <w:pStyle w:val="pj"/>
      </w:pPr>
      <w:r>
        <w:t xml:space="preserve">При этом в соответствии со </w:t>
      </w:r>
      <w:hyperlink r:id="rId10" w:anchor="sub_id=390000" w:history="1">
        <w:r>
          <w:rPr>
            <w:rStyle w:val="a5"/>
          </w:rPr>
          <w:t>статьей 39</w:t>
        </w:r>
      </w:hyperlink>
      <w:r>
        <w:t xml:space="preserve"> Закона Республики Казахстан «Об образовании» документы государственного образца выдаются исключительно организациями образования с установлением соответствующего контроля и определением ответственных лиц.</w:t>
      </w:r>
    </w:p>
    <w:p w:rsidR="00B4409B" w:rsidRDefault="0001299D">
      <w:pPr>
        <w:pStyle w:val="pj"/>
      </w:pPr>
      <w:r>
        <w:t xml:space="preserve">МНВО легализовало данную функцию путем ее включения в собственное Положение </w:t>
      </w:r>
      <w:r>
        <w:rPr>
          <w:i/>
          <w:iCs/>
        </w:rPr>
        <w:t>(</w:t>
      </w:r>
      <w:hyperlink r:id="rId11" w:history="1">
        <w:r>
          <w:rPr>
            <w:rStyle w:val="a5"/>
          </w:rPr>
          <w:t>постановление</w:t>
        </w:r>
      </w:hyperlink>
      <w:r>
        <w:rPr>
          <w:i/>
          <w:iCs/>
        </w:rPr>
        <w:t xml:space="preserve"> Правительства</w:t>
      </w:r>
      <w:r>
        <w:t xml:space="preserve"> </w:t>
      </w:r>
      <w:r>
        <w:rPr>
          <w:i/>
          <w:iCs/>
        </w:rPr>
        <w:t>Республики Казахстан от 19.08.2022 г. № 580)</w:t>
      </w:r>
      <w:r>
        <w:t>. При этом порядок учета и хранения бланков не был регламентирован, регистрация выданных дипломов осуществлялась в бумажном журнале произвольной формы. Контроль за движением бланков и персональная ответственность за их сохранность ни на кого не были возложены.</w:t>
      </w:r>
    </w:p>
    <w:p w:rsidR="00B4409B" w:rsidRDefault="0001299D">
      <w:pPr>
        <w:pStyle w:val="pj"/>
      </w:pPr>
      <w:r>
        <w:t>В ходе анализа в МНВО не обнаружены сведения о местонахождении порядка 50 бланков дипломов, а также о выдаче 10 дипломов, не отраженных в приказах о присуждении ученых степеней и актах списания бланков.</w:t>
      </w:r>
    </w:p>
    <w:p w:rsidR="00B4409B" w:rsidRDefault="0001299D">
      <w:pPr>
        <w:pStyle w:val="pj"/>
      </w:pPr>
      <w:r>
        <w:t>Наряду с этим, выявлен коррупционный риск в деятельности учебных заведений по признанию результатов формального/неформального образования и сокращению сроков обучения по своему усмотрению.</w:t>
      </w:r>
    </w:p>
    <w:p w:rsidR="00B4409B" w:rsidRDefault="0001299D">
      <w:pPr>
        <w:pStyle w:val="pj"/>
      </w:pPr>
      <w:r>
        <w:t xml:space="preserve">Так, выявлено 1 243 выпускника, получивших высшее образование всего за 1 год </w:t>
      </w:r>
      <w:r>
        <w:rPr>
          <w:i/>
          <w:iCs/>
        </w:rPr>
        <w:t>(вместо установленных для них 2-5 лет)</w:t>
      </w:r>
      <w:r>
        <w:t>.</w:t>
      </w:r>
    </w:p>
    <w:p w:rsidR="00B4409B" w:rsidRDefault="0001299D">
      <w:pPr>
        <w:pStyle w:val="pj"/>
      </w:pPr>
      <w:r>
        <w:t>Одной из причин подобных фактов является право вузов самостоятельно определять сроки сокращенного обучения с учетом признания ранее достигнутых результатов обучения.</w:t>
      </w:r>
    </w:p>
    <w:p w:rsidR="00B4409B" w:rsidRDefault="0001299D">
      <w:pPr>
        <w:pStyle w:val="pj"/>
      </w:pPr>
      <w:r>
        <w:t>При этом исчерпывающий перечень документов, виды обучения, подлежащие признанию, не были закреплены, что позволяло вузам выпускать специалистов в любой срок.</w:t>
      </w:r>
    </w:p>
    <w:p w:rsidR="00B4409B" w:rsidRDefault="0001299D">
      <w:pPr>
        <w:pStyle w:val="pj"/>
      </w:pPr>
      <w:r>
        <w:t xml:space="preserve">По рекомендации Агентства регламентированы исчерпывающие критерии признания ранее достигнутых результатов формального/неформального обучения для определения сроков сокращенного обучения </w:t>
      </w:r>
      <w:r>
        <w:rPr>
          <w:i/>
          <w:iCs/>
        </w:rPr>
        <w:t xml:space="preserve">(утверждены Правила признания результатов обучения, полученных через неформальное образование, а также результатов признания профессиональной квалификации, </w:t>
      </w:r>
      <w:hyperlink r:id="rId12" w:history="1">
        <w:r>
          <w:rPr>
            <w:rStyle w:val="a5"/>
          </w:rPr>
          <w:t>совместный приказ</w:t>
        </w:r>
      </w:hyperlink>
      <w:r>
        <w:rPr>
          <w:i/>
          <w:iCs/>
        </w:rPr>
        <w:t xml:space="preserve"> от 24.10.2023 г. МНВО № 544 и МП № 322)</w:t>
      </w:r>
      <w:r>
        <w:t>.</w:t>
      </w:r>
    </w:p>
    <w:p w:rsidR="00B4409B" w:rsidRDefault="0001299D">
      <w:pPr>
        <w:pStyle w:val="pj"/>
      </w:pPr>
      <w:r>
        <w:lastRenderedPageBreak/>
        <w:t>В рамках реализации рекомендаций по вопросам оборота дипломов и присуждения ученых степеней внесен ряд изменений в законодательство.</w:t>
      </w:r>
    </w:p>
    <w:p w:rsidR="00B4409B" w:rsidRDefault="0001299D">
      <w:pPr>
        <w:pStyle w:val="pj"/>
      </w:pPr>
      <w:r>
        <w:t xml:space="preserve">Введена норма по обеспечению достоверности данных в НОБД о выданных дипломах </w:t>
      </w:r>
      <w:r>
        <w:rPr>
          <w:i/>
          <w:iCs/>
        </w:rPr>
        <w:t>(теперь вузы несут ответственность за внесенные сведения)</w:t>
      </w:r>
      <w:r>
        <w:t>.</w:t>
      </w:r>
    </w:p>
    <w:p w:rsidR="00B4409B" w:rsidRDefault="0001299D">
      <w:pPr>
        <w:pStyle w:val="pj"/>
      </w:pPr>
      <w:r>
        <w:t>Также обеспечена прозрачность и открытость деятельности экспертных советов по экспертизе аттестационных дел, определена персональная ответственность их членов, имеются механизмы выявления конфликта интересов.</w:t>
      </w:r>
    </w:p>
    <w:p w:rsidR="00B4409B" w:rsidRDefault="0001299D">
      <w:pPr>
        <w:pStyle w:val="pj"/>
      </w:pPr>
      <w:r>
        <w:t xml:space="preserve">Кроме того, исключена несвойственная функция МНВО по выдаче дипломов государственного образца на присуждение степени доктора философии </w:t>
      </w:r>
      <w:r>
        <w:rPr>
          <w:i/>
          <w:iCs/>
        </w:rPr>
        <w:t>(PhD)</w:t>
      </w:r>
      <w:r>
        <w:t xml:space="preserve"> и доктора по профилю </w:t>
      </w:r>
      <w:r>
        <w:rPr>
          <w:i/>
          <w:iCs/>
        </w:rPr>
        <w:t>(PD)</w:t>
      </w:r>
      <w:r>
        <w:t xml:space="preserve"> </w:t>
      </w:r>
      <w:r>
        <w:rPr>
          <w:i/>
          <w:iCs/>
        </w:rPr>
        <w:t>(согласно отраслевому закону этой функцией могут обладать только вузы)</w:t>
      </w:r>
      <w:r>
        <w:t>.</w:t>
      </w:r>
    </w:p>
    <w:p w:rsidR="00B4409B" w:rsidRDefault="0001299D">
      <w:pPr>
        <w:pStyle w:val="pj"/>
      </w:pPr>
      <w:r>
        <w:t>В целом после каждого анализа коррупционных рисков проводится системная работа по мониторингу качественной реализации внесенных рекомендаций.</w:t>
      </w:r>
    </w:p>
    <w:p w:rsidR="00B4409B" w:rsidRDefault="0001299D">
      <w:pPr>
        <w:pStyle w:val="pj"/>
      </w:pPr>
      <w:r>
        <w:t> </w:t>
      </w:r>
    </w:p>
    <w:p w:rsidR="00B4409B" w:rsidRDefault="0001299D">
      <w:pPr>
        <w:pStyle w:val="pj"/>
      </w:pPr>
      <w:r>
        <w:t> </w:t>
      </w:r>
    </w:p>
    <w:p w:rsidR="00B4409B" w:rsidRDefault="0001299D">
      <w:pPr>
        <w:pStyle w:val="pc"/>
      </w:pPr>
      <w:bookmarkStart w:id="9" w:name="SUB300"/>
      <w:bookmarkEnd w:id="9"/>
      <w:r>
        <w:rPr>
          <w:rStyle w:val="s1"/>
        </w:rPr>
        <w:t>3. Антикоррупционный мониторинг</w:t>
      </w:r>
    </w:p>
    <w:p w:rsidR="00B4409B" w:rsidRDefault="0001299D">
      <w:pPr>
        <w:pStyle w:val="pj"/>
      </w:pPr>
      <w:r>
        <w:t> </w:t>
      </w:r>
    </w:p>
    <w:p w:rsidR="00B4409B" w:rsidRDefault="0001299D">
      <w:pPr>
        <w:pStyle w:val="pj"/>
      </w:pPr>
      <w:r>
        <w:t xml:space="preserve">Антикоррупционный мониторинг является действенным инструментом решения вопросов, волнующих граждан, через призму устранения коррупционных рисков. </w:t>
      </w:r>
    </w:p>
    <w:p w:rsidR="00B4409B" w:rsidRDefault="0001299D">
      <w:pPr>
        <w:pStyle w:val="pj"/>
      </w:pPr>
      <w:r>
        <w:t xml:space="preserve">Например, уголовная статистика, многочисленные публикации в СМИ и обращения указывали на системную коррупцию </w:t>
      </w:r>
      <w:r>
        <w:rPr>
          <w:b/>
          <w:bCs/>
        </w:rPr>
        <w:t>в сфере регистрации автотранспорта и выдачи водительских удостоверений</w:t>
      </w:r>
      <w:r>
        <w:t>. В целях выявления причин и условий коррупционных схем был проведен комплексный анализ в данной сфере.</w:t>
      </w:r>
    </w:p>
    <w:p w:rsidR="00B4409B" w:rsidRDefault="0001299D">
      <w:pPr>
        <w:pStyle w:val="pj"/>
      </w:pPr>
      <w:r>
        <w:rPr>
          <w:spacing w:val="-4"/>
        </w:rPr>
        <w:t xml:space="preserve">По результатам мониторинга деятельности специализированных ЦОНов </w:t>
      </w:r>
      <w:r>
        <w:rPr>
          <w:i/>
          <w:iCs/>
          <w:spacing w:val="-4"/>
        </w:rPr>
        <w:t>(далее - СпецЦОН)</w:t>
      </w:r>
      <w:r>
        <w:rPr>
          <w:spacing w:val="-4"/>
        </w:rPr>
        <w:t xml:space="preserve"> по предложению</w:t>
      </w:r>
      <w:r>
        <w:t xml:space="preserve"> Агентства запущены новые информационные системы регистрации автотранспорта и выдачи водительских прав.</w:t>
      </w:r>
    </w:p>
    <w:p w:rsidR="00B4409B" w:rsidRDefault="0001299D">
      <w:pPr>
        <w:pStyle w:val="pj"/>
      </w:pPr>
      <w:r>
        <w:t xml:space="preserve">Системы по регистрации автотранспорта интегрированы с базами данных налоговых и таможенных органов, банков второго уровня. Исключена возможность несанкционированного доступа и корректировки </w:t>
      </w:r>
      <w:r>
        <w:rPr>
          <w:i/>
          <w:iCs/>
        </w:rPr>
        <w:t>(ранее данные вносились в ручном режиме и не проверялись через информсистемы госорганов, что порождало коррупционные риски; недобросовестные полицейские и работники ЦОНа корректировали базы, вносили недостоверные сведения, использовали поддельные квитанции)</w:t>
      </w:r>
      <w:r>
        <w:t>.</w:t>
      </w:r>
    </w:p>
    <w:p w:rsidR="00B4409B" w:rsidRDefault="0001299D">
      <w:pPr>
        <w:pStyle w:val="pj"/>
      </w:pPr>
      <w:r>
        <w:t>Упрощена процедура регистрации заявок. Теперь для этого необходимо ввести лишь индивидуальный идентификационный номер, а остальные данные заполняются автоматически. При этом система сама проверяет оплату обязательных платежей, штрафов и квитанций банков второго уровня.</w:t>
      </w:r>
    </w:p>
    <w:p w:rsidR="00B4409B" w:rsidRDefault="0001299D">
      <w:pPr>
        <w:pStyle w:val="pj"/>
      </w:pPr>
      <w:r>
        <w:t xml:space="preserve">В результате исключения коррупционных рисков объем поступлений в бюджет </w:t>
      </w:r>
      <w:r>
        <w:rPr>
          <w:i/>
          <w:iCs/>
        </w:rPr>
        <w:t xml:space="preserve">(от сборов) </w:t>
      </w:r>
      <w:r>
        <w:t xml:space="preserve">в 2023 году увеличился в 9 раз </w:t>
      </w:r>
      <w:r>
        <w:rPr>
          <w:i/>
          <w:iCs/>
        </w:rPr>
        <w:t>(в 2022 году - 10,6 млрд тенге за регистрацию 9,4 тыс. автомашин, в 2023 году с учетом легализации - 91,3 млрд тенге при регистрации 10,2 тыс. автомашин)</w:t>
      </w:r>
      <w:r>
        <w:t>.</w:t>
      </w:r>
    </w:p>
    <w:p w:rsidR="00B4409B" w:rsidRDefault="0001299D">
      <w:pPr>
        <w:pStyle w:val="pj"/>
      </w:pPr>
      <w:r>
        <w:t xml:space="preserve">Тестирование кандидатов на </w:t>
      </w:r>
      <w:r>
        <w:rPr>
          <w:b/>
          <w:bCs/>
        </w:rPr>
        <w:t>получение водительских прав</w:t>
      </w:r>
      <w:r>
        <w:t xml:space="preserve"> проводится по новой программе с обновленной системой защиты от несанкционированных подключений.</w:t>
      </w:r>
    </w:p>
    <w:p w:rsidR="00B4409B" w:rsidRDefault="0001299D">
      <w:pPr>
        <w:pStyle w:val="pj"/>
      </w:pPr>
      <w:r>
        <w:t xml:space="preserve">Для блокировки схем по подмене лиц заработала биометрия экзаменуемых </w:t>
      </w:r>
      <w:r>
        <w:rPr>
          <w:i/>
          <w:iCs/>
        </w:rPr>
        <w:t>(автоматическое распознавание лица)</w:t>
      </w:r>
      <w:r>
        <w:t xml:space="preserve"> и онлайн-контроль за их действиями </w:t>
      </w:r>
      <w:r>
        <w:rPr>
          <w:i/>
          <w:iCs/>
        </w:rPr>
        <w:t>(программа фиксирует жесты и мимику, свидетельствующие о возможном нарушении правил)</w:t>
      </w:r>
      <w:r>
        <w:t xml:space="preserve">, введена онлайн-трансляция в СпецЦОНе для общественного контроля, урегулированы процедуры пересдачи экзаменов </w:t>
      </w:r>
      <w:r>
        <w:rPr>
          <w:i/>
          <w:iCs/>
        </w:rPr>
        <w:t xml:space="preserve">(ограничено </w:t>
      </w:r>
      <w:r>
        <w:rPr>
          <w:i/>
          <w:iCs/>
          <w:spacing w:val="-4"/>
        </w:rPr>
        <w:t>количество повторных попыток - не более 2 раз, в случае не прохождения  экзамены можно</w:t>
      </w:r>
      <w:r>
        <w:rPr>
          <w:i/>
          <w:iCs/>
        </w:rPr>
        <w:t xml:space="preserve"> пересдать лишь через 3 месяца, в случае использования запрещенных предметов - через  6 месяцев)</w:t>
      </w:r>
      <w:r>
        <w:t>.</w:t>
      </w:r>
    </w:p>
    <w:p w:rsidR="00B4409B" w:rsidRDefault="0001299D">
      <w:pPr>
        <w:pStyle w:val="pj"/>
      </w:pPr>
      <w:r>
        <w:lastRenderedPageBreak/>
        <w:t xml:space="preserve">С октября 2023 года процедура приема теоретических экзаменов возвращена в Государственную корпорацию «Правительство для граждан». </w:t>
      </w:r>
    </w:p>
    <w:p w:rsidR="00B4409B" w:rsidRDefault="0001299D">
      <w:pPr>
        <w:pStyle w:val="pj"/>
      </w:pPr>
      <w:r>
        <w:t xml:space="preserve">С 2022 года тестирование проводила частная компания «Ойлан» </w:t>
      </w:r>
      <w:r>
        <w:rPr>
          <w:i/>
          <w:iCs/>
        </w:rPr>
        <w:t>(в рамках договора государственно-частного партнерства)</w:t>
      </w:r>
      <w:r>
        <w:t xml:space="preserve">, в период работы которой поступало значительное количество сигналов о фактах формального прохождения экзаменов </w:t>
      </w:r>
      <w:r>
        <w:rPr>
          <w:i/>
          <w:iCs/>
        </w:rPr>
        <w:t>(без сдачи экзаменов или через удаленный доступ)</w:t>
      </w:r>
      <w:r>
        <w:t xml:space="preserve">, о незаконных корректировках в программе. Оборудование для тестирования </w:t>
      </w:r>
      <w:r>
        <w:rPr>
          <w:i/>
          <w:iCs/>
        </w:rPr>
        <w:t>(компьютеры, сервера)</w:t>
      </w:r>
      <w:r>
        <w:t xml:space="preserve"> принадлежало самой компании, а Государственная корпорация фактически не имела доступа к нему и не могла контролировать процесс.</w:t>
      </w:r>
    </w:p>
    <w:p w:rsidR="00B4409B" w:rsidRDefault="0001299D">
      <w:pPr>
        <w:pStyle w:val="pj"/>
      </w:pPr>
      <w:r>
        <w:t xml:space="preserve">Принятые меры позволили устранить риски формального прохождения экзаменов </w:t>
      </w:r>
      <w:r>
        <w:rPr>
          <w:i/>
          <w:iCs/>
        </w:rPr>
        <w:t>(если ранее при работе аутсорсинговой компании успешно сдавало 70% тестируемых, сейчас - только 50%)</w:t>
      </w:r>
      <w:r>
        <w:t>.</w:t>
      </w:r>
    </w:p>
    <w:p w:rsidR="00B4409B" w:rsidRDefault="0001299D">
      <w:pPr>
        <w:pStyle w:val="pj"/>
      </w:pPr>
      <w:r>
        <w:t xml:space="preserve">Внесены дополнения в Закон Республики Казахстан «О противодействии коррупции» </w:t>
      </w:r>
      <w:r>
        <w:rPr>
          <w:i/>
          <w:iCs/>
        </w:rPr>
        <w:t xml:space="preserve">(подпункт </w:t>
      </w:r>
      <w:r>
        <w:rPr>
          <w:i/>
          <w:iCs/>
          <w:spacing w:val="-4"/>
        </w:rPr>
        <w:t>4) статьи 1)</w:t>
      </w:r>
      <w:r>
        <w:rPr>
          <w:spacing w:val="-4"/>
        </w:rPr>
        <w:t xml:space="preserve"> по отнесению работников СпецЦОНов к субъектам коррупционных</w:t>
      </w:r>
      <w:r>
        <w:t xml:space="preserve"> правонарушений </w:t>
      </w:r>
      <w:r>
        <w:rPr>
          <w:i/>
          <w:iCs/>
        </w:rPr>
        <w:t>(вводятся в действие с января 2025 года)</w:t>
      </w:r>
      <w:r>
        <w:t>, что позволит привлекать их к ответственности за «взяточничество», а «помогаек» - за посредничество в коррупции.</w:t>
      </w:r>
    </w:p>
    <w:p w:rsidR="00B4409B" w:rsidRDefault="0001299D">
      <w:pPr>
        <w:pStyle w:val="pj"/>
      </w:pPr>
      <w:r>
        <w:t xml:space="preserve">По итогам антикоррупционного мониторинга в области Абай </w:t>
      </w:r>
      <w:r>
        <w:rPr>
          <w:b/>
          <w:bCs/>
        </w:rPr>
        <w:t>пересмотрен механизм реализации древесины</w:t>
      </w:r>
      <w:r>
        <w:t xml:space="preserve"> в лесном резервате «Семей Орманы» </w:t>
      </w:r>
      <w:r>
        <w:rPr>
          <w:i/>
          <w:iCs/>
        </w:rPr>
        <w:t>(далее - Резерват)</w:t>
      </w:r>
      <w:r>
        <w:t xml:space="preserve">. С июля 2023 года по предложению Антикоррупционной службы реализация пиломатериала проводится через электронные торги ИС «Госреестр» на площадке «e-auction». Ранее древесина отпускалась различным физическим и юридическим лицам, по усмотрению руководства Резервата. Изменена заготовка древесины, теперь она производится лесозаготовительными бригадами Резервата. Ранее этим занимались наемные предприниматели. </w:t>
      </w:r>
    </w:p>
    <w:p w:rsidR="00B4409B" w:rsidRDefault="0001299D">
      <w:pPr>
        <w:pStyle w:val="pj"/>
      </w:pPr>
      <w:r>
        <w:t xml:space="preserve">В 2023 году Агентством в ходе </w:t>
      </w:r>
      <w:r>
        <w:rPr>
          <w:b/>
          <w:bCs/>
        </w:rPr>
        <w:t>мониторинга государственных закупок через портал «Единое окно закупок»</w:t>
      </w:r>
      <w:r>
        <w:t xml:space="preserve"> предотвращено завышение стоимости товаров, работ и услуг на общую сумму 41,4 млрд тенге, всего с момента реализации проекта - 140,6 млрд тенге </w:t>
      </w:r>
      <w:r>
        <w:rPr>
          <w:i/>
          <w:iCs/>
        </w:rPr>
        <w:t>(2019 г. - 0,8 млрд тенге, 2020 г. - 22,8 млрд тенге, 2021 г. - 46,6 млрд тенге, 2022 г. - 29 млрд тенге)</w:t>
      </w:r>
      <w:r>
        <w:t>.</w:t>
      </w:r>
    </w:p>
    <w:p w:rsidR="00B4409B" w:rsidRDefault="0001299D">
      <w:pPr>
        <w:pStyle w:val="pj"/>
      </w:pPr>
      <w:r>
        <w:t>Чаще всего выявлялись завышения при закупе канцтоваров, горюче-смазочных материалов, компьютерной техники и продуктов питания. В разрезе организаций такие завышения допускались аппаратами акимов, организациями образования и здравоохранения.</w:t>
      </w:r>
    </w:p>
    <w:p w:rsidR="00B4409B" w:rsidRDefault="0001299D">
      <w:pPr>
        <w:pStyle w:val="pj"/>
      </w:pPr>
      <w:r>
        <w:t>К примеру, районный отдел образования Костанайской области планировал приобрести в марте 2023 года 43 тыс. литров летнего дизельного топлива по 580 тенге за литр при средней цене на указанную дату менее 250 тенге за литр. Предотвращено завышение закупок на 14,8 млн тенге.</w:t>
      </w:r>
    </w:p>
    <w:p w:rsidR="00B4409B" w:rsidRDefault="0001299D">
      <w:pPr>
        <w:pStyle w:val="pj"/>
      </w:pPr>
      <w:r>
        <w:t>В Актюбинской области территориальный департамент Министерства здравоохранения запланировал приобретение одноразового защитного медицинского костюма в комплекте в количестве 3 тыс. штук на общую сумму 15 млн тенге. При этом среднерыночная стоимость такого же объема товара составляла 6 млн тенге. Экономия в размере 9 млн тенге возвращена бюджет.</w:t>
      </w:r>
    </w:p>
    <w:p w:rsidR="00B4409B" w:rsidRDefault="0001299D">
      <w:pPr>
        <w:pStyle w:val="pj"/>
      </w:pPr>
      <w:r>
        <w:t>В области Абай в июне 2023 года исполнительный орган планировал приобретение мебели для руководителя за 2 млн тенге за комплект при среднерыночной стоимости 1 млн тенге. В результате мониторинга мебель приобретена за 1,3 млн тенге, цена снижена на 700 тыс. тенге.</w:t>
      </w:r>
    </w:p>
    <w:p w:rsidR="00B4409B" w:rsidRDefault="0001299D">
      <w:pPr>
        <w:pStyle w:val="pj"/>
      </w:pPr>
      <w:r>
        <w:t xml:space="preserve">В Туркестанской области субъект квазигоссектора в ноябре 2023 года планировал приобретение услуг по реконструкции своего сайта за 11 млн тенге при рыночной стоимости не более 5 млн тенге. Экономия составила 7 млн тенге </w:t>
      </w:r>
      <w:r>
        <w:rPr>
          <w:i/>
          <w:iCs/>
        </w:rPr>
        <w:t>(услуга приобретена за 4 млн тенге)</w:t>
      </w:r>
      <w:r>
        <w:t>.</w:t>
      </w:r>
    </w:p>
    <w:p w:rsidR="00B4409B" w:rsidRDefault="0001299D">
      <w:pPr>
        <w:pStyle w:val="pj"/>
      </w:pPr>
      <w:r>
        <w:lastRenderedPageBreak/>
        <w:t>В 2023 году проведено 142 антикоррупционных мониторинга, в госорганы внесено 787 предложений, из которых реализовано 488 или 62%.</w:t>
      </w:r>
    </w:p>
    <w:p w:rsidR="00B4409B" w:rsidRDefault="0001299D">
      <w:pPr>
        <w:pStyle w:val="pj"/>
      </w:pPr>
      <w:r>
        <w:t>В целях расширения превентивных возможностей антикоррупционного мониторинга этот инструмент разделен на два вида: комплексный и тематический.</w:t>
      </w:r>
    </w:p>
    <w:p w:rsidR="00B4409B" w:rsidRDefault="0001299D">
      <w:pPr>
        <w:pStyle w:val="pj"/>
      </w:pPr>
      <w:r>
        <w:t>Комплексный антикоррупционный мониторинг проводится уполномоченным органом и его территориальными подразделениями.</w:t>
      </w:r>
    </w:p>
    <w:p w:rsidR="00B4409B" w:rsidRDefault="0001299D">
      <w:pPr>
        <w:pStyle w:val="pj"/>
      </w:pPr>
      <w:r>
        <w:t>Тематический антикоррупционный мониторинг может проводиться как уполномоченным органом, так и иными субъектами противодействия коррупции, в том числе гражданами и неправительственными организациями. Данный вид мониторинга является эффективным инструментом общественного контроля, повышения прозрачности бюджетных процессов и подотчетности государственных органов.</w:t>
      </w:r>
    </w:p>
    <w:p w:rsidR="00B4409B" w:rsidRDefault="0001299D">
      <w:pPr>
        <w:pStyle w:val="pj"/>
      </w:pPr>
      <w:r>
        <w:t> </w:t>
      </w:r>
    </w:p>
    <w:p w:rsidR="00B4409B" w:rsidRDefault="0001299D">
      <w:pPr>
        <w:pStyle w:val="pc"/>
      </w:pPr>
      <w:bookmarkStart w:id="10" w:name="SUB400"/>
      <w:bookmarkEnd w:id="10"/>
      <w:r>
        <w:rPr>
          <w:rStyle w:val="s1"/>
        </w:rPr>
        <w:t>4. Научная антикоррупционная экспертиза проектов нормативных правовых актов</w:t>
      </w:r>
    </w:p>
    <w:p w:rsidR="00B4409B" w:rsidRDefault="0001299D">
      <w:pPr>
        <w:pStyle w:val="pj"/>
      </w:pPr>
      <w:r>
        <w:t> </w:t>
      </w:r>
    </w:p>
    <w:p w:rsidR="00B4409B" w:rsidRDefault="0001299D">
      <w:pPr>
        <w:pStyle w:val="pj"/>
      </w:pPr>
      <w:r>
        <w:t>В результате открытого конкурса в рамках государственных закупок услуг по проведению научной антикоррупционной экспертизы проектов нормативных правовых актов на 2023 год победителем объявлена Академия государственного управления при Президенте Республики Казахстан.</w:t>
      </w:r>
    </w:p>
    <w:p w:rsidR="00B4409B" w:rsidRDefault="0001299D">
      <w:pPr>
        <w:pStyle w:val="pj"/>
      </w:pPr>
      <w:r>
        <w:t>Эксперты для проведения экспертизы привлечены на конкурсной основе. Соответствующий реестр состоит из 164 экспертов, имеющих квалификацию в разных сферах деятельности: образование, сельское хозяйство, здравоохранение, спорт, культура и др.</w:t>
      </w:r>
    </w:p>
    <w:p w:rsidR="00B4409B" w:rsidRDefault="0001299D">
      <w:pPr>
        <w:pStyle w:val="pj"/>
      </w:pPr>
      <w:r>
        <w:t xml:space="preserve">По итогам 2023 года проведена экспертиза по 6 865 проектам нормативных правовых актов </w:t>
      </w:r>
      <w:r>
        <w:rPr>
          <w:i/>
          <w:iCs/>
        </w:rPr>
        <w:t>(далее - НПА)</w:t>
      </w:r>
      <w:r>
        <w:t xml:space="preserve">, в которых выявлено 7 779 коррупционных рисков </w:t>
      </w:r>
      <w:r>
        <w:rPr>
          <w:i/>
          <w:iCs/>
        </w:rPr>
        <w:t>(в среднем 1,1 риск на 1 проект НПА)</w:t>
      </w:r>
      <w:r>
        <w:t xml:space="preserve">. По состоянию на 1 января т.г. доля учтенных рекомендаций в принятых </w:t>
      </w:r>
      <w:r>
        <w:rPr>
          <w:i/>
          <w:iCs/>
        </w:rPr>
        <w:t>(зарегистрированных)</w:t>
      </w:r>
      <w:r>
        <w:t xml:space="preserve"> НПА составляет 55,5% </w:t>
      </w:r>
      <w:r>
        <w:rPr>
          <w:i/>
          <w:iCs/>
        </w:rPr>
        <w:t>(целевой индикатор на 2023 год «Доля рекомендаций, внесенных в НПА по итогам проведения научной антикоррупционной экспертизы» - 52%)</w:t>
      </w:r>
      <w:r>
        <w:t>.</w:t>
      </w:r>
    </w:p>
    <w:p w:rsidR="00B4409B" w:rsidRDefault="0001299D">
      <w:pPr>
        <w:pStyle w:val="pj"/>
      </w:pPr>
      <w:r>
        <w:t xml:space="preserve">В 2023 году в соответствии с </w:t>
      </w:r>
      <w:hyperlink r:id="rId13" w:history="1">
        <w:r>
          <w:rPr>
            <w:rStyle w:val="a5"/>
          </w:rPr>
          <w:t>распоряжением</w:t>
        </w:r>
      </w:hyperlink>
      <w:r>
        <w:t xml:space="preserve"> Премьер-Министра «О мерах по реализации Конституционного закона Республики Казахстан от 19 апреля 2023 года «О внесении изменений и дополнений в некоторые </w:t>
      </w:r>
      <w:r>
        <w:rPr>
          <w:spacing w:val="-4"/>
        </w:rPr>
        <w:t>конституционные законы Республики Казахстан по вопросам административной</w:t>
      </w:r>
      <w:r>
        <w:t xml:space="preserve"> реформы в Республике Казахстан» принят </w:t>
      </w:r>
      <w:hyperlink r:id="rId14" w:history="1">
        <w:r>
          <w:rPr>
            <w:rStyle w:val="a5"/>
          </w:rPr>
          <w:t>совместный приказ</w:t>
        </w:r>
      </w:hyperlink>
      <w:r>
        <w:t xml:space="preserve"> министерств юстиции </w:t>
      </w:r>
      <w:r>
        <w:rPr>
          <w:i/>
          <w:iCs/>
        </w:rPr>
        <w:t>(далее - МЮ)</w:t>
      </w:r>
      <w:r>
        <w:t xml:space="preserve">, национальной экономики и Агентства «Об утверждении Правил организации и проведения научной экспертизы, а также отбора научных экспертов» </w:t>
      </w:r>
      <w:r>
        <w:rPr>
          <w:i/>
          <w:iCs/>
        </w:rPr>
        <w:t>(далее - Правила)</w:t>
      </w:r>
      <w:r>
        <w:t>.</w:t>
      </w:r>
    </w:p>
    <w:p w:rsidR="00B4409B" w:rsidRDefault="0001299D">
      <w:pPr>
        <w:pStyle w:val="pj"/>
      </w:pPr>
      <w:r>
        <w:t xml:space="preserve">В рамках реализации пункта 33 Плана действий по реализации </w:t>
      </w:r>
      <w:hyperlink r:id="rId15" w:anchor="sub_id=100" w:history="1">
        <w:r>
          <w:rPr>
            <w:rStyle w:val="a5"/>
          </w:rPr>
          <w:t>Концепции</w:t>
        </w:r>
      </w:hyperlink>
      <w:r>
        <w:t xml:space="preserve"> антикоррупционной политики в Правилах предусмотрено развитие антикоррупционной экспертизы проектов нормативных правовых актов, в том числе путем внедрения единой антикоррупционной экспертизы типовых и схожих проектов нормативных правовых актов и элементов искусственного интеллекта </w:t>
      </w:r>
      <w:r>
        <w:rPr>
          <w:i/>
          <w:iCs/>
        </w:rPr>
        <w:t>(</w:t>
      </w:r>
      <w:hyperlink r:id="rId16" w:anchor="sub_id=100" w:history="1">
        <w:r>
          <w:rPr>
            <w:rStyle w:val="a5"/>
          </w:rPr>
          <w:t>пункты 100</w:t>
        </w:r>
      </w:hyperlink>
      <w:r>
        <w:rPr>
          <w:i/>
          <w:iCs/>
        </w:rPr>
        <w:t xml:space="preserve">, </w:t>
      </w:r>
      <w:hyperlink r:id="rId17" w:anchor="sub_id=11200" w:history="1">
        <w:r>
          <w:rPr>
            <w:rStyle w:val="a5"/>
          </w:rPr>
          <w:t>112</w:t>
        </w:r>
      </w:hyperlink>
      <w:r>
        <w:rPr>
          <w:i/>
          <w:iCs/>
        </w:rPr>
        <w:t xml:space="preserve"> Правил)</w:t>
      </w:r>
      <w:r>
        <w:t>.</w:t>
      </w:r>
    </w:p>
    <w:p w:rsidR="00B4409B" w:rsidRDefault="0001299D">
      <w:pPr>
        <w:pStyle w:val="pj"/>
      </w:pPr>
      <w:r>
        <w:t>Регламентированы порядок ведения реестра экспертов и основания для исключения экспертов из реестра.</w:t>
      </w:r>
    </w:p>
    <w:p w:rsidR="00B4409B" w:rsidRDefault="0001299D">
      <w:pPr>
        <w:pStyle w:val="pj"/>
      </w:pPr>
      <w:r>
        <w:t> </w:t>
      </w:r>
    </w:p>
    <w:p w:rsidR="00B4409B" w:rsidRDefault="0001299D">
      <w:pPr>
        <w:pStyle w:val="pc"/>
      </w:pPr>
      <w:bookmarkStart w:id="11" w:name="SUB500"/>
      <w:bookmarkEnd w:id="11"/>
      <w:r>
        <w:rPr>
          <w:rStyle w:val="s1"/>
        </w:rPr>
        <w:t>5. Противодействие коррупции в сфере предпринимательства</w:t>
      </w:r>
    </w:p>
    <w:p w:rsidR="00B4409B" w:rsidRDefault="0001299D">
      <w:pPr>
        <w:pStyle w:val="p"/>
      </w:pPr>
      <w:r>
        <w:t> </w:t>
      </w:r>
    </w:p>
    <w:p w:rsidR="00B4409B" w:rsidRDefault="0001299D">
      <w:pPr>
        <w:pStyle w:val="pj"/>
      </w:pPr>
      <w:r>
        <w:t xml:space="preserve">В мировой практике основным инструментом обеспечения корпоративной добропорядочности является эффективная деятельность независимых служб комплаенса. Одна из основных задач </w:t>
      </w:r>
      <w:r>
        <w:rPr>
          <w:b/>
          <w:bCs/>
        </w:rPr>
        <w:t>комплаенса</w:t>
      </w:r>
      <w:r>
        <w:t xml:space="preserve"> - предупреждение правонарушений и защита деловой репутации организации.</w:t>
      </w:r>
    </w:p>
    <w:p w:rsidR="00B4409B" w:rsidRDefault="0001299D">
      <w:pPr>
        <w:pStyle w:val="pj"/>
      </w:pPr>
      <w:r>
        <w:lastRenderedPageBreak/>
        <w:t>В Казахстане институт антикоррупционного комплаенса законодательно закреплен с октября 2020 года и на сегодняшний день соответствующие службы имеются более чем в 6 тыс. субъектах квазигосударственного сектора.</w:t>
      </w:r>
    </w:p>
    <w:p w:rsidR="00B4409B" w:rsidRDefault="0001299D">
      <w:pPr>
        <w:pStyle w:val="pj"/>
      </w:pPr>
      <w:r>
        <w:t>Антикоррупционные комплаенс-службы имеют официальный статус  и право на получение всей необходимой информации, проведение внутренних расследований по действиям, содержащим признаки нарушения норм комплаенса, с привлечением независимых экспертов.</w:t>
      </w:r>
    </w:p>
    <w:p w:rsidR="00B4409B" w:rsidRDefault="0001299D">
      <w:pPr>
        <w:pStyle w:val="pj"/>
      </w:pPr>
      <w:r>
        <w:t>Более того, сотрудники таких подразделений имеют прямой доступ  к высшему коллегиальному органу управления для выражения своего мнения и передачи сведений о выявленных нарушениях.</w:t>
      </w:r>
    </w:p>
    <w:p w:rsidR="00B4409B" w:rsidRDefault="0001299D">
      <w:pPr>
        <w:pStyle w:val="pj"/>
      </w:pPr>
      <w:r>
        <w:t xml:space="preserve">С 2023 года законодательно предусмотрена возможность возложения функций антикоррупционной комплаенс-службы не только на структурное </w:t>
      </w:r>
      <w:r>
        <w:rPr>
          <w:spacing w:val="-4"/>
        </w:rPr>
        <w:t>подразделение субъекта квазигосударственного сектора, но и на ответственное</w:t>
      </w:r>
      <w:r>
        <w:t xml:space="preserve"> лицо.</w:t>
      </w:r>
    </w:p>
    <w:p w:rsidR="00B4409B" w:rsidRDefault="0001299D">
      <w:pPr>
        <w:pStyle w:val="pj"/>
      </w:pPr>
      <w:r>
        <w:t xml:space="preserve">Также Агентство наделено компетенциями по координации </w:t>
      </w:r>
      <w:r>
        <w:rPr>
          <w:spacing w:val="-4"/>
        </w:rPr>
        <w:t>деятельности антикоррупционных комплаенс-служб в рамках методологической</w:t>
      </w:r>
      <w:r>
        <w:t xml:space="preserve"> поддержки, проведения обучающих мероприятий и обмена информацией  по противодействию коррупции в субъекте квазигосударственного сектора. </w:t>
      </w:r>
    </w:p>
    <w:p w:rsidR="00B4409B" w:rsidRDefault="008A306F">
      <w:pPr>
        <w:pStyle w:val="pj"/>
      </w:pPr>
      <w:hyperlink r:id="rId18" w:history="1">
        <w:r w:rsidR="0001299D">
          <w:rPr>
            <w:rStyle w:val="a5"/>
          </w:rPr>
          <w:t>Приказом</w:t>
        </w:r>
      </w:hyperlink>
      <w:r w:rsidR="0001299D">
        <w:t xml:space="preserve"> Председателя Агентства </w:t>
      </w:r>
      <w:r w:rsidR="0001299D">
        <w:rPr>
          <w:i/>
          <w:iCs/>
        </w:rPr>
        <w:t>(от 31.03.2023 г. № 112)</w:t>
      </w:r>
      <w:r w:rsidR="0001299D">
        <w:t xml:space="preserve"> утверждено Типовое положение об антикоррупционных комплаенс-службах в субъектах квазигосударственного сектора </w:t>
      </w:r>
      <w:r w:rsidR="0001299D">
        <w:rPr>
          <w:i/>
          <w:iCs/>
        </w:rPr>
        <w:t>(далее - Типовое положение).</w:t>
      </w:r>
    </w:p>
    <w:p w:rsidR="00B4409B" w:rsidRDefault="0001299D">
      <w:pPr>
        <w:pStyle w:val="pj"/>
      </w:pPr>
      <w:r>
        <w:t>Типовое положение определяет цели, задачи, принципы и полномочия структурных подразделений или лиц, исполняющих функции антикоррупционных комплаенс-служб.</w:t>
      </w:r>
    </w:p>
    <w:p w:rsidR="00B4409B" w:rsidRDefault="0001299D">
      <w:pPr>
        <w:pStyle w:val="pj"/>
      </w:pPr>
      <w:r>
        <w:t>Для комплаенс-офицеров Агентством на постоянной основе проводятся конференции, форумы, обучающие семинары, в которых принимают участие национальные и международные эксперты данной отрасли.</w:t>
      </w:r>
    </w:p>
    <w:p w:rsidR="00B4409B" w:rsidRDefault="0001299D">
      <w:pPr>
        <w:pStyle w:val="pj"/>
      </w:pPr>
      <w:r>
        <w:t xml:space="preserve">Так, в 2023 году Агентством совместно с Фондом национального благосостояния «Самрук-Казына», Палатой юридических консультантов «KazBar» </w:t>
      </w:r>
      <w:r>
        <w:rPr>
          <w:i/>
          <w:iCs/>
        </w:rPr>
        <w:t>(далее - KazBar)</w:t>
      </w:r>
      <w:r>
        <w:t xml:space="preserve">, Общественным фондом «Центр исследования правовой политики» </w:t>
      </w:r>
      <w:r>
        <w:rPr>
          <w:i/>
          <w:iCs/>
        </w:rPr>
        <w:t>(далее - LPRC)</w:t>
      </w:r>
      <w:r>
        <w:t xml:space="preserve"> и Ассоциацией комплаенс и деловой этики проведено более 10 крупных конференций и семинаров для субъектов квазигосударственного сектора. На региональном уровне проведено 1500 обучающих семинаров.</w:t>
      </w:r>
    </w:p>
    <w:p w:rsidR="00B4409B" w:rsidRDefault="0001299D">
      <w:pPr>
        <w:pStyle w:val="pj"/>
      </w:pPr>
      <w:r>
        <w:t xml:space="preserve">31 марта 2023 года проведен форум на тему «Развитие антикоррупционного комплаенса в Республике Казахстан», где рассмотрены вопросы совершенствования законодательства и развития данного института, обсуждены его практические проблемы, а также презентованы решения касательно разработки образовательных программ по антикоррупционному комплаенсу. В работе форума приняли участие порядка 5 тыс. представителей комплаенс-служб, государственных органов, квазигосударственного  и частного секторов, академического сообщества и др. </w:t>
      </w:r>
    </w:p>
    <w:p w:rsidR="00B4409B" w:rsidRDefault="0001299D">
      <w:pPr>
        <w:pStyle w:val="pj"/>
      </w:pPr>
      <w:r>
        <w:t xml:space="preserve">В сотрудничестве с KazBar и LPRC проведена Школа антикоррупционного комплаенса в 6 регионах страны </w:t>
      </w:r>
      <w:r>
        <w:rPr>
          <w:i/>
          <w:iCs/>
        </w:rPr>
        <w:t>(г. Астана, Восточно-Казахстанская, Карагандинская, Костанайская, Мангистауская и Павлодарская области)</w:t>
      </w:r>
      <w:r>
        <w:t xml:space="preserve"> с участием ведущих отечественных и международных экспертов.</w:t>
      </w:r>
    </w:p>
    <w:p w:rsidR="00B4409B" w:rsidRDefault="0001299D">
      <w:pPr>
        <w:pStyle w:val="pj"/>
      </w:pPr>
      <w:r>
        <w:t xml:space="preserve">Агентство активно сотрудничает с Ассоциацией комплаенс и деловой этики. Её целью является популяризация и развитие институтов корпоративного комплаенса и этического ведения бизнеса в Казахстане. </w:t>
      </w:r>
    </w:p>
    <w:p w:rsidR="00B4409B" w:rsidRDefault="0001299D">
      <w:pPr>
        <w:pStyle w:val="pj"/>
      </w:pPr>
      <w:r>
        <w:t xml:space="preserve">В рамках исполнения пункта 12 </w:t>
      </w:r>
      <w:r>
        <w:rPr>
          <w:i/>
          <w:iCs/>
        </w:rPr>
        <w:t xml:space="preserve">(Добровольное внедрение антикоррупционного стандарта ISO 37001 или </w:t>
      </w:r>
      <w:hyperlink r:id="rId19" w:history="1">
        <w:r>
          <w:rPr>
            <w:rStyle w:val="a5"/>
          </w:rPr>
          <w:t>СТ РК 3049</w:t>
        </w:r>
      </w:hyperlink>
      <w:r>
        <w:rPr>
          <w:i/>
          <w:iCs/>
        </w:rPr>
        <w:t xml:space="preserve"> в деятельности субъектов квазигосударственного и частного секторов)</w:t>
      </w:r>
      <w:r>
        <w:t xml:space="preserve"> Плана действий по реализации </w:t>
      </w:r>
      <w:hyperlink r:id="rId20" w:anchor="sub_id=100" w:history="1">
        <w:r>
          <w:rPr>
            <w:rStyle w:val="a5"/>
          </w:rPr>
          <w:t>Концепции</w:t>
        </w:r>
      </w:hyperlink>
      <w:r>
        <w:t xml:space="preserve"> антикоррупционной политики за отчетный период 38 организаций квазигоссектора прошли сертификационный аудит и получили сертификаты соответствия по стандарту </w:t>
      </w:r>
      <w:hyperlink r:id="rId21" w:history="1">
        <w:r>
          <w:rPr>
            <w:rStyle w:val="a5"/>
          </w:rPr>
          <w:t>ISO 37001-2017</w:t>
        </w:r>
      </w:hyperlink>
      <w:r>
        <w:t xml:space="preserve"> «Системы менеджмента борьбы со взяточничеством. Требования и руководство по использованию». </w:t>
      </w:r>
    </w:p>
    <w:p w:rsidR="00B4409B" w:rsidRDefault="0001299D">
      <w:pPr>
        <w:pStyle w:val="pj"/>
      </w:pPr>
      <w:r>
        <w:lastRenderedPageBreak/>
        <w:t xml:space="preserve">Академией государственного управления при Президенте Республики Казахстан </w:t>
      </w:r>
      <w:r>
        <w:rPr>
          <w:i/>
          <w:iCs/>
        </w:rPr>
        <w:t>(далее - АГУ)</w:t>
      </w:r>
      <w:r>
        <w:t xml:space="preserve"> совместно с международными и национальными экспертами, в том числе с представителями Ассоциации комплаенс и деловой этики разработаны Методические рекомендации по его внедрению. </w:t>
      </w:r>
    </w:p>
    <w:p w:rsidR="00B4409B" w:rsidRDefault="0001299D">
      <w:pPr>
        <w:pStyle w:val="pj"/>
      </w:pPr>
      <w:r>
        <w:t xml:space="preserve">По пункту 13 </w:t>
      </w:r>
      <w:r>
        <w:rPr>
          <w:i/>
          <w:iCs/>
        </w:rPr>
        <w:t xml:space="preserve">(Антикоррупционное обучение работников субъектов квазигосударственного и частного секторов на безвозмездной основе) </w:t>
      </w:r>
      <w:r>
        <w:t xml:space="preserve">Плана действий по реализации Концепции антикоррупционной политики KazBar и LPRC разработан бесплатный обучающий онлайн-курс «Противодействие коррупции в бизнесе», включающий видеолекции, учебные материалы, систему тестирования с выдачей сертификата. Курс предназначен для руководителей компаний, юристов, комплаенс-офицеров, а также всех,  кто занимается вопросами антикоррупционного комплаенса в организации. </w:t>
      </w:r>
    </w:p>
    <w:p w:rsidR="00B4409B" w:rsidRDefault="0001299D">
      <w:pPr>
        <w:pStyle w:val="pj"/>
      </w:pPr>
      <w:r>
        <w:t xml:space="preserve">В АГУ действуют курсы повышения квалификации по антикоррупционному комплаенсу. </w:t>
      </w:r>
    </w:p>
    <w:p w:rsidR="00B4409B" w:rsidRDefault="0001299D">
      <w:pPr>
        <w:pStyle w:val="pj"/>
      </w:pPr>
      <w:r>
        <w:t xml:space="preserve">В 3-х вузах запущены программы подготовки антикоррупционного комплаенса на уровне магистратуры </w:t>
      </w:r>
      <w:r>
        <w:rPr>
          <w:i/>
          <w:iCs/>
        </w:rPr>
        <w:t>(Narxoz University - «Комплаенс-контроль в организациях», «Корпоративное управление», «Комплаенс и оценка эффективности»; Евразийская юридическая академия им. Д. Кунаева - «Комплаенс-офицер»; Кокшетауский университет им. Ш. Уалиханова - годичная программа подготовки антикоррупционного комплаенса)</w:t>
      </w:r>
      <w:r>
        <w:t>.</w:t>
      </w:r>
    </w:p>
    <w:p w:rsidR="00B4409B" w:rsidRDefault="0001299D">
      <w:pPr>
        <w:pStyle w:val="pj"/>
      </w:pPr>
      <w:r>
        <w:rPr>
          <w:spacing w:val="-4"/>
        </w:rPr>
        <w:t>В целом институт антикоррупционного комплаенса в Казахстане успешно развивается, среди компаний растет осознание, что борьба с коррупцией является целесообразной с коммерческой точки зрения, поскольку она наносит ущерб репутации компаний и влечет финансовые потери.</w:t>
      </w:r>
    </w:p>
    <w:p w:rsidR="00B4409B" w:rsidRDefault="0001299D">
      <w:pPr>
        <w:pStyle w:val="pj"/>
      </w:pPr>
      <w:r>
        <w:t xml:space="preserve">В целях содействия добропорядочности предпринимательства приняты меры </w:t>
      </w:r>
      <w:r>
        <w:rPr>
          <w:b/>
          <w:bCs/>
        </w:rPr>
        <w:t>по повышению прозрачности и ответственности в бизнес-среде</w:t>
      </w:r>
      <w:r>
        <w:t xml:space="preserve">. </w:t>
      </w:r>
    </w:p>
    <w:p w:rsidR="00B4409B" w:rsidRDefault="0001299D">
      <w:pPr>
        <w:pStyle w:val="pj"/>
      </w:pPr>
      <w:r>
        <w:t>Функционал ИС «Реестр бизнес-партнеров» усовершенствован путем его дополнения Индексом добросовестности налогоплательщика и Антикоррупционным рейтингом бизнеса.</w:t>
      </w:r>
    </w:p>
    <w:p w:rsidR="00B4409B" w:rsidRDefault="0001299D">
      <w:pPr>
        <w:pStyle w:val="pj"/>
      </w:pPr>
      <w:r>
        <w:t xml:space="preserve">Индекс позволяет просчитать c помощью инструментов скоринга возможность наступления тех или иных негативных обстоятельств, которые </w:t>
      </w:r>
      <w:r>
        <w:rPr>
          <w:spacing w:val="-4"/>
        </w:rPr>
        <w:t>будут препятствовать выполнению договорных обязательств предпринимателей</w:t>
      </w:r>
      <w:r>
        <w:t xml:space="preserve"> </w:t>
      </w:r>
      <w:r>
        <w:rPr>
          <w:i/>
          <w:iCs/>
        </w:rPr>
        <w:t xml:space="preserve">(реализован на платформе Atameken Business Information Services - </w:t>
      </w:r>
      <w:hyperlink r:id="rId22" w:tgtFrame="_blank" w:history="1">
        <w:r>
          <w:rPr>
            <w:rStyle w:val="a5"/>
          </w:rPr>
          <w:t>https://kyc.kz/</w:t>
        </w:r>
      </w:hyperlink>
      <w:r>
        <w:rPr>
          <w:i/>
          <w:iCs/>
        </w:rPr>
        <w:t>)</w:t>
      </w:r>
      <w:r>
        <w:t>.  </w:t>
      </w:r>
    </w:p>
    <w:p w:rsidR="00B4409B" w:rsidRDefault="0001299D">
      <w:pPr>
        <w:pStyle w:val="pj"/>
      </w:pPr>
      <w:r>
        <w:t>Антикоррупционный рейтинг бизнеса формируется на основе добровольного опроса субъектов бизнеса для предоставления им возможности самостоятельной оценки принимаемых антикоррупционных мер в компании по ряду индикаторов и передовых практик.</w:t>
      </w:r>
    </w:p>
    <w:p w:rsidR="00B4409B" w:rsidRDefault="0001299D">
      <w:pPr>
        <w:pStyle w:val="pj"/>
      </w:pPr>
      <w:r>
        <w:t xml:space="preserve">Также планируется реализовать Индекс финансовой устойчивости </w:t>
      </w:r>
      <w:r>
        <w:rPr>
          <w:i/>
          <w:iCs/>
        </w:rPr>
        <w:t>(оценка вероятности банкротства контрагента)</w:t>
      </w:r>
      <w:r>
        <w:t xml:space="preserve"> и Индекс платежной дисциплины </w:t>
      </w:r>
      <w:r>
        <w:rPr>
          <w:i/>
          <w:iCs/>
        </w:rPr>
        <w:t>(оценка аккуратности контрагента по выполнению финансовых обязательств)</w:t>
      </w:r>
      <w:r>
        <w:t>.</w:t>
      </w:r>
    </w:p>
    <w:p w:rsidR="00B4409B" w:rsidRDefault="0001299D">
      <w:pPr>
        <w:pStyle w:val="pj"/>
      </w:pPr>
      <w:r>
        <w:t xml:space="preserve">Правоохранительными органами ведется точечная, целенаправленная работа </w:t>
      </w:r>
      <w:r>
        <w:rPr>
          <w:b/>
          <w:bCs/>
        </w:rPr>
        <w:t>по устранению барьеров, созданию наиболее благоприятных, конкурентных условий для бизнеса и иностранных инвесторов</w:t>
      </w:r>
      <w:r>
        <w:t xml:space="preserve">. </w:t>
      </w:r>
    </w:p>
    <w:p w:rsidR="00B4409B" w:rsidRDefault="0001299D">
      <w:pPr>
        <w:pStyle w:val="pj"/>
      </w:pPr>
      <w:r>
        <w:t xml:space="preserve">Так, прокурорами совместно с Национальной палатой предпринимателей «Атамекен» </w:t>
      </w:r>
      <w:r>
        <w:rPr>
          <w:i/>
          <w:iCs/>
        </w:rPr>
        <w:t xml:space="preserve">(далее - НПП) </w:t>
      </w:r>
      <w:r>
        <w:t>разрешено 62 чувствительных для предпринимателей вопроса, внесено 3 746 актов надзора, защищены права  135 тыс. предпринимателей, пресечено и отменено 6 тыс. незаконных проверок и иных форм контроля, отменено порядка 14 тыс. запретительных и ограничительных мер, 4,7 тыс. незаконных административных производств,  к дисциплинарной ответственности привлечено 1 130 лиц,  к административной - 121.</w:t>
      </w:r>
    </w:p>
    <w:p w:rsidR="00B4409B" w:rsidRDefault="0001299D">
      <w:pPr>
        <w:pStyle w:val="pj"/>
      </w:pPr>
      <w:r>
        <w:lastRenderedPageBreak/>
        <w:t xml:space="preserve">Круглосуточно продолжается работа мобильных групп органов прокуратуры по защите бизнеса </w:t>
      </w:r>
      <w:r>
        <w:rPr>
          <w:i/>
          <w:iCs/>
        </w:rPr>
        <w:t>(отработано 2 403 сигнала предпринимателей, внесено 323 акта надзора, отменено 99 административных производств)</w:t>
      </w:r>
      <w:r>
        <w:t>.</w:t>
      </w:r>
    </w:p>
    <w:p w:rsidR="00B4409B" w:rsidRDefault="0001299D">
      <w:pPr>
        <w:pStyle w:val="pj"/>
      </w:pPr>
      <w:r>
        <w:t xml:space="preserve">По итогам анализа проблемных вопросов в регионах Агентством запущен </w:t>
      </w:r>
      <w:r>
        <w:rPr>
          <w:b/>
          <w:bCs/>
        </w:rPr>
        <w:t>проект «Бизнеске жол»</w:t>
      </w:r>
      <w:r>
        <w:t xml:space="preserve"> </w:t>
      </w:r>
      <w:r>
        <w:rPr>
          <w:i/>
          <w:iCs/>
        </w:rPr>
        <w:t>(с 23.01.2023 г.)</w:t>
      </w:r>
      <w:r>
        <w:t>, целью которого является устранение административных барьеров, препятствующих развитию малого и среднего предпринимательства.</w:t>
      </w:r>
    </w:p>
    <w:p w:rsidR="00B4409B" w:rsidRDefault="0001299D">
      <w:pPr>
        <w:pStyle w:val="pj"/>
      </w:pPr>
      <w:r>
        <w:t>Работа выстроена по двум направлениям: 1) практическая помощь в решении конкретных проблем бизнеса; 2) устранение системных проблем через аналитику. С момента запуска проекта устранено свыше 30 системных барьеров, решено более 600 проблемных кейсов, оказана помощь 29 тыс. лиц.</w:t>
      </w:r>
    </w:p>
    <w:p w:rsidR="00B4409B" w:rsidRDefault="0001299D">
      <w:pPr>
        <w:pStyle w:val="pj"/>
      </w:pPr>
      <w:r>
        <w:t xml:space="preserve">К примеру, выявлено искусственное затягивание акиматами вопроса продления аренды земли путем направления заявлений предпринимателей и граждан на земельные комиссии </w:t>
      </w:r>
      <w:r>
        <w:rPr>
          <w:i/>
          <w:iCs/>
        </w:rPr>
        <w:t>(за 2020-2022 гг. 15 тыс. заявлений)</w:t>
      </w:r>
      <w:r>
        <w:t xml:space="preserve">. Законодательно подобная процедура не предусмотрена, земельные комиссии полномочий продления аренды не имеют. По рекомендации Антикоррупционной службы подобная практика прекращена </w:t>
      </w:r>
      <w:r>
        <w:rPr>
          <w:i/>
          <w:iCs/>
        </w:rPr>
        <w:t>(Комитет по управлению земельными ресурсами направил в акиматы соответствующее разъяснение)</w:t>
      </w:r>
      <w:r>
        <w:t xml:space="preserve">. Теперь акиматы сами принимают решения. </w:t>
      </w:r>
    </w:p>
    <w:p w:rsidR="00B4409B" w:rsidRDefault="0001299D">
      <w:pPr>
        <w:pStyle w:val="pj"/>
      </w:pPr>
      <w:r>
        <w:t>Также администрации государственных школ обязывали предпринимателей-арендаторов школьных столовых заключать договоры о размещении на платной основе меню на портале «Күнделік». Ни правовыми актами, ни договорами аренды такие требования не предусмотрены. По рекомендации Агентства необоснованные требования сняты, а заключенные договоры о платном размещении меню расторгнуты.</w:t>
      </w:r>
    </w:p>
    <w:p w:rsidR="00B4409B" w:rsidRDefault="0001299D">
      <w:pPr>
        <w:pStyle w:val="pj"/>
      </w:pPr>
      <w:r>
        <w:t>Территориальные управления образования под видом мониторинга госзаказа фактически осуществляли проверки частных детсадов. По закону такими полномочиями они не наделены. После вмешательства Антикоррупционной службы подобная практика была прекращена.</w:t>
      </w:r>
    </w:p>
    <w:p w:rsidR="00B4409B" w:rsidRDefault="0001299D">
      <w:pPr>
        <w:pStyle w:val="pj"/>
      </w:pPr>
      <w:r>
        <w:t xml:space="preserve">В 6 регионах </w:t>
      </w:r>
      <w:r>
        <w:rPr>
          <w:i/>
          <w:iCs/>
        </w:rPr>
        <w:t>(Западно-Казахстанской, Костанайской, Мангистауской, Северо-Казахстанской областях, области Жетісу и г. Шымкент)</w:t>
      </w:r>
      <w:r>
        <w:t xml:space="preserve"> ряд контролирующих госорганов </w:t>
      </w:r>
      <w:r>
        <w:rPr>
          <w:i/>
          <w:iCs/>
        </w:rPr>
        <w:t xml:space="preserve">(департаменты санитарно-эпидемиологического контроля, по чрезвычайным ситуациям, управления ГАСК, транспортного контроля, департаменты технического регулирования и метрологии) </w:t>
      </w:r>
      <w:r>
        <w:t>планировали проверить 360 субъектов бизнеса, не осуществив перед этим обязательный профилактический контроль без посещения объекта. По рекомендациям Агентства проверки исключили  из плана. Во все другие контрольно-надзорные органы направлены письма о недопущении подобных нарушений.</w:t>
      </w:r>
    </w:p>
    <w:p w:rsidR="00B4409B" w:rsidRDefault="0001299D">
      <w:pPr>
        <w:pStyle w:val="pj"/>
      </w:pPr>
      <w:r>
        <w:t xml:space="preserve">Также после реакции Антикоррупционной службы Министерством сельского хозяйства </w:t>
      </w:r>
      <w:r>
        <w:rPr>
          <w:i/>
          <w:iCs/>
        </w:rPr>
        <w:t xml:space="preserve">(далее - МСХ) </w:t>
      </w:r>
      <w:r>
        <w:t xml:space="preserve">утверждены Правила формирования и распределения объемов нефтепродуктов для производителей сельскохозяйственной продукции в периоды весенне-полевых и уборочных работ </w:t>
      </w:r>
      <w:r>
        <w:rPr>
          <w:i/>
          <w:iCs/>
        </w:rPr>
        <w:t>(</w:t>
      </w:r>
      <w:hyperlink r:id="rId23" w:history="1">
        <w:r>
          <w:rPr>
            <w:rStyle w:val="a5"/>
          </w:rPr>
          <w:t>приказ</w:t>
        </w:r>
      </w:hyperlink>
      <w:r>
        <w:rPr>
          <w:i/>
          <w:iCs/>
        </w:rPr>
        <w:t xml:space="preserve"> МСХ от 13.04.2023 г. № 137)</w:t>
      </w:r>
      <w:r>
        <w:t>. Ранее регламентации не было и акиматы субъективно распределяли объемы. Дешевые горюче-смазочные материалы предоставляли лицам, не являющимся производителями сельскохозяйственной продукции либо прекратившим деятельность.</w:t>
      </w:r>
    </w:p>
    <w:p w:rsidR="00B4409B" w:rsidRDefault="0001299D">
      <w:pPr>
        <w:pStyle w:val="pj"/>
      </w:pPr>
      <w:r>
        <w:t>В г. Астане услуга по подключению потребителей к внутридомовым газовым сетям акционерного общества «КазТрансГаз-Аймак» была закреплена за аффилированным поставщиком, который не имел штата и оборудования. Вместе с тем данная услуга находится в конкурентной среде, где осуществляет деятельность более 800 поставщиков. По инициативе Антикоррупционной службы Агентство по защите конкуренции внесло предписание, услуга передана в конкурентную среду.</w:t>
      </w:r>
    </w:p>
    <w:p w:rsidR="00B4409B" w:rsidRDefault="0001299D">
      <w:pPr>
        <w:pStyle w:val="pj"/>
      </w:pPr>
      <w:r>
        <w:t>Агентством по финансовому мониторингу</w:t>
      </w:r>
      <w:r>
        <w:rPr>
          <w:color w:val="FF0000"/>
        </w:rPr>
        <w:t xml:space="preserve"> </w:t>
      </w:r>
      <w:r>
        <w:rPr>
          <w:i/>
          <w:iCs/>
        </w:rPr>
        <w:t>(далее - АФМ)</w:t>
      </w:r>
      <w:r>
        <w:t xml:space="preserve"> реализуется </w:t>
      </w:r>
      <w:r>
        <w:rPr>
          <w:b/>
          <w:bCs/>
        </w:rPr>
        <w:t>проект «Защита бизнеса»</w:t>
      </w:r>
      <w:r>
        <w:t>, в рамках которого ужесточен ведомственный контроль, оцифрован учет всех обременений на имущество, обысков  </w:t>
      </w:r>
      <w:r>
        <w:rPr>
          <w:spacing w:val="-4"/>
        </w:rPr>
        <w:t>и выемок. С помощью аналитических IT-инструментов в поле зрения попадают</w:t>
      </w:r>
      <w:r>
        <w:t xml:space="preserve"> только субъекты, имеющие исключительно высокие </w:t>
      </w:r>
      <w:r>
        <w:lastRenderedPageBreak/>
        <w:t>риски противоправной деятельности. Это позволяет ограждать добросовестных субъектов бизнеса  от необоснованного вовлечения в орбиту уголовного преследования.</w:t>
      </w:r>
    </w:p>
    <w:p w:rsidR="00B4409B" w:rsidRDefault="0001299D">
      <w:pPr>
        <w:pStyle w:val="pj"/>
      </w:pPr>
      <w:r>
        <w:t xml:space="preserve">В рамках исполнения поручения Главы государства Генеральной прокуратурой </w:t>
      </w:r>
      <w:r>
        <w:rPr>
          <w:i/>
          <w:iCs/>
        </w:rPr>
        <w:t>(далее - ГП)</w:t>
      </w:r>
      <w:r>
        <w:t xml:space="preserve"> совместно с Правительством выработаны меры по </w:t>
      </w:r>
      <w:r>
        <w:rPr>
          <w:spacing w:val="-4"/>
        </w:rPr>
        <w:t xml:space="preserve">повышению эффективности прокурорского </w:t>
      </w:r>
      <w:r>
        <w:rPr>
          <w:b/>
          <w:bCs/>
          <w:spacing w:val="-4"/>
        </w:rPr>
        <w:t>сопровождения инвестиционных</w:t>
      </w:r>
      <w:r>
        <w:rPr>
          <w:b/>
          <w:bCs/>
        </w:rPr>
        <w:t xml:space="preserve"> проектов</w:t>
      </w:r>
      <w:r>
        <w:t>:</w:t>
      </w:r>
    </w:p>
    <w:p w:rsidR="00B4409B" w:rsidRDefault="0001299D">
      <w:pPr>
        <w:pStyle w:val="pj"/>
      </w:pPr>
      <w:r>
        <w:t>1) внедрение системы поддержки инвестпроектов «Зеленый коридор»;</w:t>
      </w:r>
    </w:p>
    <w:p w:rsidR="00B4409B" w:rsidRDefault="0001299D">
      <w:pPr>
        <w:pStyle w:val="pj"/>
      </w:pPr>
      <w:r>
        <w:t>2) запуск Единой цифровой инвестиционной платформы;</w:t>
      </w:r>
    </w:p>
    <w:p w:rsidR="00B4409B" w:rsidRDefault="0001299D">
      <w:pPr>
        <w:pStyle w:val="pj"/>
      </w:pPr>
      <w:r>
        <w:t>3)</w:t>
      </w:r>
      <w:r>
        <w:rPr>
          <w:b/>
          <w:bCs/>
        </w:rPr>
        <w:t> </w:t>
      </w:r>
      <w:r>
        <w:t>внедрение прокурорского «фильтра» для согласования ограничительных мер в отношении инвесторов.</w:t>
      </w:r>
    </w:p>
    <w:p w:rsidR="00B4409B" w:rsidRDefault="0001299D">
      <w:pPr>
        <w:pStyle w:val="pj"/>
      </w:pPr>
      <w:r>
        <w:t>По каждому направлению созданы межведомственные рабочие группы, утвержден график их заседаний. Прокуроры включены в состав консультативно-совещательных органов по вопросам инвестиций  </w:t>
      </w:r>
      <w:r>
        <w:rPr>
          <w:i/>
          <w:iCs/>
        </w:rPr>
        <w:t>(по заключенным инвестиционным проектам)</w:t>
      </w:r>
      <w:r>
        <w:t xml:space="preserve">. По всей стране при координации прокуратуры образованы фронт-офисы </w:t>
      </w:r>
      <w:r>
        <w:rPr>
          <w:i/>
          <w:iCs/>
        </w:rPr>
        <w:t>(акиматы, КНБ, АФМ, Агентство, НПП  и Национальная компания «Kazakh Invest»)</w:t>
      </w:r>
      <w:r>
        <w:t xml:space="preserve">, которые обеспечивают правовую консультацию </w:t>
      </w:r>
      <w:r>
        <w:rPr>
          <w:i/>
          <w:iCs/>
        </w:rPr>
        <w:t>(по принципу «одного окна»)</w:t>
      </w:r>
      <w:r>
        <w:t xml:space="preserve"> по проблемным и иным вопросам реализации инвестиционных проектов.</w:t>
      </w:r>
    </w:p>
    <w:p w:rsidR="00B4409B" w:rsidRDefault="0001299D">
      <w:pPr>
        <w:pStyle w:val="pj"/>
      </w:pPr>
      <w:r>
        <w:t>В результате сопровождается свыше тысячи инвестиционных проектов. Оказана поддержка 75 инвесторам, совокупная стоимость инвестиций которых в экономику страны составляет порядка 1,2 трлн тенге.</w:t>
      </w:r>
    </w:p>
    <w:p w:rsidR="00B4409B" w:rsidRDefault="0001299D">
      <w:pPr>
        <w:pStyle w:val="pj"/>
      </w:pPr>
      <w:r>
        <w:t>Принимаемые меры способствуют поддержке предпринимателей, созданию благоприятного инвестиционного климата и формированию фундамента для ускорения роста экономики.</w:t>
      </w:r>
    </w:p>
    <w:p w:rsidR="00B4409B" w:rsidRDefault="0001299D">
      <w:pPr>
        <w:pStyle w:val="pj"/>
      </w:pPr>
      <w:r>
        <w:t> </w:t>
      </w:r>
    </w:p>
    <w:p w:rsidR="00B4409B" w:rsidRDefault="0001299D">
      <w:pPr>
        <w:pStyle w:val="pc"/>
      </w:pPr>
      <w:bookmarkStart w:id="12" w:name="SUB600"/>
      <w:bookmarkEnd w:id="12"/>
      <w:r>
        <w:rPr>
          <w:rStyle w:val="s1"/>
        </w:rPr>
        <w:t>6. Участие общественности в противодействии коррупции</w:t>
      </w:r>
    </w:p>
    <w:p w:rsidR="00B4409B" w:rsidRDefault="0001299D">
      <w:pPr>
        <w:pStyle w:val="pj"/>
      </w:pPr>
      <w:r>
        <w:t> </w:t>
      </w:r>
    </w:p>
    <w:p w:rsidR="00B4409B" w:rsidRDefault="0001299D">
      <w:pPr>
        <w:pStyle w:val="pj"/>
      </w:pPr>
      <w:r>
        <w:t xml:space="preserve">Важнейшую роль в формировании антикоррупционной культуры и продвижении идеологии добропорядочности играет </w:t>
      </w:r>
      <w:r>
        <w:rPr>
          <w:b/>
          <w:bCs/>
        </w:rPr>
        <w:t>неправительственный сектор</w:t>
      </w:r>
      <w:r>
        <w:t>.</w:t>
      </w:r>
    </w:p>
    <w:p w:rsidR="00B4409B" w:rsidRDefault="0001299D">
      <w:pPr>
        <w:pStyle w:val="pj"/>
      </w:pPr>
      <w:r>
        <w:t xml:space="preserve">Активно в этом направлении работают Фонд развития парламентаризма, Гражданский Альянс Казахстана, Общенациональное движение против коррупции «ЖАҢАРУ» </w:t>
      </w:r>
      <w:r>
        <w:rPr>
          <w:i/>
          <w:iCs/>
        </w:rPr>
        <w:t>(далее - «ЖАҢАРУ»)</w:t>
      </w:r>
      <w:r>
        <w:t>, Первый антикоррупционный медиа-центр, «Әділдік жолы», KazBar, Центр исследования правовой политики, Ассоциация комплаенс и деловой этики, движение «Акселератор добра: Ізгілік елшісі» и другие.</w:t>
      </w:r>
    </w:p>
    <w:p w:rsidR="00B4409B" w:rsidRDefault="0001299D">
      <w:pPr>
        <w:pStyle w:val="pj"/>
      </w:pPr>
      <w:r>
        <w:t xml:space="preserve">К примеру, «ЖАҢАРУ», имеющее разветвленную сеть филиалов по всей стране, на постоянной основе проводит целенаправленную  и системную работу в учебных заведениях, воинских формированиях, подразделениях правоохранительных органов </w:t>
      </w:r>
      <w:r>
        <w:rPr>
          <w:i/>
          <w:iCs/>
        </w:rPr>
        <w:t>(лекции, встречи с известными личностями, круглые столы, форсайт-сессии, опросы, видео-ролики)</w:t>
      </w:r>
      <w:r>
        <w:t>.</w:t>
      </w:r>
    </w:p>
    <w:p w:rsidR="00B4409B" w:rsidRDefault="0001299D">
      <w:pPr>
        <w:pStyle w:val="pj"/>
      </w:pPr>
      <w:r>
        <w:t xml:space="preserve">В целях расширения участия общественности в противодействии коррупции Агентством инициирован </w:t>
      </w:r>
      <w:r>
        <w:rPr>
          <w:b/>
          <w:bCs/>
        </w:rPr>
        <w:t>проект «Антикоррупционное волонтерство»</w:t>
      </w:r>
      <w:r>
        <w:t xml:space="preserve"> </w:t>
      </w:r>
      <w:r>
        <w:rPr>
          <w:i/>
          <w:iCs/>
        </w:rPr>
        <w:t>(с августа 2023 года)</w:t>
      </w:r>
      <w:r>
        <w:t xml:space="preserve">. </w:t>
      </w:r>
    </w:p>
    <w:p w:rsidR="00B4409B" w:rsidRDefault="0001299D">
      <w:pPr>
        <w:pStyle w:val="pj"/>
      </w:pPr>
      <w:r>
        <w:t xml:space="preserve">Более 2,6 тыс. волонтеров в рамках проекта проводят мониторинг эффективности расходования бюджетных средств и проблемных вопросов регионов, принимают участие в организации антикоррупционных мероприятий, создании социальных роликов на антикоррупционную тематику и т.д. Благодаря их работе предотвращено завышение госзакупок на сумму более 3 млрд тенге. </w:t>
      </w:r>
    </w:p>
    <w:p w:rsidR="00B4409B" w:rsidRDefault="0001299D">
      <w:pPr>
        <w:pStyle w:val="pj"/>
      </w:pPr>
      <w:r>
        <w:t>К примеру, порядка 200 млн тенге возвращено в бюджет государственного коммунального предприятия «Каспий жылу, су арнасы» управления энергетики и жилищно-коммунального хозяйства Мангистауской области. Так, на 2023 год было запланировано приобретение 1 ед. «трехконтурной станции» на сумму 247,7 млн тенге при рыночной стоимости товара 45-50 млн за 1 шт. В результате проведенной работы стоимость товара снижена до 49,6 млн тенге.</w:t>
      </w:r>
    </w:p>
    <w:p w:rsidR="00B4409B" w:rsidRDefault="0001299D">
      <w:pPr>
        <w:pStyle w:val="pj"/>
      </w:pPr>
      <w:r>
        <w:lastRenderedPageBreak/>
        <w:t>Волонтерами г. Алматы предотвращено нецелевое расходование бюджетных средств на общую сумму 45 млн тенге.</w:t>
      </w:r>
    </w:p>
    <w:p w:rsidR="00B4409B" w:rsidRDefault="0001299D">
      <w:pPr>
        <w:pStyle w:val="pj"/>
      </w:pPr>
      <w:r>
        <w:t xml:space="preserve">Наряду с этим, на местах проводится работа по устранению выявленных волонтерами нарушений. </w:t>
      </w:r>
    </w:p>
    <w:p w:rsidR="00B4409B" w:rsidRDefault="0001299D">
      <w:pPr>
        <w:pStyle w:val="pj"/>
      </w:pPr>
      <w:r>
        <w:t xml:space="preserve">Например, в Акмолинской области волонтерами проведен мониторинг строительства школы в с. Буланды района Биржан сал. Установлены нарушения соединительных узлов и отсутствие огнезащитной обработки деревянных конструкций крыши, а также отставание от графика. Подрядчику выдано предписание об устранении нарушений и составлен протокол  об административном правонарушении по </w:t>
      </w:r>
      <w:hyperlink r:id="rId24" w:anchor="sub_id=3120000" w:history="1">
        <w:r>
          <w:rPr>
            <w:rStyle w:val="a5"/>
          </w:rPr>
          <w:t>ст. 312</w:t>
        </w:r>
      </w:hyperlink>
      <w:r>
        <w:t xml:space="preserve"> Кодекса об административных правонарушениях.</w:t>
      </w:r>
    </w:p>
    <w:p w:rsidR="00B4409B" w:rsidRDefault="0001299D">
      <w:pPr>
        <w:pStyle w:val="pj"/>
      </w:pPr>
      <w:r>
        <w:t xml:space="preserve">В Алматинской области акимат в установленные сроки не оплатил 1 200 студентам участие в программе «Жасыл ел». После вмешательства волонтеров выделено 133,9 млн тенге для решения данного вопроса. </w:t>
      </w:r>
    </w:p>
    <w:p w:rsidR="00B4409B" w:rsidRDefault="0001299D">
      <w:pPr>
        <w:pStyle w:val="pj"/>
      </w:pPr>
      <w:r>
        <w:t xml:space="preserve">В г. Шымкенте приостановлено незаконное посещение мониторинговой группой субъектов предпринимательства. Так, руководителем управления здравоохранения издан необоснованный приказ по мониторингу частных медицинских организаций. В результате своевременного реагирования приказ отменен. </w:t>
      </w:r>
    </w:p>
    <w:p w:rsidR="00B4409B" w:rsidRDefault="0001299D">
      <w:pPr>
        <w:pStyle w:val="pj"/>
      </w:pPr>
      <w:r>
        <w:t>В Павлодарской области устранены нарушения строительных норм  при возведении многоквартирного жилого дома. По информации волонтеров подрядчиком планировалась ликвидация зеленых насаждений и пешеходного тротуара. Эскизный проект не соответствовал государственным нормативам  и санитарным правилам. По итогам рассмотрения указанных замечаний, заказчиком принято решение о корректировке действующего проекта застройки и изменении целевого назначения земельного участка.</w:t>
      </w:r>
    </w:p>
    <w:p w:rsidR="00B4409B" w:rsidRDefault="0001299D">
      <w:pPr>
        <w:pStyle w:val="pj"/>
        <w:ind w:right="-2"/>
      </w:pPr>
      <w:r>
        <w:t>В Алматинской области была внедрена практика выезда волонтеров  в составе</w:t>
      </w:r>
      <w:r>
        <w:rPr>
          <w:rStyle w:val="a7"/>
        </w:rPr>
        <w:t xml:space="preserve"> </w:t>
      </w:r>
      <w:r>
        <w:t>мобильной антикоррупционной группы, которая проводит встречи с населением в местах их массового пребывания - это пункты Казпочты, акиматы, ЦОНы, школы, рынки и крупные торговые центры.</w:t>
      </w:r>
    </w:p>
    <w:p w:rsidR="00B4409B" w:rsidRDefault="0001299D">
      <w:pPr>
        <w:pStyle w:val="pj"/>
        <w:ind w:right="-2"/>
      </w:pPr>
      <w:r>
        <w:t>Всего мобильная группа посетила 30 населенных пунктов, приняла порядка 1 250 человек с более 570 вопросами. При этом половина вопросов была разрешена на месте. Кроме этого, обратившиеся получили бесплатные правовые консультации.</w:t>
      </w:r>
    </w:p>
    <w:p w:rsidR="00B4409B" w:rsidRDefault="0001299D">
      <w:pPr>
        <w:pStyle w:val="pj"/>
        <w:ind w:right="-2"/>
      </w:pPr>
      <w:r>
        <w:t xml:space="preserve">В рамках «pro bono волонтерства» более 24 тыс. граждан </w:t>
      </w:r>
      <w:r>
        <w:rPr>
          <w:i/>
          <w:iCs/>
        </w:rPr>
        <w:t xml:space="preserve">(24 419 чел.) </w:t>
      </w:r>
      <w:r>
        <w:t xml:space="preserve">в регионах получили бесплатную правовую помощь. Работа в этом направлении становится особенно актуальной в свете объявления 2024 года в странах Содружества Независимых Государств </w:t>
      </w:r>
      <w:r>
        <w:rPr>
          <w:i/>
          <w:iCs/>
        </w:rPr>
        <w:t xml:space="preserve">(далее - СНГ) </w:t>
      </w:r>
      <w:r>
        <w:t xml:space="preserve">Годом волонтерского движения. </w:t>
      </w:r>
    </w:p>
    <w:p w:rsidR="00B4409B" w:rsidRDefault="0001299D">
      <w:pPr>
        <w:pStyle w:val="pj"/>
      </w:pPr>
      <w:r>
        <w:t>Такое решение было принято Советом глав государств СНГ с учетом заслуг и весомого вклада волонтерского движения в различные сферы общественной жизни. Волонтеры в странах СНГ участвуют в проектах и инициативах, направленных на помощь нуждающимся, развитие общества, охрану окружающей среды.</w:t>
      </w:r>
    </w:p>
    <w:p w:rsidR="00B4409B" w:rsidRDefault="0001299D">
      <w:pPr>
        <w:pStyle w:val="pj"/>
      </w:pPr>
      <w:r>
        <w:t xml:space="preserve">Значительный вклад в реализацию антикоррупционной политики вносит </w:t>
      </w:r>
      <w:r>
        <w:rPr>
          <w:b/>
          <w:bCs/>
        </w:rPr>
        <w:t>Общественный совет Агентства</w:t>
      </w:r>
      <w:r>
        <w:t>.</w:t>
      </w:r>
    </w:p>
    <w:p w:rsidR="00B4409B" w:rsidRDefault="0001299D">
      <w:pPr>
        <w:pStyle w:val="pj"/>
      </w:pPr>
      <w:r>
        <w:t>За 2023 год проведено 16 заседаний Общественного совета. Рассмотрены вопросы региональных карт коррупционных рисков, реализации проектов «Дорогу бизнесу», «Антикоррупционное волонтерство», законодательные инициативы, в том числе 17</w:t>
      </w:r>
      <w:r>
        <w:rPr>
          <w:b/>
          <w:bCs/>
        </w:rPr>
        <w:t xml:space="preserve"> </w:t>
      </w:r>
      <w:r>
        <w:t>проектов постановлений Правительства и приказов Председателя, отчет о реализации Концепции антикоррупционной политики, а также проект Методики оценки уровня коррупции.</w:t>
      </w:r>
    </w:p>
    <w:p w:rsidR="00B4409B" w:rsidRDefault="0001299D">
      <w:pPr>
        <w:pStyle w:val="pj"/>
        <w:ind w:left="57"/>
      </w:pPr>
      <w:r>
        <w:t xml:space="preserve">По инициативе членов Совета внедрена практика выездных заседаний  в целях усиления взаимодействия между центром и регионами в вопросах противодействия коррупции </w:t>
      </w:r>
      <w:r>
        <w:rPr>
          <w:i/>
          <w:iCs/>
        </w:rPr>
        <w:t>(выездные заседания проведены в городах Алматы, Семей, Усть-Каменогорск и Шымкент)</w:t>
      </w:r>
      <w:r>
        <w:t>.</w:t>
      </w:r>
    </w:p>
    <w:p w:rsidR="00B4409B" w:rsidRDefault="0001299D">
      <w:pPr>
        <w:pStyle w:val="pj"/>
        <w:ind w:left="57"/>
      </w:pPr>
      <w:r>
        <w:lastRenderedPageBreak/>
        <w:t>В регионах проведен ряд других мероприятий с участием членов Совета: заседания межведомственных комиссий по противодействию коррупции при акимах областей и городов республиканского значения; встречи с предпринимателями, студенческой молодежью, представителями неправительственных организаций и антикоррупционными волонтерами.</w:t>
      </w:r>
    </w:p>
    <w:p w:rsidR="00B4409B" w:rsidRDefault="0001299D">
      <w:pPr>
        <w:pStyle w:val="pj"/>
      </w:pPr>
      <w:r>
        <w:t xml:space="preserve">Члены Общественного совета активно выступают на различных площадках по вопросам противодействия коррупции. В своей деятельности Общественный совет Агентства проявляет максимальную открытость.  В СМИ и социальных сетях размещено 234 материала об их деятельности. </w:t>
      </w:r>
    </w:p>
    <w:p w:rsidR="00B4409B" w:rsidRDefault="0001299D">
      <w:pPr>
        <w:pStyle w:val="pj"/>
      </w:pPr>
      <w:r>
        <w:t>В рамках реализации Концепции антикоррупционной политики для обеспечения прозрачности в правила проведения внешнего и внутреннего анализа коррупционных рисков внесены изменения. Теперь к проведению анализа могут привлекаться члены общественных советов объектов анализа  и Агентства, а также предусмотрена возможность применения проектного управления при устранении коррупционных рисков и исполнении рекомендаций, внесенных по результатам анализа.</w:t>
      </w:r>
    </w:p>
    <w:p w:rsidR="00B4409B" w:rsidRDefault="0001299D">
      <w:pPr>
        <w:pStyle w:val="pj"/>
      </w:pPr>
      <w:r>
        <w:t xml:space="preserve">Наряду с этим, усилен антикоррупционный потенциал института общественных советов при государственных органах и субъектах квазигосударственном сектора. Так, в Национальном докладе о деятельности общественных советов в Республике Казахстан за 2023 год в разделе 1 </w:t>
      </w:r>
      <w:r>
        <w:rPr>
          <w:i/>
          <w:iCs/>
        </w:rPr>
        <w:t>(Ключевые направления деятельности общественных советов)</w:t>
      </w:r>
      <w:r>
        <w:t xml:space="preserve"> отдельный подраздел посвящен усилению роли общественных советов в превенции коррупции.</w:t>
      </w:r>
    </w:p>
    <w:p w:rsidR="00B4409B" w:rsidRDefault="0001299D">
      <w:pPr>
        <w:pStyle w:val="pj"/>
      </w:pPr>
      <w:r>
        <w:t>В докладе отмечается, что на площадках городов и районов Казахстана активно обсуждаются коррупционные риски, все это указывает на повышенный интерес к проблеме на государственном и общественном уровнях. Особое внимание уделяется инициативе привлечения к борьбе с коррупцией волонтеров и молодежных групп, что способствует усилению информированности и активности граждан.</w:t>
      </w:r>
    </w:p>
    <w:p w:rsidR="00B4409B" w:rsidRDefault="0001299D">
      <w:pPr>
        <w:pStyle w:val="pj"/>
      </w:pPr>
      <w:r>
        <w:t>Важно отметить, что профилактическая роль общественных советов и других гражданских институтов укреплена с принятием Закона Республики Казахстан «Об общественном контроле» 2 октября 2023 года.</w:t>
      </w:r>
    </w:p>
    <w:p w:rsidR="00B4409B" w:rsidRDefault="0001299D">
      <w:pPr>
        <w:pStyle w:val="pj"/>
      </w:pPr>
      <w:r>
        <w:t>Целью общественного контроля является обеспечение участия граждан Республики Казахстан в управлении делами государства через общественные обсуждения, общественную экспертизу и общественный мониторинг.</w:t>
      </w:r>
    </w:p>
    <w:p w:rsidR="00B4409B" w:rsidRDefault="0001299D">
      <w:pPr>
        <w:pStyle w:val="pj"/>
      </w:pPr>
      <w:r>
        <w:t>Задачи общественного контроля: вовлечение граждан в процесс общественного контроля; учет общественного мнения при принятии решений объектами общественного контроля; обеспечение прозрачности и открытости деятельности объектов общественного контроля, повышение эффективности их деятельности; обеспечение взаимодействия субъектов и объектов общественного контроля; формирование в обществе нетерпимости к противоправному поведению и др.</w:t>
      </w:r>
    </w:p>
    <w:p w:rsidR="00B4409B" w:rsidRDefault="0001299D">
      <w:pPr>
        <w:pStyle w:val="pj"/>
      </w:pPr>
      <w:r>
        <w:t> </w:t>
      </w:r>
    </w:p>
    <w:p w:rsidR="00B4409B" w:rsidRDefault="0001299D">
      <w:pPr>
        <w:pStyle w:val="pc"/>
      </w:pPr>
      <w:bookmarkStart w:id="13" w:name="SUB700"/>
      <w:bookmarkEnd w:id="13"/>
      <w:r>
        <w:rPr>
          <w:rStyle w:val="s1"/>
        </w:rPr>
        <w:t>7. Вовлеченность государственных органов и субъектов квазигосударственного сектора в противодействие коррупции</w:t>
      </w:r>
    </w:p>
    <w:p w:rsidR="00B4409B" w:rsidRDefault="0001299D">
      <w:pPr>
        <w:pStyle w:val="p"/>
      </w:pPr>
      <w:r>
        <w:t> </w:t>
      </w:r>
    </w:p>
    <w:p w:rsidR="00B4409B" w:rsidRDefault="0001299D">
      <w:pPr>
        <w:pStyle w:val="pc"/>
      </w:pPr>
      <w:bookmarkStart w:id="14" w:name="SUB70100"/>
      <w:bookmarkEnd w:id="14"/>
      <w:r>
        <w:rPr>
          <w:rStyle w:val="s1"/>
        </w:rPr>
        <w:t>7.1. Типовое базовое направление по противодействию коррупции</w:t>
      </w:r>
    </w:p>
    <w:p w:rsidR="00B4409B" w:rsidRDefault="0001299D">
      <w:pPr>
        <w:pStyle w:val="p"/>
      </w:pPr>
      <w:r>
        <w:t> </w:t>
      </w:r>
    </w:p>
    <w:p w:rsidR="00B4409B" w:rsidRDefault="0001299D">
      <w:pPr>
        <w:pStyle w:val="pj"/>
      </w:pPr>
      <w:r>
        <w:t>В 2023 году Агентством была продолжена системная работа  по повышению превентивного потенциала других субъектов противодействия коррупции.</w:t>
      </w:r>
    </w:p>
    <w:p w:rsidR="00B4409B" w:rsidRDefault="0001299D">
      <w:pPr>
        <w:pStyle w:val="pj"/>
      </w:pPr>
      <w:r>
        <w:t>В целях достижения наибольшей эффективности данная деятельность осуществляется с применением инструментов проектного менеджмента.</w:t>
      </w:r>
    </w:p>
    <w:p w:rsidR="00B4409B" w:rsidRDefault="0001299D">
      <w:pPr>
        <w:pStyle w:val="pj"/>
      </w:pPr>
      <w:r>
        <w:t>На смену традиционным планам с ежегодным контролем пришли уставы проектов с ежедневным мониторингом в информационной системе проектного управления.</w:t>
      </w:r>
    </w:p>
    <w:p w:rsidR="00B4409B" w:rsidRDefault="0001299D">
      <w:pPr>
        <w:pStyle w:val="pj"/>
      </w:pPr>
      <w:r>
        <w:rPr>
          <w:spacing w:val="-4"/>
        </w:rPr>
        <w:lastRenderedPageBreak/>
        <w:t>Госорганами применяются различные стандарты, методы и инструменты</w:t>
      </w:r>
      <w:r>
        <w:t xml:space="preserve"> управления проектами, включая гибридные технологии управления  и аджайл-методы по своему выбору.</w:t>
      </w:r>
    </w:p>
    <w:p w:rsidR="00B4409B" w:rsidRDefault="0001299D">
      <w:pPr>
        <w:pStyle w:val="pj"/>
      </w:pPr>
      <w:r>
        <w:t xml:space="preserve">В каждом государственном органе создается и реализуется типовое базовое направление </w:t>
      </w:r>
      <w:r>
        <w:rPr>
          <w:i/>
          <w:iCs/>
        </w:rPr>
        <w:t>(далее - ТБН)</w:t>
      </w:r>
      <w:r>
        <w:t>, направленное на постоянное совершенствование системы государственного управления ТБН включает следующие группы проектов: 1) модернизация государственного управления; 2) повышение профессионализма и квалификации государственного аппарата; 3) работа с обращениями физических и юридических лиц; 4) предупреждение и противодействие коррупции; 5) модернизация общественного сознания;  6)  цифровизация государственных услуг и сферы/отрасли/региона деятельности государственного органа.</w:t>
      </w:r>
    </w:p>
    <w:p w:rsidR="00B4409B" w:rsidRDefault="0001299D">
      <w:pPr>
        <w:pStyle w:val="pj"/>
      </w:pPr>
      <w:r>
        <w:t xml:space="preserve">Методологическая поддержка, обеспечение координации, мониторинга и взаимодействия государственных органов по группам проектов в сфере противодействия коррупции осуществляется проектным офисом Антикоррупционной службы </w:t>
      </w:r>
      <w:r>
        <w:rPr>
          <w:i/>
          <w:iCs/>
        </w:rPr>
        <w:t>(ТБН-4)</w:t>
      </w:r>
      <w:r>
        <w:t>.</w:t>
      </w:r>
      <w:r>
        <w:rPr>
          <w:rStyle w:val="a4"/>
        </w:rPr>
        <w:t xml:space="preserve"> </w:t>
      </w:r>
      <w:r>
        <w:rPr>
          <w:rStyle w:val="s0"/>
        </w:rPr>
        <w:t>[2]</w:t>
      </w:r>
    </w:p>
    <w:p w:rsidR="00B4409B" w:rsidRDefault="0001299D">
      <w:pPr>
        <w:pStyle w:val="pj"/>
      </w:pPr>
      <w:r>
        <w:t xml:space="preserve">ТБН-4 включает следующие направления: формирование антикоррупционной культуры, внутренний анализ коррупционных рисков, антикоррупционный комплаенс, соблюдение антикоррупционного законодательства. </w:t>
      </w:r>
    </w:p>
    <w:p w:rsidR="00B4409B" w:rsidRDefault="0001299D">
      <w:pPr>
        <w:pStyle w:val="pj"/>
      </w:pPr>
      <w:r>
        <w:rPr>
          <w:b/>
          <w:bCs/>
        </w:rPr>
        <w:t>В рамках формирования антикоррупционной культуры</w:t>
      </w:r>
      <w:r>
        <w:t xml:space="preserve"> порядка 4 тыс. государственных служащих прошли антикоррупционное обучение по повышению квалификации.</w:t>
      </w:r>
    </w:p>
    <w:p w:rsidR="00B4409B" w:rsidRDefault="0001299D">
      <w:pPr>
        <w:pStyle w:val="pj"/>
      </w:pPr>
      <w:r>
        <w:t>Уполномоченными по этике центральных и местных исполнительных органов проведено более 2 тыс. разъяснительных мероприятий на антикоррупционную тематику.</w:t>
      </w:r>
    </w:p>
    <w:p w:rsidR="00B4409B" w:rsidRDefault="0001299D">
      <w:pPr>
        <w:pStyle w:val="pj"/>
      </w:pPr>
      <w:r>
        <w:t>Отдельно профилактические мероприятия проводятся с лицами, должности которых подвержены коррупционным рискам и включены в соответствующие реестры.</w:t>
      </w:r>
    </w:p>
    <w:p w:rsidR="00B4409B" w:rsidRDefault="0001299D">
      <w:pPr>
        <w:pStyle w:val="pj"/>
      </w:pPr>
      <w:r>
        <w:t xml:space="preserve">По второму направлению ТБН-4 госорганами и субъектами квазигоссектора проведено порядка 2,5 тыс. </w:t>
      </w:r>
      <w:r>
        <w:rPr>
          <w:b/>
          <w:bCs/>
        </w:rPr>
        <w:t>внутренних анализов коррупционных рисков</w:t>
      </w:r>
      <w:r>
        <w:t xml:space="preserve">, в рамках которых установлено более 9 тыс. коррупционных рисков. По сравнению с 2022 годом отмечается улучшение качества таких анализов. Установлены риски, которые реально влияют на состояние коррупции. </w:t>
      </w:r>
    </w:p>
    <w:p w:rsidR="00B4409B" w:rsidRDefault="0001299D">
      <w:pPr>
        <w:pStyle w:val="pj"/>
      </w:pPr>
      <w:r>
        <w:t xml:space="preserve">К примеру, органами государственных доходов в Интегрированной информационной системе налогового администрирования обнаружена уязвимость, пользуясь которой работники исполнительного звена неправомерно отзывали распоряжения о приостановлении расходных операций по банковским счетам налогоплательщика </w:t>
      </w:r>
      <w:r>
        <w:rPr>
          <w:i/>
          <w:iCs/>
        </w:rPr>
        <w:t>(при неисполненном налоговом обязательстве)</w:t>
      </w:r>
      <w:r>
        <w:t xml:space="preserve">. </w:t>
      </w:r>
    </w:p>
    <w:p w:rsidR="00B4409B" w:rsidRDefault="0001299D">
      <w:pPr>
        <w:pStyle w:val="pj"/>
      </w:pPr>
      <w:r>
        <w:t>В результате принятых мер в системе предусмотрен функционал, требующий согласования данного действия с руководством территориальных департаментов государственных доходов.</w:t>
      </w:r>
    </w:p>
    <w:p w:rsidR="00B4409B" w:rsidRDefault="0001299D">
      <w:pPr>
        <w:pStyle w:val="pj"/>
      </w:pPr>
      <w:r>
        <w:t xml:space="preserve">Через проектное управление координируется также деятельность </w:t>
      </w:r>
      <w:r>
        <w:rPr>
          <w:b/>
          <w:bCs/>
        </w:rPr>
        <w:t>комплаенс-служб</w:t>
      </w:r>
      <w:r>
        <w:t xml:space="preserve">. В 2023 году в реализацию проектов ТБН-4 вовлечено порядка 1,5 тыс. субъектов квазигоссектора </w:t>
      </w:r>
      <w:r>
        <w:rPr>
          <w:i/>
          <w:iCs/>
        </w:rPr>
        <w:t>(МИО - 1 278, ЦГО - 217)</w:t>
      </w:r>
      <w:r>
        <w:t>.</w:t>
      </w:r>
    </w:p>
    <w:p w:rsidR="00B4409B" w:rsidRDefault="0001299D">
      <w:pPr>
        <w:pStyle w:val="pj"/>
      </w:pPr>
      <w:r>
        <w:t>Из них более 90% обеспечили проведение разъяснительных  и обучающих мероприятий по вопросам соблюдения требований законодательства о противодействии коррупции, утвердили документы  по линии антикоррупционного комплаенса.</w:t>
      </w:r>
    </w:p>
    <w:p w:rsidR="00B4409B" w:rsidRDefault="0001299D">
      <w:pPr>
        <w:pStyle w:val="pj"/>
      </w:pPr>
      <w:r>
        <w:t xml:space="preserve">Растет потенциал данного института. Комплаенс-офицером  государственного коммунального предприятия «Астана су арнасы» пресечен факт необоснованной выдачи заместителем генерального директора технических условий на подключение объектов к системам водоснабжения и водоотведения частной компании </w:t>
      </w:r>
      <w:r>
        <w:rPr>
          <w:i/>
          <w:iCs/>
        </w:rPr>
        <w:t>(данная процедура проходила без согласования с уполномоченными должностными лицами)</w:t>
      </w:r>
      <w:r>
        <w:t>.</w:t>
      </w:r>
    </w:p>
    <w:p w:rsidR="00B4409B" w:rsidRDefault="0001299D">
      <w:pPr>
        <w:pStyle w:val="pj"/>
      </w:pPr>
      <w:r>
        <w:t xml:space="preserve">Комплаенс-офицером городской поликлиники г. Астаны в ходе мониторинга отчислений отпускных и оздоровительных выплат выявлено,  что медицинский работник дважды </w:t>
      </w:r>
      <w:r>
        <w:rPr>
          <w:i/>
          <w:iCs/>
        </w:rPr>
        <w:t>(в январе и июле 2022 г.)</w:t>
      </w:r>
      <w:r>
        <w:t xml:space="preserve"> получил выплаты  за один и тот же период. Кроме того, </w:t>
      </w:r>
      <w:r>
        <w:lastRenderedPageBreak/>
        <w:t xml:space="preserve">установлено, что данный работник является матерью бывшего главного бухгалтера, которая скрыла информацию о совместной работе близких родственников. </w:t>
      </w:r>
    </w:p>
    <w:p w:rsidR="00B4409B" w:rsidRDefault="0001299D">
      <w:pPr>
        <w:pStyle w:val="pj"/>
        <w:ind w:right="-2"/>
      </w:pPr>
      <w:r>
        <w:t>В рамках проекта</w:t>
      </w:r>
      <w:r>
        <w:rPr>
          <w:b/>
          <w:bCs/>
        </w:rPr>
        <w:t xml:space="preserve"> по соблюдению норм антикоррупционного </w:t>
      </w:r>
      <w:r>
        <w:rPr>
          <w:b/>
          <w:bCs/>
          <w:spacing w:val="-4"/>
        </w:rPr>
        <w:t>законодательства</w:t>
      </w:r>
      <w:r>
        <w:rPr>
          <w:spacing w:val="-4"/>
        </w:rPr>
        <w:t xml:space="preserve"> установлено более 200 фактов осуществления должностных</w:t>
      </w:r>
      <w:r>
        <w:t xml:space="preserve"> обязанностей при наличии конфликта интересов, 12 фактов принятия на работу лиц, ранее совершивших коррупционные правонарушения и 15 лиц, осуществляющих деятельность, несовместимую с выполнением государственных функций. По каждому факту приняты соответствующие меры </w:t>
      </w:r>
      <w:r>
        <w:rPr>
          <w:i/>
          <w:iCs/>
        </w:rPr>
        <w:t>(устранение конфликта интересов путем изменения должностных инструкций, увольнение лиц, привлечение к административной ответственности и др.)</w:t>
      </w:r>
      <w:r>
        <w:t xml:space="preserve">. </w:t>
      </w:r>
    </w:p>
    <w:p w:rsidR="00B4409B" w:rsidRDefault="0001299D">
      <w:pPr>
        <w:pStyle w:val="pj"/>
        <w:ind w:right="-2"/>
      </w:pPr>
      <w:r>
        <w:t xml:space="preserve">К примеру, в Жамбылской области выявлены факты принятия на работу 3-х лиц, ранее совершивших коррупционные преступления </w:t>
      </w:r>
      <w:r>
        <w:rPr>
          <w:i/>
          <w:iCs/>
        </w:rPr>
        <w:t>(Управление образования области - 2, Отдел жилищно-коммунального хозяйства Жуалынского района - 1)</w:t>
      </w:r>
      <w:r>
        <w:t xml:space="preserve">. Они освобождены от занимаемых должностей, а руководители, принявшие их на работу, привлечены к административной ответственности. </w:t>
      </w:r>
    </w:p>
    <w:p w:rsidR="00B4409B" w:rsidRDefault="0001299D">
      <w:pPr>
        <w:pStyle w:val="pj"/>
      </w:pPr>
      <w:r>
        <w:t xml:space="preserve">В рамках реализации Концепции антикоррупционной политики в целях развития системы мониторинга и оценки эффективности антикоррупционных мер утверждена </w:t>
      </w:r>
      <w:r>
        <w:rPr>
          <w:b/>
          <w:bCs/>
        </w:rPr>
        <w:t>Методика</w:t>
      </w:r>
      <w:r>
        <w:t xml:space="preserve"> </w:t>
      </w:r>
      <w:r>
        <w:rPr>
          <w:b/>
          <w:bCs/>
        </w:rPr>
        <w:t xml:space="preserve">оценки уровня коррупции. </w:t>
      </w:r>
    </w:p>
    <w:p w:rsidR="00B4409B" w:rsidRDefault="0001299D">
      <w:pPr>
        <w:pStyle w:val="pj"/>
      </w:pPr>
      <w:r>
        <w:t>На основе комплексного анализа статистических и иных данных, результатов социологических исследований будет осуществляться оценка госорганов по трем модулям: 1) коррупционные правонарушения и нарушение антикоррупционных ограничений; 2) эффективность антикоррупционных мер; 3) восприятие уровня коррупции.</w:t>
      </w:r>
    </w:p>
    <w:p w:rsidR="00B4409B" w:rsidRDefault="0001299D">
      <w:pPr>
        <w:pStyle w:val="pj"/>
      </w:pPr>
      <w:r>
        <w:t>Ежегодная оценка уровня коррупции позволит более точечно использовать координирующий потенциал Агентства и прорабатывать  с госорганами слабые места, мотивируя их более активно применять инструменты превенции коррупции.</w:t>
      </w:r>
    </w:p>
    <w:p w:rsidR="00B4409B" w:rsidRDefault="0001299D">
      <w:pPr>
        <w:pStyle w:val="pj"/>
      </w:pPr>
      <w:r>
        <w:t> </w:t>
      </w:r>
    </w:p>
    <w:p w:rsidR="00B4409B" w:rsidRDefault="0001299D">
      <w:pPr>
        <w:pStyle w:val="p"/>
      </w:pPr>
      <w:r>
        <w:t> </w:t>
      </w:r>
    </w:p>
    <w:p w:rsidR="00B4409B" w:rsidRDefault="0001299D">
      <w:pPr>
        <w:pStyle w:val="pc"/>
      </w:pPr>
      <w:bookmarkStart w:id="15" w:name="SUB70200"/>
      <w:bookmarkEnd w:id="15"/>
      <w:r>
        <w:rPr>
          <w:rStyle w:val="s1"/>
        </w:rPr>
        <w:t>7.2. Коллегиальные органы по противодействию коррупции</w:t>
      </w:r>
    </w:p>
    <w:p w:rsidR="00B4409B" w:rsidRDefault="0001299D">
      <w:pPr>
        <w:pStyle w:val="pj"/>
        <w:ind w:firstLine="708"/>
      </w:pPr>
      <w:r>
        <w:t> </w:t>
      </w:r>
    </w:p>
    <w:p w:rsidR="00B4409B" w:rsidRDefault="0001299D">
      <w:pPr>
        <w:pStyle w:val="pj"/>
      </w:pPr>
      <w:r>
        <w:t xml:space="preserve">В 2023 году проведено 3 заседания </w:t>
      </w:r>
      <w:r>
        <w:rPr>
          <w:b/>
          <w:bCs/>
        </w:rPr>
        <w:t>Комиссии при Президенте Республики Казахстан по вопросам противодействия коррупции</w:t>
      </w:r>
      <w:r>
        <w:t xml:space="preserve"> </w:t>
      </w:r>
      <w:r>
        <w:rPr>
          <w:i/>
          <w:iCs/>
        </w:rPr>
        <w:t>(«О ходе реализации мероприятий Комплексного плана по противодействию теневой экономике  на 2021-2023 годы»; «О результатах исполнения Комплексного плана по противодействию коррупции на системной основе в сферах таможенного дела, строительства, образования и здравоохранения»; «О ходе реализации Концепции антикоррупционной политики  на 2022-2026 годы» и «О ходе рассмотрения рекомендаций Группы государств по борьбе  с коррупцией при Совете Европы (далее - ГРЕКО)</w:t>
      </w:r>
      <w:r>
        <w:t>.</w:t>
      </w:r>
    </w:p>
    <w:p w:rsidR="00B4409B" w:rsidRDefault="0001299D">
      <w:pPr>
        <w:pStyle w:val="pj"/>
      </w:pPr>
      <w:r>
        <w:rPr>
          <w:spacing w:val="-4"/>
        </w:rPr>
        <w:t>На заседаниях принимали участие члены Комиссии, руководители заинтересованных госорганов и субъектов квазигосударственного сектора.</w:t>
      </w:r>
    </w:p>
    <w:p w:rsidR="00B4409B" w:rsidRDefault="0001299D">
      <w:pPr>
        <w:pStyle w:val="pj"/>
      </w:pPr>
      <w:r>
        <w:t xml:space="preserve">По их результатам уполномоченным органам и организациям даны конкретные рекомендации, контроль за исполнением которых обеспечен Отделом правоохранительной системы Администрации Президента </w:t>
      </w:r>
      <w:r>
        <w:rPr>
          <w:i/>
          <w:iCs/>
        </w:rPr>
        <w:t>(рабочий орган Комиссии)</w:t>
      </w:r>
      <w:r>
        <w:t>.</w:t>
      </w:r>
      <w:hyperlink w:anchor="sub1" w:history="1">
        <w:r>
          <w:rPr>
            <w:rStyle w:val="a5"/>
          </w:rPr>
          <w:t>[3]</w:t>
        </w:r>
      </w:hyperlink>
    </w:p>
    <w:p w:rsidR="00B4409B" w:rsidRDefault="0001299D">
      <w:pPr>
        <w:pStyle w:val="pj"/>
      </w:pPr>
      <w:r>
        <w:t>О рассмотрении перечисленных вопросов размещены соответствующие информационные сообщения и доложено Главе государства.</w:t>
      </w:r>
    </w:p>
    <w:p w:rsidR="00B4409B" w:rsidRDefault="0001299D">
      <w:pPr>
        <w:pStyle w:val="pj"/>
      </w:pPr>
      <w:r>
        <w:t xml:space="preserve">Одним из эффективных элементов системной превентивной работы являются </w:t>
      </w:r>
      <w:r>
        <w:rPr>
          <w:b/>
          <w:bCs/>
        </w:rPr>
        <w:t>межведомственные комиссии по противодействию коррупции в регионах</w:t>
      </w:r>
      <w:r>
        <w:t xml:space="preserve"> </w:t>
      </w:r>
      <w:r>
        <w:rPr>
          <w:i/>
          <w:iCs/>
        </w:rPr>
        <w:t>(далее - МВК)</w:t>
      </w:r>
      <w:r>
        <w:t>.</w:t>
      </w:r>
    </w:p>
    <w:p w:rsidR="00B4409B" w:rsidRDefault="0001299D">
      <w:pPr>
        <w:pStyle w:val="pj"/>
      </w:pPr>
      <w:r>
        <w:t xml:space="preserve">За отчетный период в регионах проведено 79 заседаний МВК, по итогам которых выработана 761 рекомендация, исполнено - 97% </w:t>
      </w:r>
      <w:r>
        <w:rPr>
          <w:i/>
          <w:iCs/>
        </w:rPr>
        <w:t>(741)</w:t>
      </w:r>
      <w:r>
        <w:t>.</w:t>
      </w:r>
    </w:p>
    <w:p w:rsidR="00B4409B" w:rsidRDefault="0001299D">
      <w:pPr>
        <w:pStyle w:val="pj"/>
      </w:pPr>
      <w:r>
        <w:lastRenderedPageBreak/>
        <w:t>К примеру, в Северо-Казахстанской области начато законное распределение жилья из государственного фонда, которое ранее находилось в аренде у лиц без наличия правовых оснований и соответствующих документов. В списке очередников восстановлены 1367 детей-сирот.</w:t>
      </w:r>
    </w:p>
    <w:p w:rsidR="00B4409B" w:rsidRDefault="0001299D">
      <w:pPr>
        <w:pStyle w:val="pj"/>
      </w:pPr>
      <w:r>
        <w:t xml:space="preserve">По итогам рассмотрения на МВК приняты меры по возврату в государственную собственность неосвоенных земель сельскохозяйственного </w:t>
      </w:r>
      <w:r>
        <w:rPr>
          <w:spacing w:val="-6"/>
        </w:rPr>
        <w:t xml:space="preserve">назначения </w:t>
      </w:r>
      <w:r>
        <w:rPr>
          <w:i/>
          <w:iCs/>
          <w:spacing w:val="-6"/>
        </w:rPr>
        <w:t>(в Западно-Казахстанской области - 112 тыс. га, в Карагандинской области - 12,1 тыс. га)</w:t>
      </w:r>
      <w:r>
        <w:rPr>
          <w:spacing w:val="-6"/>
        </w:rPr>
        <w:t>.</w:t>
      </w:r>
    </w:p>
    <w:p w:rsidR="00B4409B" w:rsidRDefault="0001299D">
      <w:pPr>
        <w:pStyle w:val="pj"/>
      </w:pPr>
      <w:r>
        <w:t>В целом во всех регионах улучшилось качество выработанных рекомендаций МВК и контроль за их исполнением. Это связано с принятыми мерами по усилению координации работы комиссий и пересмотру их правового статуса.</w:t>
      </w:r>
    </w:p>
    <w:p w:rsidR="00B4409B" w:rsidRDefault="0001299D">
      <w:pPr>
        <w:pStyle w:val="pj"/>
      </w:pPr>
      <w:r>
        <w:t xml:space="preserve">Так, по предложению Агентства, рабочим органом МВК во всех регионах определен территориальный департамент Антикоррупционной службы </w:t>
      </w:r>
      <w:r>
        <w:rPr>
          <w:i/>
          <w:iCs/>
        </w:rPr>
        <w:t>(внесены изменения в положения о комиссиях)</w:t>
      </w:r>
      <w:r>
        <w:t>, что позволило организовать деятельность исходя из текущей оперативной обстановки и вносить на рассмотрение комиссии наиболее актуальные материалы.</w:t>
      </w:r>
    </w:p>
    <w:p w:rsidR="00B4409B" w:rsidRDefault="0001299D">
      <w:pPr>
        <w:pStyle w:val="pj"/>
      </w:pPr>
      <w:r>
        <w:t xml:space="preserve">Ранее рабочим органом комиссии являлся аппарат акима </w:t>
      </w:r>
      <w:r>
        <w:rPr>
          <w:i/>
          <w:iCs/>
        </w:rPr>
        <w:t>(областей, городов республиканского значения и столицы)</w:t>
      </w:r>
      <w:r>
        <w:t>, что создавало конфликт интересов и не позволяло выстроить системную работу по минимизации коррупции в конкретном регионе.</w:t>
      </w:r>
    </w:p>
    <w:p w:rsidR="00B4409B" w:rsidRDefault="0001299D">
      <w:pPr>
        <w:pStyle w:val="pj"/>
      </w:pPr>
      <w:r>
        <w:t> </w:t>
      </w:r>
    </w:p>
    <w:p w:rsidR="00B4409B" w:rsidRDefault="0001299D">
      <w:pPr>
        <w:pStyle w:val="pc"/>
      </w:pPr>
      <w:bookmarkStart w:id="16" w:name="SUB800"/>
      <w:bookmarkEnd w:id="16"/>
      <w:r>
        <w:rPr>
          <w:rStyle w:val="s1"/>
        </w:rPr>
        <w:t>8. Дебюрократизация и цифровизация государственного аппарата</w:t>
      </w:r>
    </w:p>
    <w:p w:rsidR="00B4409B" w:rsidRDefault="0001299D">
      <w:pPr>
        <w:pStyle w:val="pj"/>
      </w:pPr>
      <w:r>
        <w:t> </w:t>
      </w:r>
    </w:p>
    <w:p w:rsidR="00B4409B" w:rsidRDefault="0001299D">
      <w:pPr>
        <w:pStyle w:val="pj"/>
      </w:pPr>
      <w:r>
        <w:rPr>
          <w:spacing w:val="-2"/>
        </w:rPr>
        <w:t>В 2023 году продолжалась системная работа по дебюрократизации госаппарата и в</w:t>
      </w:r>
      <w:r>
        <w:t>недрению цифровых технологий, направленных на повышение эффективности государственных органов и улучшение жизни граждан.</w:t>
      </w:r>
    </w:p>
    <w:p w:rsidR="00B4409B" w:rsidRDefault="0001299D">
      <w:pPr>
        <w:pStyle w:val="pj"/>
      </w:pPr>
      <w:r>
        <w:t xml:space="preserve">По итогам проведенного АДГС мониторинга, за 2022-2023 годы выявлено </w:t>
      </w:r>
      <w:r>
        <w:rPr>
          <w:b/>
          <w:bCs/>
        </w:rPr>
        <w:t xml:space="preserve">554 бюрократических кейса </w:t>
      </w:r>
      <w:r>
        <w:rPr>
          <w:i/>
          <w:iCs/>
        </w:rPr>
        <w:t>(105 относятся к деятельности всего госаппарата, 31 - в сфере образования, 53 - здравоохранения, 40 - труда и социальной защиты населения, 110 - финансов, 41 - внешнеполитической деятельности, 56 - торговли и интеграции, 59 - сельского хозяйства, 59 - экологии и природных ресурсов)</w:t>
      </w:r>
      <w:r>
        <w:t>.</w:t>
      </w:r>
    </w:p>
    <w:p w:rsidR="00B4409B" w:rsidRDefault="0001299D">
      <w:pPr>
        <w:pStyle w:val="pj"/>
      </w:pPr>
      <w:r>
        <w:t>Приняты следующие меры:</w:t>
      </w:r>
    </w:p>
    <w:p w:rsidR="00B4409B" w:rsidRDefault="0001299D">
      <w:pPr>
        <w:pStyle w:val="pj"/>
      </w:pPr>
      <w:r>
        <w:t>1) Правительство наделено компетенцией по принятию временных актов, имеющих силу закона, что позволяет самостоятельно и оперативно реагировать на актуальные вызовы, форс-мажорные обстоятельства и кризисные ситуации;</w:t>
      </w:r>
    </w:p>
    <w:p w:rsidR="00B4409B" w:rsidRDefault="0001299D">
      <w:pPr>
        <w:pStyle w:val="pj"/>
      </w:pPr>
      <w:r>
        <w:rPr>
          <w:spacing w:val="-4"/>
        </w:rPr>
        <w:t xml:space="preserve">2) значительно оптимизирован нормотворческий процесс </w:t>
      </w:r>
      <w:r>
        <w:rPr>
          <w:i/>
          <w:iCs/>
          <w:spacing w:val="-4"/>
        </w:rPr>
        <w:t>(с 51 до 22 этапов,</w:t>
      </w:r>
      <w:r>
        <w:rPr>
          <w:i/>
          <w:iCs/>
        </w:rPr>
        <w:t xml:space="preserve"> со 175 до 95 дней)</w:t>
      </w:r>
      <w:r>
        <w:t>;</w:t>
      </w:r>
    </w:p>
    <w:p w:rsidR="00B4409B" w:rsidRDefault="0001299D">
      <w:pPr>
        <w:pStyle w:val="pj"/>
      </w:pPr>
      <w:r>
        <w:t xml:space="preserve">3) в два раза оптимизировано количество консультативно-совещательных органов при Правительстве </w:t>
      </w:r>
      <w:r>
        <w:rPr>
          <w:i/>
          <w:iCs/>
        </w:rPr>
        <w:t>(с 1175 до 592)</w:t>
      </w:r>
      <w:r>
        <w:t>;</w:t>
      </w:r>
    </w:p>
    <w:p w:rsidR="00B4409B" w:rsidRDefault="0001299D">
      <w:pPr>
        <w:pStyle w:val="pj"/>
      </w:pPr>
      <w:r>
        <w:t>4) обеспечена детализация подвидов государственных услуг с 693  до 1324, что позволило расширить разновидности жизненных ситуаций граждан с целью последующего предметного реинжиниринга.</w:t>
      </w:r>
    </w:p>
    <w:p w:rsidR="00B4409B" w:rsidRDefault="0001299D">
      <w:pPr>
        <w:pStyle w:val="pj"/>
      </w:pPr>
      <w:r>
        <w:t>Одним из основных аспектов при формировании человекоцентричной  и сервисной работы государственного аппарата являются цифровые решения, направленные на создание благоприятных условий для граждан.</w:t>
      </w:r>
    </w:p>
    <w:p w:rsidR="00B4409B" w:rsidRDefault="0001299D">
      <w:pPr>
        <w:pStyle w:val="pj"/>
      </w:pPr>
      <w:r>
        <w:t xml:space="preserve">В этом контексте первостепенное значение имеет </w:t>
      </w:r>
      <w:r>
        <w:rPr>
          <w:b/>
          <w:bCs/>
        </w:rPr>
        <w:t xml:space="preserve">развитие судебной системы. </w:t>
      </w:r>
      <w:r>
        <w:t>Принимаются меры по упрощению судопроизводства, повышению доступности и открытости правосудия.</w:t>
      </w:r>
    </w:p>
    <w:p w:rsidR="00B4409B" w:rsidRDefault="0001299D">
      <w:pPr>
        <w:pStyle w:val="pj"/>
      </w:pPr>
      <w:r>
        <w:t>С 2014 года функционирует единое окно доступа к судам  - информационный сервис «Судебный кабинет», в том числе в мобильной версии. Пользователи, не выходя из дома или офиса, могут обратиться в суд  в электронном формате, оплатить госпошлину, ознакомиться с судебными документами, подать заявление о предоставлении протокола судебного заседания или замечание на протокол судебного заседания и др.</w:t>
      </w:r>
    </w:p>
    <w:p w:rsidR="00B4409B" w:rsidRDefault="0001299D">
      <w:pPr>
        <w:pStyle w:val="pj"/>
      </w:pPr>
      <w:r>
        <w:lastRenderedPageBreak/>
        <w:t xml:space="preserve">Внедрено автоматизированное распределение дел среди судей  в соответствии с текущей нагрузкой и утвержденной специализацией </w:t>
      </w:r>
      <w:r>
        <w:rPr>
          <w:i/>
          <w:iCs/>
        </w:rPr>
        <w:t>(исключен человеческий фактор)</w:t>
      </w:r>
      <w:r>
        <w:t xml:space="preserve">. </w:t>
      </w:r>
    </w:p>
    <w:p w:rsidR="00B4409B" w:rsidRDefault="0001299D">
      <w:pPr>
        <w:pStyle w:val="pj"/>
      </w:pPr>
      <w:r>
        <w:t xml:space="preserve">Введена в промышленную эксплуатацию аналитическая ИС </w:t>
      </w:r>
      <w:r>
        <w:rPr>
          <w:b/>
          <w:bCs/>
        </w:rPr>
        <w:t>«Цифровая аналитика судебной практики»</w:t>
      </w:r>
      <w:r>
        <w:t xml:space="preserve"> с применением технологий искусственного интеллекта </w:t>
      </w:r>
      <w:r>
        <w:rPr>
          <w:i/>
          <w:iCs/>
        </w:rPr>
        <w:t>(машинного обучения)</w:t>
      </w:r>
      <w:r>
        <w:t>.</w:t>
      </w:r>
    </w:p>
    <w:p w:rsidR="00B4409B" w:rsidRDefault="0001299D">
      <w:pPr>
        <w:pStyle w:val="pj"/>
      </w:pPr>
      <w:r>
        <w:t>Она способствует повышению эффективности работы судей, сокращению времени на проведение рутинных операций по обработке большого объема материалов, в изучении судебных актов вышестоящих судов и получении предварительных прогнозов по результатам рассмотрения дел.</w:t>
      </w:r>
    </w:p>
    <w:p w:rsidR="00B4409B" w:rsidRDefault="0001299D">
      <w:pPr>
        <w:pStyle w:val="pj"/>
      </w:pPr>
      <w:r>
        <w:t xml:space="preserve">Система состоит из 4 модулей: </w:t>
      </w:r>
    </w:p>
    <w:p w:rsidR="00B4409B" w:rsidRDefault="0001299D">
      <w:pPr>
        <w:pStyle w:val="pj"/>
      </w:pPr>
      <w:r>
        <w:t>1) поиск аналогичных по ситуации и смыслу дел, что позволяет оперативно найти категорию дела, сориентироваться в судебной практике и исключает «волокиту» при рассмотрении;</w:t>
      </w:r>
    </w:p>
    <w:p w:rsidR="00B4409B" w:rsidRDefault="0001299D">
      <w:pPr>
        <w:pStyle w:val="pj"/>
      </w:pPr>
      <w:r>
        <w:t xml:space="preserve">2) поиск противоположных по смыслу судебных актов при рассмотрении дел одной и той же категории </w:t>
      </w:r>
      <w:r>
        <w:rPr>
          <w:i/>
          <w:iCs/>
        </w:rPr>
        <w:t>(анализ «аномальных» судебных актов)</w:t>
      </w:r>
      <w:r>
        <w:t>;</w:t>
      </w:r>
    </w:p>
    <w:p w:rsidR="00B4409B" w:rsidRDefault="0001299D">
      <w:pPr>
        <w:pStyle w:val="pj"/>
      </w:pPr>
      <w:r>
        <w:t xml:space="preserve">3) отслеживание хода и результатов рассмотрения дел в судах всех уровней </w:t>
      </w:r>
      <w:r>
        <w:rPr>
          <w:i/>
          <w:iCs/>
        </w:rPr>
        <w:t>(«жизненный цикл» решений по инстанциям)</w:t>
      </w:r>
      <w:r>
        <w:t>;</w:t>
      </w:r>
    </w:p>
    <w:p w:rsidR="00B4409B" w:rsidRDefault="0001299D">
      <w:pPr>
        <w:pStyle w:val="pj"/>
      </w:pPr>
      <w:r>
        <w:rPr>
          <w:spacing w:val="-4"/>
        </w:rPr>
        <w:t>4) прогноз исхода дела в суде, то есть заявитель (истец) будет осведомлен</w:t>
      </w:r>
      <w:r>
        <w:t xml:space="preserve"> о прогнозируемом исходе.</w:t>
      </w:r>
    </w:p>
    <w:p w:rsidR="00B4409B" w:rsidRDefault="0001299D">
      <w:pPr>
        <w:pStyle w:val="pj"/>
      </w:pPr>
      <w:r>
        <w:t>Функционал данных модулей обеспечивает моментальный поиск нужной информации, а ее анализ позволяет каждому судье сориентироваться в судебной практике по любому находящемуся в производстве делу.</w:t>
      </w:r>
    </w:p>
    <w:p w:rsidR="00B4409B" w:rsidRDefault="0001299D">
      <w:pPr>
        <w:pStyle w:val="pj"/>
      </w:pPr>
      <w:r>
        <w:t>Также заслуживает внимания, что для удобства граждан внедрена функция автоматического формирования готового искового заявления  </w:t>
      </w:r>
      <w:r>
        <w:rPr>
          <w:i/>
          <w:iCs/>
        </w:rPr>
        <w:t>(по трудовым, наследственным и бракоразводным спорам, договорам купли-продажи, поставок, займов и аренды)</w:t>
      </w:r>
      <w:r>
        <w:t>.</w:t>
      </w:r>
    </w:p>
    <w:p w:rsidR="00B4409B" w:rsidRDefault="0001299D">
      <w:pPr>
        <w:pStyle w:val="pj"/>
      </w:pPr>
      <w:r>
        <w:t>Продолжается цифровизация и обеспечение прозрачности</w:t>
      </w:r>
      <w:r>
        <w:rPr>
          <w:b/>
          <w:bCs/>
        </w:rPr>
        <w:t xml:space="preserve"> правоохранительной деятельности.</w:t>
      </w:r>
    </w:p>
    <w:p w:rsidR="00B4409B" w:rsidRDefault="0001299D">
      <w:pPr>
        <w:pStyle w:val="pj"/>
      </w:pPr>
      <w:r>
        <w:rPr>
          <w:spacing w:val="-2"/>
        </w:rPr>
        <w:t xml:space="preserve">В 2023 году в электронном формате расследовалось 94,3% уголовных дел </w:t>
      </w:r>
      <w:r>
        <w:rPr>
          <w:i/>
          <w:iCs/>
          <w:spacing w:val="-2"/>
        </w:rPr>
        <w:t>(2022 г. - 90,8%)</w:t>
      </w:r>
      <w:r>
        <w:rPr>
          <w:spacing w:val="-2"/>
        </w:rPr>
        <w:t xml:space="preserve">. </w:t>
      </w:r>
    </w:p>
    <w:p w:rsidR="00B4409B" w:rsidRDefault="0001299D">
      <w:pPr>
        <w:pStyle w:val="pj"/>
      </w:pPr>
      <w:r>
        <w:rPr>
          <w:spacing w:val="-2"/>
        </w:rPr>
        <w:t>В целях автоматизации процесса электронного назначения адвокатов реализована интеграция Единого реестра досудебных расследований  </w:t>
      </w:r>
      <w:r>
        <w:rPr>
          <w:spacing w:val="-4"/>
        </w:rPr>
        <w:t>с ИС «Е-Заң Көмегі», через которую направлено 29 374 электронных ходатайств.</w:t>
      </w:r>
    </w:p>
    <w:p w:rsidR="00B4409B" w:rsidRDefault="0001299D">
      <w:pPr>
        <w:pStyle w:val="pj"/>
      </w:pPr>
      <w:r>
        <w:rPr>
          <w:spacing w:val="-2"/>
        </w:rPr>
        <w:t xml:space="preserve">В Едином реестре административных производств составлено 10,4 млн электронных протоколов и предписаний </w:t>
      </w:r>
      <w:r>
        <w:rPr>
          <w:i/>
          <w:iCs/>
          <w:spacing w:val="-2"/>
        </w:rPr>
        <w:t>(2022 г. - 8,1 млн)</w:t>
      </w:r>
      <w:r>
        <w:rPr>
          <w:spacing w:val="-2"/>
        </w:rPr>
        <w:t xml:space="preserve"> или 95% </w:t>
      </w:r>
      <w:r>
        <w:rPr>
          <w:i/>
          <w:iCs/>
          <w:spacing w:val="-2"/>
        </w:rPr>
        <w:t>(88%)  </w:t>
      </w:r>
      <w:r>
        <w:rPr>
          <w:spacing w:val="-2"/>
        </w:rPr>
        <w:t>от общего количества административных материалов.</w:t>
      </w:r>
    </w:p>
    <w:p w:rsidR="00B4409B" w:rsidRDefault="0001299D">
      <w:pPr>
        <w:pStyle w:val="pj"/>
      </w:pPr>
      <w:r>
        <w:rPr>
          <w:spacing w:val="-2"/>
        </w:rPr>
        <w:t xml:space="preserve">Проведены интеграции с информационными системами Верховного Суда </w:t>
      </w:r>
      <w:r>
        <w:rPr>
          <w:i/>
          <w:iCs/>
          <w:spacing w:val="-2"/>
        </w:rPr>
        <w:t>(электронное направление дел об административных правонарушениях для рассмотрения  в судах)</w:t>
      </w:r>
      <w:r>
        <w:rPr>
          <w:spacing w:val="-2"/>
        </w:rPr>
        <w:t xml:space="preserve">, банков второго уровня </w:t>
      </w:r>
      <w:r>
        <w:rPr>
          <w:i/>
          <w:iCs/>
          <w:spacing w:val="-2"/>
        </w:rPr>
        <w:t>(оплата штрафа через мобильный телефон на месте правонарушения либо через терминал банковской картой)</w:t>
      </w:r>
      <w:r>
        <w:rPr>
          <w:spacing w:val="-2"/>
        </w:rPr>
        <w:t xml:space="preserve">, Комитета национальной безопасности </w:t>
      </w:r>
      <w:r>
        <w:rPr>
          <w:i/>
          <w:iCs/>
        </w:rPr>
        <w:t>(далее - КНБ)</w:t>
      </w:r>
      <w:r>
        <w:rPr>
          <w:i/>
          <w:iCs/>
          <w:spacing w:val="-2"/>
        </w:rPr>
        <w:t xml:space="preserve"> (передача сведений по нарушениям миграционного законодательства)</w:t>
      </w:r>
      <w:r>
        <w:rPr>
          <w:spacing w:val="-2"/>
        </w:rPr>
        <w:t xml:space="preserve">, органов исполнительного производства </w:t>
      </w:r>
      <w:r>
        <w:rPr>
          <w:i/>
          <w:iCs/>
          <w:spacing w:val="-2"/>
        </w:rPr>
        <w:t>(передача на принудительное исполнение процессуальных документов)</w:t>
      </w:r>
      <w:r>
        <w:rPr>
          <w:spacing w:val="-2"/>
        </w:rPr>
        <w:t xml:space="preserve">, Государственного кредитного бюро </w:t>
      </w:r>
      <w:r>
        <w:rPr>
          <w:i/>
          <w:iCs/>
          <w:spacing w:val="-2"/>
        </w:rPr>
        <w:t>(передача материалов по дорожно-транспортным происшествиям)</w:t>
      </w:r>
      <w:r>
        <w:rPr>
          <w:spacing w:val="-2"/>
        </w:rPr>
        <w:t xml:space="preserve">, электронной системой медицинского освидетельствования </w:t>
      </w:r>
      <w:r>
        <w:rPr>
          <w:i/>
          <w:iCs/>
          <w:spacing w:val="-2"/>
        </w:rPr>
        <w:t>(вынесение направления в медицинскую организацию на предмет освидетельствования того или иного лица)</w:t>
      </w:r>
      <w:r>
        <w:rPr>
          <w:spacing w:val="-2"/>
        </w:rPr>
        <w:t xml:space="preserve">, SMS-шлюзом «электронного правительства» </w:t>
      </w:r>
      <w:r>
        <w:rPr>
          <w:i/>
          <w:iCs/>
          <w:spacing w:val="-2"/>
        </w:rPr>
        <w:t>(направление уведомлений правонарушителям)</w:t>
      </w:r>
      <w:r>
        <w:rPr>
          <w:spacing w:val="-2"/>
        </w:rPr>
        <w:t>.</w:t>
      </w:r>
    </w:p>
    <w:p w:rsidR="00B4409B" w:rsidRDefault="0001299D">
      <w:pPr>
        <w:pStyle w:val="pj"/>
      </w:pPr>
      <w:r>
        <w:rPr>
          <w:spacing w:val="-2"/>
        </w:rPr>
        <w:t>Для защиты бизнеса от незаконных проверок действует система Единый реестр субъектов и объектов проверок. За 2023 год пресечено более 1 000 незаконных проверок.</w:t>
      </w:r>
    </w:p>
    <w:p w:rsidR="00B4409B" w:rsidRDefault="0001299D">
      <w:pPr>
        <w:pStyle w:val="pj"/>
      </w:pPr>
      <w:r>
        <w:rPr>
          <w:spacing w:val="-2"/>
        </w:rPr>
        <w:t>Для оперативного взаимодействия продолжается работа по интеграции  с информационными системами других государственных органов.</w:t>
      </w:r>
    </w:p>
    <w:p w:rsidR="00B4409B" w:rsidRDefault="0001299D">
      <w:pPr>
        <w:pStyle w:val="pj"/>
      </w:pPr>
      <w:r>
        <w:lastRenderedPageBreak/>
        <w:t xml:space="preserve">АФМ внедрен единый портал для субъектов финансового мониторинга, посредством которого обеспечивается направление сообщений о подозрительных и пороговых операциях, а также доступ к обучающим материалам в сфере противодействия отмыванию доходов, полученных преступным путем, и финансированию терроризма </w:t>
      </w:r>
      <w:r>
        <w:rPr>
          <w:i/>
          <w:iCs/>
        </w:rPr>
        <w:t>(ПОД/ФТ)</w:t>
      </w:r>
      <w:r>
        <w:t>.</w:t>
      </w:r>
    </w:p>
    <w:p w:rsidR="00B4409B" w:rsidRDefault="0001299D">
      <w:pPr>
        <w:pStyle w:val="pj"/>
      </w:pPr>
      <w:r>
        <w:t xml:space="preserve">В органах внутренних дел активно используются системы интеллектуального контроля за дорожным движением </w:t>
      </w:r>
      <w:r>
        <w:rPr>
          <w:i/>
          <w:iCs/>
        </w:rPr>
        <w:t>(на дорогах страны установлено 21,8 тыс. камер фиксации нарушений Правил дорожного движения)</w:t>
      </w:r>
      <w:r>
        <w:t xml:space="preserve">.  Почти половина от всех нарушений выявляются бесконтактно. Наряду с этим, проводится работа по оснащению планшетами и носимыми видео-жетонами </w:t>
      </w:r>
      <w:r>
        <w:rPr>
          <w:spacing w:val="-4"/>
        </w:rPr>
        <w:t>участковых и сотрудников ювенальной полиции. Сведения о правонарушениях</w:t>
      </w:r>
      <w:r>
        <w:t xml:space="preserve"> в онлайн-режиме поступают на портал электронного правительства,  что исключает возможность фальсификации материалов.</w:t>
      </w:r>
    </w:p>
    <w:p w:rsidR="00B4409B" w:rsidRDefault="0001299D">
      <w:pPr>
        <w:pStyle w:val="pj"/>
      </w:pPr>
      <w:r>
        <w:t>Таким образом, за счет цифровизации снижены административные барьеры, исключены контакты с населением, а также установлен контроль  за повседневной службой, что позволило минимизировать риски для коррупции. В результате количество коррупционных преступлений среди личного состава органов внутренних дел снизилось на 18%.</w:t>
      </w:r>
    </w:p>
    <w:p w:rsidR="00B4409B" w:rsidRDefault="0001299D">
      <w:pPr>
        <w:pStyle w:val="pj"/>
      </w:pPr>
      <w:r>
        <w:rPr>
          <w:b/>
          <w:bCs/>
        </w:rPr>
        <w:t>Министерством обороны</w:t>
      </w:r>
      <w:r>
        <w:t xml:space="preserve"> </w:t>
      </w:r>
      <w:r>
        <w:rPr>
          <w:i/>
          <w:iCs/>
        </w:rPr>
        <w:t>(далее - МО)</w:t>
      </w:r>
      <w:r>
        <w:t xml:space="preserve"> в целях минимизации коррупционных рисков, повышения эффективности деятельности органов военного управления, снижения бумажного документооборота, уменьшения контакта с гражданами принят ряд мер по цифровизации воинского учета </w:t>
      </w:r>
      <w:r>
        <w:rPr>
          <w:i/>
          <w:iCs/>
        </w:rPr>
        <w:t>(автоматическое прикрепление к местным органам военного управления при перемене места жительства; отмена выдачи удостоверений о приписке; отмена выдачи военных билетов лицам, не проходившим воинскую службу; автоматизация ряда государственных услуг, связанных с выдачей справок)</w:t>
      </w:r>
      <w:r>
        <w:t>. К примеру, в электронный формат переведены госуслуги по отсрочке и освобождению от призыва, которые наиболее подвержены коррупционным рискам.</w:t>
      </w:r>
    </w:p>
    <w:p w:rsidR="00B4409B" w:rsidRDefault="0001299D">
      <w:pPr>
        <w:pStyle w:val="pj"/>
      </w:pPr>
      <w:r>
        <w:rPr>
          <w:b/>
          <w:bCs/>
        </w:rPr>
        <w:t>Министерством труда и социальной защиты населения</w:t>
      </w:r>
      <w:r>
        <w:t xml:space="preserve"> </w:t>
      </w:r>
      <w:r>
        <w:rPr>
          <w:i/>
          <w:iCs/>
        </w:rPr>
        <w:t>(далее - МТСЗН)</w:t>
      </w:r>
      <w:r>
        <w:t xml:space="preserve"> продолжена работа по сокращению коррупционных рисков при оказании госуслуг </w:t>
      </w:r>
      <w:r>
        <w:rPr>
          <w:i/>
          <w:iCs/>
        </w:rPr>
        <w:t>(переведены в проактивный формат 4 госуслуги с назначением пособий автоматически без участия человека; упрощен порядок назначения 7 пособий и социальных выплат, что позволило сократить сроки с 8 до 1 рабочего дня)</w:t>
      </w:r>
      <w:r>
        <w:t>.</w:t>
      </w:r>
    </w:p>
    <w:p w:rsidR="00B4409B" w:rsidRDefault="0001299D">
      <w:pPr>
        <w:pStyle w:val="pj"/>
      </w:pPr>
      <w:r>
        <w:t xml:space="preserve">К примеру, Социальным кодексом закреплен заочный проактивный формат установления инвалидности, направленный прежде всего  на исключение прямого контакта. Заочное освидетельствование, дальнейшее назначение социальных выплат и специальных социальных услуг проводится автоматически без участия заявителя на основе данных, полученных  из информационных систем Министерства здравоохранения </w:t>
      </w:r>
      <w:r>
        <w:rPr>
          <w:i/>
          <w:iCs/>
        </w:rPr>
        <w:t>(далее - МЗ)</w:t>
      </w:r>
      <w:r>
        <w:t xml:space="preserve">  и других госорганов.</w:t>
      </w:r>
    </w:p>
    <w:p w:rsidR="00B4409B" w:rsidRDefault="0001299D">
      <w:pPr>
        <w:pStyle w:val="pj"/>
      </w:pPr>
      <w:r>
        <w:t xml:space="preserve">Наряду с этим, для исключения бумажных листов о временной нетрудоспособности </w:t>
      </w:r>
      <w:r>
        <w:rPr>
          <w:b/>
          <w:bCs/>
        </w:rPr>
        <w:t>МЗ</w:t>
      </w:r>
      <w:r>
        <w:t xml:space="preserve"> совместно с </w:t>
      </w:r>
      <w:r>
        <w:rPr>
          <w:b/>
          <w:bCs/>
        </w:rPr>
        <w:t xml:space="preserve">АДГС </w:t>
      </w:r>
      <w:r>
        <w:t xml:space="preserve">реализуется пилотный проект по автоматизированному предоставлению электронного листа о временной нетрудоспособности государственных служащих </w:t>
      </w:r>
      <w:r>
        <w:rPr>
          <w:i/>
          <w:iCs/>
        </w:rPr>
        <w:t>(прикрепленных к больнице Медицинского центра Управления делами Президента Республики Казахстан)</w:t>
      </w:r>
      <w:r>
        <w:t>.</w:t>
      </w:r>
    </w:p>
    <w:p w:rsidR="00B4409B" w:rsidRDefault="0001299D">
      <w:pPr>
        <w:pStyle w:val="pj"/>
      </w:pPr>
      <w:r>
        <w:t xml:space="preserve">Реализовано единое хранилище лабораторных исследований </w:t>
      </w:r>
      <w:r>
        <w:rPr>
          <w:i/>
          <w:iCs/>
        </w:rPr>
        <w:t>(граждане могут увидеть свои данные через eGov mobile и сервисе eDensaulyq)</w:t>
      </w:r>
      <w:r>
        <w:t xml:space="preserve">. Это позволит обеспечить пользователям доступ к своим лабораторным результатам независимо от места расположения лаборатории, что повысит качество и оперативность оказания медицинских услуг </w:t>
      </w:r>
      <w:r>
        <w:rPr>
          <w:i/>
          <w:iCs/>
        </w:rPr>
        <w:t>(при оказании медицинских услуг пациенту медицинский работник может использовать имеющиеся данные по лабораторным исследованиям онлайн)</w:t>
      </w:r>
      <w:r>
        <w:t>.</w:t>
      </w:r>
    </w:p>
    <w:p w:rsidR="00B4409B" w:rsidRDefault="0001299D">
      <w:pPr>
        <w:pStyle w:val="pj"/>
      </w:pPr>
      <w:r>
        <w:t>Также реализуется автоматическое создание рецептов на основе выписки лекарственных средств и медицинских изделий для пациентов, состоящих на диспансерном учете. Это позволит им не посещать медицинскую организацию с целью пролонгации рецепта.</w:t>
      </w:r>
    </w:p>
    <w:p w:rsidR="00B4409B" w:rsidRDefault="0001299D">
      <w:pPr>
        <w:pStyle w:val="pj"/>
      </w:pPr>
      <w:r>
        <w:lastRenderedPageBreak/>
        <w:t xml:space="preserve">Наряду с этим, для борьбы с приписками медицинских услуг реализовано QR-подтверждение пациентом факта присутствия на момент получения услуг в медицинской организации </w:t>
      </w:r>
      <w:r>
        <w:rPr>
          <w:i/>
          <w:iCs/>
        </w:rPr>
        <w:t>(пациент с помощью мобильного приложения eGov mobile сканирует QR-код в кабинете врача и подтверждает посещение)</w:t>
      </w:r>
      <w:r>
        <w:t>.</w:t>
      </w:r>
    </w:p>
    <w:p w:rsidR="00B4409B" w:rsidRDefault="0001299D">
      <w:pPr>
        <w:pStyle w:val="pj"/>
      </w:pPr>
      <w:r>
        <w:t>В целях информирования населения об оказанных медицинских услугах и снижения приписок реализована рассылка пяти видов SMS-уведомлений:</w:t>
      </w:r>
    </w:p>
    <w:p w:rsidR="00B4409B" w:rsidRDefault="0001299D">
      <w:pPr>
        <w:pStyle w:val="pj"/>
      </w:pPr>
      <w:r>
        <w:t xml:space="preserve">1) выписка пациента из стационара </w:t>
      </w:r>
      <w:r>
        <w:rPr>
          <w:i/>
          <w:iCs/>
        </w:rPr>
        <w:t>(за 2023 год 7 347 050 SMS-уведомлений)</w:t>
      </w:r>
      <w:r>
        <w:t>;</w:t>
      </w:r>
    </w:p>
    <w:p w:rsidR="00B4409B" w:rsidRDefault="0001299D">
      <w:pPr>
        <w:pStyle w:val="pj"/>
      </w:pPr>
      <w:r>
        <w:t xml:space="preserve">2) выписка рецепта в рамках амбулаторного лекарственного обеспечения, в котором указаны номер и дата рецепта </w:t>
      </w:r>
      <w:r>
        <w:rPr>
          <w:i/>
          <w:iCs/>
        </w:rPr>
        <w:t>(9 950 164)</w:t>
      </w:r>
      <w:r>
        <w:t>;</w:t>
      </w:r>
    </w:p>
    <w:p w:rsidR="00B4409B" w:rsidRDefault="0001299D">
      <w:pPr>
        <w:pStyle w:val="pj"/>
      </w:pPr>
      <w:r>
        <w:t xml:space="preserve">3) о дате плановой госпитализации </w:t>
      </w:r>
      <w:r>
        <w:rPr>
          <w:i/>
          <w:iCs/>
        </w:rPr>
        <w:t>(4 426 881)</w:t>
      </w:r>
      <w:r>
        <w:t>;</w:t>
      </w:r>
    </w:p>
    <w:p w:rsidR="00B4409B" w:rsidRDefault="0001299D">
      <w:pPr>
        <w:pStyle w:val="pj"/>
      </w:pPr>
      <w:r>
        <w:t xml:space="preserve">4) о дате планового осмотра беременных </w:t>
      </w:r>
      <w:r>
        <w:rPr>
          <w:i/>
          <w:iCs/>
        </w:rPr>
        <w:t>(3 343 234)</w:t>
      </w:r>
      <w:r>
        <w:t>;</w:t>
      </w:r>
    </w:p>
    <w:p w:rsidR="00B4409B" w:rsidRDefault="0001299D">
      <w:pPr>
        <w:pStyle w:val="pj"/>
      </w:pPr>
      <w:r>
        <w:t xml:space="preserve">5) об изменении прикрепления к медицинской организации </w:t>
      </w:r>
      <w:r>
        <w:rPr>
          <w:i/>
          <w:iCs/>
        </w:rPr>
        <w:t>(1 844 290)</w:t>
      </w:r>
      <w:r>
        <w:t>.</w:t>
      </w:r>
    </w:p>
    <w:p w:rsidR="00B4409B" w:rsidRDefault="0001299D">
      <w:pPr>
        <w:pStyle w:val="pj"/>
      </w:pPr>
      <w:r>
        <w:t>По состоянию на 1 января 2024 года в социально-трудовой сфере предусмотрен 51 вид госуслуг, из них в проактивном фирмате - 30. Оказано 27,3 млн госуслуг, из которых 89,2% - в электронном виде.</w:t>
      </w:r>
    </w:p>
    <w:p w:rsidR="00B4409B" w:rsidRDefault="0001299D">
      <w:pPr>
        <w:pStyle w:val="pj"/>
      </w:pPr>
      <w:r>
        <w:rPr>
          <w:b/>
          <w:bCs/>
        </w:rPr>
        <w:t xml:space="preserve">МЮ </w:t>
      </w:r>
      <w:r>
        <w:t xml:space="preserve">в рамках программы «Digital Justice» приняты </w:t>
      </w:r>
      <w:r>
        <w:rPr>
          <w:spacing w:val="-6"/>
        </w:rPr>
        <w:t>меры по цифровизации нотариата, законотворческого процесса, автоматизации</w:t>
      </w:r>
      <w:r>
        <w:t xml:space="preserve"> государственных услуг. </w:t>
      </w:r>
    </w:p>
    <w:p w:rsidR="00B4409B" w:rsidRDefault="0001299D">
      <w:pPr>
        <w:pStyle w:val="pj"/>
      </w:pPr>
      <w:r>
        <w:t>Так, реализован проект «Цифровой нотариат», который предполагает перевод нотариальных услуг в онлайн-формат без дополнительных затрат со стороны граждан.</w:t>
      </w:r>
    </w:p>
    <w:p w:rsidR="00B4409B" w:rsidRDefault="0001299D">
      <w:pPr>
        <w:pStyle w:val="pj"/>
      </w:pPr>
      <w:r>
        <w:t>На платформе «Smart Data Ukimet» реализован аналитический кейс «Алименты», запущен проект по автоматизированному возбуждению исполнительного производства без участия частных судебных исполнителей.</w:t>
      </w:r>
    </w:p>
    <w:p w:rsidR="00B4409B" w:rsidRDefault="0001299D">
      <w:pPr>
        <w:pStyle w:val="pj"/>
      </w:pPr>
      <w:r>
        <w:t xml:space="preserve">Во исполнение поручения Главы государства по выработке действенных подходов для оперативного и прозрачного выделения земельных участков в промышленную эксплуатацию введен </w:t>
      </w:r>
      <w:r>
        <w:rPr>
          <w:b/>
          <w:bCs/>
        </w:rPr>
        <w:t>Единый государственный кадастр недвижимости</w:t>
      </w:r>
      <w:r>
        <w:t xml:space="preserve"> </w:t>
      </w:r>
      <w:r>
        <w:rPr>
          <w:i/>
          <w:iCs/>
        </w:rPr>
        <w:t>(далее - ЕГКН)</w:t>
      </w:r>
      <w:r>
        <w:t>.</w:t>
      </w:r>
    </w:p>
    <w:p w:rsidR="00B4409B" w:rsidRDefault="0001299D">
      <w:pPr>
        <w:pStyle w:val="pj"/>
      </w:pPr>
      <w:r>
        <w:rPr>
          <w:spacing w:val="-2"/>
        </w:rPr>
        <w:t xml:space="preserve">Упрощена процедура оформления прав на земельный участок: автоматизация услуг; исключение ряда документов </w:t>
      </w:r>
      <w:r>
        <w:rPr>
          <w:i/>
          <w:iCs/>
          <w:spacing w:val="-2"/>
        </w:rPr>
        <w:t>(землеустроительный проект, идентификационный документ на земельный участок)</w:t>
      </w:r>
      <w:r>
        <w:rPr>
          <w:spacing w:val="-2"/>
        </w:rPr>
        <w:t xml:space="preserve"> и земельной комиссии </w:t>
      </w:r>
      <w:r>
        <w:rPr>
          <w:i/>
          <w:iCs/>
          <w:spacing w:val="-2"/>
        </w:rPr>
        <w:t>(уменьшается количество согласований)</w:t>
      </w:r>
      <w:r>
        <w:rPr>
          <w:spacing w:val="-2"/>
        </w:rPr>
        <w:t xml:space="preserve">; онлайн мониторинг за документами при прохождении различных инстанций; внедрение композитных услуг </w:t>
      </w:r>
      <w:r>
        <w:rPr>
          <w:i/>
          <w:iCs/>
          <w:spacing w:val="-2"/>
        </w:rPr>
        <w:t>(получение документа на земельный участок с регистрацией прав)</w:t>
      </w:r>
      <w:r>
        <w:rPr>
          <w:spacing w:val="-2"/>
        </w:rPr>
        <w:t>; сокращение длительности рассмотрения и согласования документов с 1 года до 30 дней.</w:t>
      </w:r>
    </w:p>
    <w:p w:rsidR="00B4409B" w:rsidRDefault="0001299D">
      <w:pPr>
        <w:pStyle w:val="pj"/>
      </w:pPr>
      <w:r>
        <w:t xml:space="preserve">В рамках запуска ЕГКН внедрена Публичная кадастровая карта </w:t>
      </w:r>
      <w:r>
        <w:rPr>
          <w:i/>
          <w:iCs/>
        </w:rPr>
        <w:t>(https://map.gov4c.kz/egkn/)</w:t>
      </w:r>
      <w:r>
        <w:t>, которая содержит в интерактивном формате сведения земельного, правового, природного и иных кадастров. Данный ресурс существенно минимизирует коррупционные риски путем автоматизации и упрощения сделок с недвижимостью и землей.</w:t>
      </w:r>
    </w:p>
    <w:p w:rsidR="00B4409B" w:rsidRDefault="0001299D">
      <w:pPr>
        <w:pStyle w:val="pj"/>
      </w:pPr>
      <w:r>
        <w:rPr>
          <w:spacing w:val="-4"/>
        </w:rPr>
        <w:t>Полностью автоматизированы выдача дубликата правоустанавливающего документа на недвижимое имущество, выдача копий документов из регистрационного дела и выдача электронного технического паспорта.</w:t>
      </w:r>
    </w:p>
    <w:p w:rsidR="00B4409B" w:rsidRDefault="0001299D">
      <w:pPr>
        <w:pStyle w:val="pj"/>
      </w:pPr>
      <w:r>
        <w:t xml:space="preserve">По информации </w:t>
      </w:r>
      <w:r>
        <w:rPr>
          <w:b/>
          <w:bCs/>
        </w:rPr>
        <w:t>МП</w:t>
      </w:r>
      <w:r>
        <w:t>, пилотный проект «Облачная бухгалтерия и кадровый учет» в г. Астане, Восточно-Казахстанской и Павлодарской областях показал положительный эффект.</w:t>
      </w:r>
    </w:p>
    <w:p w:rsidR="00B4409B" w:rsidRDefault="0001299D">
      <w:pPr>
        <w:pStyle w:val="pj"/>
      </w:pPr>
      <w:r>
        <w:t>Основными преимуществами внедрения облачной бухгалтерии является снижение финансовых нарушений за счет автоматизированного контроля операций, хранения информации об изменениях, системы разделения полномочий и ответственности, сокращения ошибок, хищений и поборов.  </w:t>
      </w:r>
      <w:r>
        <w:rPr>
          <w:spacing w:val="-2"/>
        </w:rPr>
        <w:t xml:space="preserve">В результате исполнительные органы на областном уровне перешли на облачную бухгалтерию полностью, на районном уровне решаются технические вопросы </w:t>
      </w:r>
      <w:r>
        <w:rPr>
          <w:i/>
          <w:iCs/>
          <w:spacing w:val="-2"/>
        </w:rPr>
        <w:t>(закуп серверов, компьютеров, расширение доступа к интернету и т.д.)</w:t>
      </w:r>
      <w:r>
        <w:rPr>
          <w:spacing w:val="-2"/>
        </w:rPr>
        <w:t>.</w:t>
      </w:r>
    </w:p>
    <w:p w:rsidR="00B4409B" w:rsidRDefault="0001299D">
      <w:pPr>
        <w:pStyle w:val="pj"/>
      </w:pPr>
      <w:r>
        <w:lastRenderedPageBreak/>
        <w:t xml:space="preserve">Наряду с этим, посредством интеграции баз данных </w:t>
      </w:r>
      <w:r>
        <w:rPr>
          <w:i/>
          <w:iCs/>
        </w:rPr>
        <w:t>(НОБД, Цифровая карта семьи, портал «электронного правительства», «Smart Data Ukimet»)</w:t>
      </w:r>
      <w:r>
        <w:t xml:space="preserve"> государственная услуга по предоставлению бесплатного и льготного питания </w:t>
      </w:r>
      <w:r>
        <w:rPr>
          <w:spacing w:val="-4"/>
        </w:rPr>
        <w:t>отдельным категориям обучающихся и воспитанников в общеобразовательных</w:t>
      </w:r>
      <w:r>
        <w:t xml:space="preserve"> школах переведена в проактивный формат </w:t>
      </w:r>
      <w:r>
        <w:rPr>
          <w:i/>
          <w:iCs/>
        </w:rPr>
        <w:t>(отменено истребование справок, подтверждающих принадлежность заявителя (семьи) к получателям адресной социальной помощи)</w:t>
      </w:r>
      <w:r>
        <w:t>.</w:t>
      </w:r>
    </w:p>
    <w:p w:rsidR="00B4409B" w:rsidRDefault="0001299D">
      <w:pPr>
        <w:pStyle w:val="pj"/>
      </w:pPr>
      <w:r>
        <w:rPr>
          <w:b/>
          <w:bCs/>
        </w:rPr>
        <w:t>МФ</w:t>
      </w:r>
      <w:r>
        <w:t xml:space="preserve"> внедрена онлайн-система </w:t>
      </w:r>
      <w:r>
        <w:rPr>
          <w:b/>
          <w:bCs/>
        </w:rPr>
        <w:t>«Электронные счета-фактуры»</w:t>
      </w:r>
      <w:r>
        <w:t>, позволяющая отслеживать все сделки по товарам и услугам компаний и одновременно проверять полноту отражения их доходов.</w:t>
      </w:r>
    </w:p>
    <w:p w:rsidR="00B4409B" w:rsidRDefault="0001299D">
      <w:pPr>
        <w:pStyle w:val="pj"/>
      </w:pPr>
      <w:r>
        <w:t xml:space="preserve">С помощью данной системы камеральный контроль осуществляется автоматически с дистанционным выявлением нарушений и выставлением </w:t>
      </w:r>
      <w:r>
        <w:rPr>
          <w:spacing w:val="-4"/>
        </w:rPr>
        <w:t>соответствующих уведомлений. Предпринимателям предоставлена возможность</w:t>
      </w:r>
      <w:r>
        <w:t xml:space="preserve"> устранить эти нарушения самостоятельно.</w:t>
      </w:r>
    </w:p>
    <w:p w:rsidR="00B4409B" w:rsidRDefault="0001299D">
      <w:pPr>
        <w:pStyle w:val="pj"/>
      </w:pPr>
      <w:r>
        <w:t xml:space="preserve">Продолжена модернизация </w:t>
      </w:r>
      <w:r>
        <w:rPr>
          <w:b/>
          <w:bCs/>
        </w:rPr>
        <w:t>ИС «Единое окно по экспортно-импортным операциям»</w:t>
      </w:r>
      <w:r>
        <w:t>. Время выдачи документов сократилось с 30  до 5 дней.</w:t>
      </w:r>
    </w:p>
    <w:p w:rsidR="00B4409B" w:rsidRDefault="0001299D">
      <w:pPr>
        <w:pStyle w:val="pj"/>
      </w:pPr>
      <w:r>
        <w:t xml:space="preserve">В целях обеспечения прозрачности и законности проведения работниками органов государственных доходов таможенных досмотров </w:t>
      </w:r>
      <w:r>
        <w:rPr>
          <w:spacing w:val="-4"/>
        </w:rPr>
        <w:t xml:space="preserve">(осмотров) в ИС «Астана-1» внедрен модуль </w:t>
      </w:r>
      <w:r>
        <w:rPr>
          <w:b/>
          <w:bCs/>
          <w:spacing w:val="-4"/>
        </w:rPr>
        <w:t>«Электронный акт таможенного</w:t>
      </w:r>
      <w:r>
        <w:rPr>
          <w:b/>
          <w:bCs/>
        </w:rPr>
        <w:t xml:space="preserve"> досмотра (осмотра)»</w:t>
      </w:r>
      <w:r>
        <w:t>.</w:t>
      </w:r>
    </w:p>
    <w:p w:rsidR="00B4409B" w:rsidRDefault="0001299D">
      <w:pPr>
        <w:pStyle w:val="pj"/>
      </w:pPr>
      <w:r>
        <w:t xml:space="preserve">Для создания максимально удобных и благоприятных условий для бизнеса внедрена </w:t>
      </w:r>
      <w:r>
        <w:rPr>
          <w:b/>
          <w:bCs/>
        </w:rPr>
        <w:t>система электронной очереди</w:t>
      </w:r>
      <w:r>
        <w:t xml:space="preserve"> на всех автомобильных пунктах пропуска, расположенных на внешней границе Евразийского экономического союза.</w:t>
      </w:r>
    </w:p>
    <w:p w:rsidR="00B4409B" w:rsidRDefault="0001299D">
      <w:pPr>
        <w:pStyle w:val="pj"/>
      </w:pPr>
      <w:r>
        <w:t xml:space="preserve">В рамках совершенствования </w:t>
      </w:r>
      <w:r>
        <w:rPr>
          <w:b/>
          <w:bCs/>
        </w:rPr>
        <w:t>системы государственных закупок</w:t>
      </w:r>
      <w:r>
        <w:t xml:space="preserve"> принят ряд комплексных мер. Так, государственные закупки строительно-монтажных работ и работ по проектированию осуществляются исключительно способом конкурса с использованием </w:t>
      </w:r>
      <w:r>
        <w:rPr>
          <w:b/>
          <w:bCs/>
        </w:rPr>
        <w:t>рейтингово-балльной системы</w:t>
      </w:r>
      <w:r>
        <w:t xml:space="preserve"> </w:t>
      </w:r>
      <w:r>
        <w:rPr>
          <w:i/>
          <w:iCs/>
        </w:rPr>
        <w:t>(с 1 сентября 2023 года)</w:t>
      </w:r>
      <w:r>
        <w:t>.</w:t>
      </w:r>
    </w:p>
    <w:p w:rsidR="00B4409B" w:rsidRDefault="0001299D">
      <w:pPr>
        <w:pStyle w:val="pj"/>
      </w:pPr>
      <w:r>
        <w:t>Такой подход исключает участие членов конкурсной комиссии и автоматически определяет победителя закупок на основе рейтинга поставщиков путем комбинирования ценовых и качественных критериев. Итоги конкурса с использованием рейтингово-балльной системы не подлежат обжалованию.</w:t>
      </w:r>
    </w:p>
    <w:p w:rsidR="00B4409B" w:rsidRDefault="0001299D">
      <w:pPr>
        <w:pStyle w:val="pj"/>
      </w:pPr>
      <w:r>
        <w:t xml:space="preserve">Также предусмотрено обязательное указание в конкурсной </w:t>
      </w:r>
      <w:r>
        <w:rPr>
          <w:spacing w:val="-4"/>
        </w:rPr>
        <w:t xml:space="preserve">документации информации </w:t>
      </w:r>
      <w:r>
        <w:rPr>
          <w:b/>
          <w:bCs/>
          <w:spacing w:val="-4"/>
        </w:rPr>
        <w:t xml:space="preserve">о бенефициарных собственниках </w:t>
      </w:r>
      <w:r>
        <w:rPr>
          <w:spacing w:val="-4"/>
        </w:rPr>
        <w:t>потенциального</w:t>
      </w:r>
      <w:r>
        <w:t xml:space="preserve"> поставщика.</w:t>
      </w:r>
    </w:p>
    <w:p w:rsidR="00B4409B" w:rsidRDefault="0001299D">
      <w:pPr>
        <w:pStyle w:val="pj"/>
      </w:pPr>
      <w:r>
        <w:t xml:space="preserve">Принятыми мерами минимизированы коррупционные риски путем автоматизации и упрощения процесса, обеспечения его прозрачности, исключения из системы государственных закупок недобросовестных поставщиков. Одновременно это способствует поддержке отечественного бизнеса и развитию конкуренции. </w:t>
      </w:r>
    </w:p>
    <w:p w:rsidR="00B4409B" w:rsidRDefault="0001299D">
      <w:pPr>
        <w:pStyle w:val="pj"/>
      </w:pPr>
      <w:r>
        <w:t xml:space="preserve">Продолжается цифровизация </w:t>
      </w:r>
      <w:r>
        <w:rPr>
          <w:b/>
          <w:bCs/>
        </w:rPr>
        <w:t>государственных услуг</w:t>
      </w:r>
      <w:r>
        <w:t>. В Реестр включено 1 327 госуслуг, из них 1 247 или 94% оказываются в электронном формате. В мобильном приложении eGov Mobile доступно 1 085 видов госуслуг.</w:t>
      </w:r>
    </w:p>
    <w:p w:rsidR="00B4409B" w:rsidRDefault="0001299D">
      <w:pPr>
        <w:pStyle w:val="pj"/>
      </w:pPr>
      <w:r>
        <w:t xml:space="preserve">Ярким примером снижения бюрократии, как фактора коррупции, является реализация в мобильных приложениях доступа к цифровым документам </w:t>
      </w:r>
      <w:r>
        <w:rPr>
          <w:i/>
          <w:iCs/>
        </w:rPr>
        <w:t>(33 вида)</w:t>
      </w:r>
      <w:r>
        <w:t>. Этим сервисом воспользовались порядка 12,1 млн пользователей.</w:t>
      </w:r>
    </w:p>
    <w:p w:rsidR="00B4409B" w:rsidRDefault="0001299D">
      <w:pPr>
        <w:pStyle w:val="pj"/>
      </w:pPr>
      <w:r>
        <w:rPr>
          <w:b/>
          <w:bCs/>
        </w:rPr>
        <w:t>Национальным банком</w:t>
      </w:r>
      <w:r>
        <w:t xml:space="preserve"> в рамках реализации </w:t>
      </w:r>
      <w:hyperlink r:id="rId25" w:history="1">
        <w:r>
          <w:rPr>
            <w:rStyle w:val="a5"/>
          </w:rPr>
          <w:t>Концепции</w:t>
        </w:r>
      </w:hyperlink>
      <w:r>
        <w:t xml:space="preserve"> антикоррупционной политики приняты меры </w:t>
      </w:r>
      <w:r>
        <w:rPr>
          <w:b/>
          <w:bCs/>
        </w:rPr>
        <w:t>по расширению инфраструктуры безналичных платежей</w:t>
      </w:r>
      <w:r>
        <w:t>.</w:t>
      </w:r>
    </w:p>
    <w:p w:rsidR="00B4409B" w:rsidRDefault="0001299D">
      <w:pPr>
        <w:pStyle w:val="pj"/>
      </w:pPr>
      <w:r>
        <w:t xml:space="preserve">Созданы необходимые регуляторные условия и нормативно-правовая база, регламентирующая проведение платежей, внедрение инновационных сервисов, платежных инструментов и развитие инфраструктуры безналичной оплаты. </w:t>
      </w:r>
    </w:p>
    <w:p w:rsidR="00B4409B" w:rsidRDefault="0001299D">
      <w:pPr>
        <w:pStyle w:val="pj"/>
      </w:pPr>
      <w:r>
        <w:t>Финансовыми организациями совместно с государственными органами обеспечено предоставление потребителям не только финансовых, но и государственных услуг в банковских приложениях путем подключения участников рынка к соответствующим государственным сервисам.</w:t>
      </w:r>
    </w:p>
    <w:p w:rsidR="00B4409B" w:rsidRDefault="0001299D">
      <w:pPr>
        <w:pStyle w:val="pj"/>
      </w:pPr>
      <w:r>
        <w:lastRenderedPageBreak/>
        <w:t xml:space="preserve">Клиентам банков доступен широкий спектр платежных услуг, включая удаленное открытие банковского счета, биометрические способы идентификации, переводы по номеру телефона, платежи по платежным карточкам, QR-коду, оплата в интернете. </w:t>
      </w:r>
    </w:p>
    <w:p w:rsidR="00B4409B" w:rsidRDefault="0001299D">
      <w:pPr>
        <w:pStyle w:val="pj"/>
      </w:pPr>
      <w:r>
        <w:t xml:space="preserve">За последние 5 лет объем безналичных операций вырос в 22 раза и составил в 2023 году 141,9 трлн тенге </w:t>
      </w:r>
      <w:r>
        <w:rPr>
          <w:i/>
          <w:iCs/>
        </w:rPr>
        <w:t>(6,39 трлн тенге в 2018 году)</w:t>
      </w:r>
      <w:r>
        <w:t xml:space="preserve">, доля безналичных платежей увеличилась с 37,8% в 2018 году до 88,7% в 2023 году, а объем онлайн-платежей - в 40 раз </w:t>
      </w:r>
      <w:r>
        <w:rPr>
          <w:i/>
          <w:iCs/>
        </w:rPr>
        <w:t>(до 125,7 млрд тенге)</w:t>
      </w:r>
      <w:r>
        <w:t>.</w:t>
      </w:r>
    </w:p>
    <w:p w:rsidR="00B4409B" w:rsidRDefault="0001299D">
      <w:pPr>
        <w:pStyle w:val="pj"/>
      </w:pPr>
      <w:r>
        <w:t xml:space="preserve">Количество POS-терминалов за 5 лет выросло в 7,7 раз, до 1 041,9 тыс. единиц </w:t>
      </w:r>
      <w:r>
        <w:rPr>
          <w:i/>
          <w:iCs/>
        </w:rPr>
        <w:t>(135,8 тыс. единиц в 2018 году)</w:t>
      </w:r>
      <w:r>
        <w:t xml:space="preserve">, предпринимателей, принимающих </w:t>
      </w:r>
      <w:r>
        <w:rPr>
          <w:spacing w:val="-4"/>
        </w:rPr>
        <w:t xml:space="preserve">безналичную оплату - в 9,6 раз, до 793,1 тыс. единиц </w:t>
      </w:r>
      <w:r>
        <w:rPr>
          <w:i/>
          <w:iCs/>
          <w:spacing w:val="-4"/>
        </w:rPr>
        <w:t>(82,5 тыс. единиц в 2018 году)</w:t>
      </w:r>
      <w:r>
        <w:rPr>
          <w:spacing w:val="-4"/>
        </w:rPr>
        <w:t>.</w:t>
      </w:r>
    </w:p>
    <w:p w:rsidR="00B4409B" w:rsidRDefault="0001299D">
      <w:pPr>
        <w:pStyle w:val="1"/>
        <w:ind w:left="0" w:right="-2" w:firstLine="426"/>
        <w:rPr>
          <w:rFonts w:eastAsia="Times New Roman"/>
        </w:rPr>
      </w:pPr>
      <w:r>
        <w:rPr>
          <w:rFonts w:ascii="Times New Roman" w:eastAsia="Times New Roman" w:hAnsi="Times New Roman"/>
        </w:rPr>
        <w:t xml:space="preserve">В целях дальнейшей цифровизации финансового сектора Национальным </w:t>
      </w:r>
      <w:r>
        <w:rPr>
          <w:rFonts w:ascii="Times New Roman" w:eastAsia="Times New Roman" w:hAnsi="Times New Roman"/>
          <w:spacing w:val="-4"/>
        </w:rPr>
        <w:t xml:space="preserve">банком формируется </w:t>
      </w:r>
      <w:r>
        <w:rPr>
          <w:rFonts w:ascii="Times New Roman" w:eastAsia="Times New Roman" w:hAnsi="Times New Roman"/>
          <w:b/>
          <w:bCs/>
          <w:spacing w:val="-4"/>
        </w:rPr>
        <w:t>Национальная цифровая финансовая инфраструктура</w:t>
      </w:r>
      <w:r>
        <w:rPr>
          <w:rFonts w:ascii="Times New Roman" w:eastAsia="Times New Roman" w:hAnsi="Times New Roman"/>
          <w:spacing w:val="-4"/>
        </w:rPr>
        <w:t>,</w:t>
      </w:r>
      <w:r>
        <w:rPr>
          <w:rFonts w:ascii="Times New Roman" w:eastAsia="Times New Roman" w:hAnsi="Times New Roman"/>
        </w:rPr>
        <w:t xml:space="preserve"> основными элементами которой являются:</w:t>
      </w:r>
    </w:p>
    <w:p w:rsidR="00B4409B" w:rsidRDefault="0001299D">
      <w:pPr>
        <w:pStyle w:val="1"/>
        <w:ind w:left="0" w:right="-2" w:firstLine="426"/>
        <w:rPr>
          <w:rFonts w:eastAsia="Times New Roman"/>
        </w:rPr>
      </w:pPr>
      <w:r>
        <w:rPr>
          <w:rFonts w:ascii="Times New Roman" w:eastAsia="Times New Roman" w:hAnsi="Times New Roman"/>
        </w:rPr>
        <w:t xml:space="preserve">1) розничная Национальная платежная система, предназначенная для локализации внутристрановых транзакций и проведения онлайн-платежей и переводов денег между клиентами различных банков по упрощенным реквизитам </w:t>
      </w:r>
      <w:r>
        <w:rPr>
          <w:rFonts w:ascii="Times New Roman" w:eastAsia="Times New Roman" w:hAnsi="Times New Roman"/>
          <w:i/>
          <w:iCs/>
        </w:rPr>
        <w:t>(номер телефона, QR-код)</w:t>
      </w:r>
      <w:r>
        <w:rPr>
          <w:rFonts w:ascii="Times New Roman" w:eastAsia="Times New Roman" w:hAnsi="Times New Roman"/>
        </w:rPr>
        <w:t xml:space="preserve">. После подключения новых участников, масштабирования и развития новых сервисов, в том числе межбанковских QR-платежей планируется полномасштабный запуск Национальной платежной системы </w:t>
      </w:r>
      <w:r>
        <w:rPr>
          <w:rFonts w:ascii="Times New Roman" w:eastAsia="Times New Roman" w:hAnsi="Times New Roman"/>
          <w:i/>
          <w:iCs/>
        </w:rPr>
        <w:t>(в 2024 году)</w:t>
      </w:r>
      <w:r>
        <w:rPr>
          <w:rFonts w:ascii="Times New Roman" w:eastAsia="Times New Roman" w:hAnsi="Times New Roman"/>
        </w:rPr>
        <w:t>;</w:t>
      </w:r>
    </w:p>
    <w:p w:rsidR="00B4409B" w:rsidRDefault="0001299D">
      <w:pPr>
        <w:pStyle w:val="1"/>
        <w:ind w:left="0" w:right="-2" w:firstLine="426"/>
        <w:rPr>
          <w:rFonts w:eastAsia="Times New Roman"/>
        </w:rPr>
      </w:pPr>
      <w:r>
        <w:rPr>
          <w:rFonts w:ascii="Times New Roman" w:eastAsia="Times New Roman" w:hAnsi="Times New Roman"/>
        </w:rPr>
        <w:t xml:space="preserve">2) платформа «Цифрового тенге» </w:t>
      </w:r>
      <w:r>
        <w:rPr>
          <w:rFonts w:ascii="Times New Roman" w:eastAsia="Times New Roman" w:hAnsi="Times New Roman"/>
          <w:i/>
          <w:iCs/>
        </w:rPr>
        <w:t>(развитие платежного пространства страны путем использования цифровой формы национальной валюты, внедрение новых финансовых сервисов участниками рынка)</w:t>
      </w:r>
      <w:r>
        <w:rPr>
          <w:rFonts w:ascii="Times New Roman" w:eastAsia="Times New Roman" w:hAnsi="Times New Roman"/>
        </w:rPr>
        <w:t xml:space="preserve">; </w:t>
      </w:r>
    </w:p>
    <w:p w:rsidR="00B4409B" w:rsidRDefault="0001299D">
      <w:pPr>
        <w:pStyle w:val="1"/>
        <w:ind w:left="0" w:right="-2" w:firstLine="426"/>
        <w:rPr>
          <w:rFonts w:eastAsia="Times New Roman"/>
        </w:rPr>
      </w:pPr>
      <w:r>
        <w:rPr>
          <w:rFonts w:ascii="Times New Roman" w:eastAsia="Times New Roman" w:hAnsi="Times New Roman"/>
        </w:rPr>
        <w:t xml:space="preserve">3) платформа Открытого банкинга </w:t>
      </w:r>
      <w:r>
        <w:rPr>
          <w:rFonts w:ascii="Times New Roman" w:eastAsia="Times New Roman" w:hAnsi="Times New Roman"/>
          <w:i/>
          <w:iCs/>
        </w:rPr>
        <w:t>(устранение межбанковских барьеров и зависимости потребителя от функциональных возможностей обслуживающего банка путем предоставления гражданам доступа к управлению собственными данными и финансовыми продуктами)</w:t>
      </w:r>
      <w:r>
        <w:rPr>
          <w:rFonts w:ascii="Times New Roman" w:eastAsia="Times New Roman" w:hAnsi="Times New Roman"/>
        </w:rPr>
        <w:t xml:space="preserve">. </w:t>
      </w:r>
    </w:p>
    <w:p w:rsidR="00B4409B" w:rsidRDefault="0001299D">
      <w:pPr>
        <w:pStyle w:val="1"/>
        <w:ind w:left="0" w:right="-2" w:firstLine="426"/>
        <w:rPr>
          <w:rFonts w:eastAsia="Times New Roman"/>
        </w:rPr>
      </w:pPr>
      <w:r>
        <w:rPr>
          <w:rFonts w:ascii="Times New Roman" w:eastAsia="Times New Roman" w:hAnsi="Times New Roman"/>
        </w:rPr>
        <w:t>Полное внедрение Национальной цифровой финансовой инфраструктуры будет обеспечено в 2025 году.</w:t>
      </w:r>
    </w:p>
    <w:p w:rsidR="00B4409B" w:rsidRDefault="0001299D">
      <w:pPr>
        <w:pStyle w:val="pj"/>
      </w:pPr>
      <w:r>
        <w:t xml:space="preserve">Наряду с этим, Антикоррупционной службой совместно с заинтересованными госорганами прорабатывается </w:t>
      </w:r>
      <w:r>
        <w:rPr>
          <w:b/>
          <w:bCs/>
        </w:rPr>
        <w:t>механизм</w:t>
      </w:r>
      <w:r>
        <w:t xml:space="preserve"> </w:t>
      </w:r>
      <w:r>
        <w:rPr>
          <w:b/>
          <w:bCs/>
        </w:rPr>
        <w:t>«окрашивания денег»</w:t>
      </w:r>
      <w:r>
        <w:t xml:space="preserve"> при освоении бюджетных средств.</w:t>
      </w:r>
    </w:p>
    <w:p w:rsidR="00B4409B" w:rsidRDefault="0001299D">
      <w:pPr>
        <w:pStyle w:val="pj"/>
      </w:pPr>
      <w:r>
        <w:t xml:space="preserve">В настоящее время данный механизм апробируется на платформе «Цифрового тенге» в сфере школьного питания. Одновременно прорабатываются подходы по внедрению механизма «окрашивания денег»  в 3-х наиболее коррупциогенных социально-значимых сферах </w:t>
      </w:r>
      <w:r>
        <w:rPr>
          <w:i/>
          <w:iCs/>
        </w:rPr>
        <w:t>(приобретение сельхозтехники и оборудования; ремонт автомобильных дорог; использование средств социально-предпринимательских корпораций)</w:t>
      </w:r>
      <w:r>
        <w:t xml:space="preserve">. При этом концепция «окрашивания денег» должна соответствовать ряду требований, в т.ч.: </w:t>
      </w:r>
    </w:p>
    <w:p w:rsidR="00B4409B" w:rsidRDefault="0001299D">
      <w:pPr>
        <w:pStyle w:val="pj"/>
      </w:pPr>
      <w:r>
        <w:t xml:space="preserve">1) осуществление операций только в безналичной форме </w:t>
      </w:r>
      <w:r>
        <w:rPr>
          <w:i/>
          <w:iCs/>
        </w:rPr>
        <w:t>(по примеру перечисления налоговых, пенсионных и иных социальных платежей, а также платежей по сделке, сумма которой превышает тысячекратный размер месячного расчетного показателя)</w:t>
      </w:r>
      <w:r>
        <w:t>;</w:t>
      </w:r>
    </w:p>
    <w:p w:rsidR="00B4409B" w:rsidRDefault="0001299D">
      <w:pPr>
        <w:pStyle w:val="pj"/>
      </w:pPr>
      <w:r>
        <w:t xml:space="preserve">2) «окрашивание» до последнего «колена» </w:t>
      </w:r>
      <w:r>
        <w:rPr>
          <w:i/>
          <w:iCs/>
        </w:rPr>
        <w:t>(до момента возврата средств  в бюджет в виде налоговых, социальных и иных выплат, в том числе пенсионных отчислений, либо получения работником заработной платы)</w:t>
      </w:r>
      <w:r>
        <w:t>;</w:t>
      </w:r>
    </w:p>
    <w:p w:rsidR="00B4409B" w:rsidRDefault="0001299D">
      <w:pPr>
        <w:pStyle w:val="pj"/>
      </w:pPr>
      <w:r>
        <w:t>3) сопровождение каждой транзакции правовым основанием и указанием статуса получателя бюджетных средств.</w:t>
      </w:r>
    </w:p>
    <w:p w:rsidR="00B4409B" w:rsidRDefault="0001299D">
      <w:pPr>
        <w:pStyle w:val="pj"/>
      </w:pPr>
      <w:r>
        <w:t>Механизм отслеживания денежных средств предполагает присвоение каждой банковской транзакции уникального идентификатора, который генерируется на основе содержимого перевода, включая отправителя, получателя, суммы и т.д.</w:t>
      </w:r>
    </w:p>
    <w:p w:rsidR="00B4409B" w:rsidRDefault="0001299D">
      <w:pPr>
        <w:pStyle w:val="pj"/>
      </w:pPr>
      <w:r>
        <w:t xml:space="preserve">Маркировка цифровых денежных единиц позволит исключить несанкционированное внесение изменений в транзакции, по «цифровому» следу видеть всю цепочку </w:t>
      </w:r>
      <w:r>
        <w:lastRenderedPageBreak/>
        <w:t>проведённых операций и обеспечить своевременный мониторинг целевого использования бюджетных средств.</w:t>
      </w:r>
    </w:p>
    <w:p w:rsidR="00B4409B" w:rsidRDefault="0001299D">
      <w:pPr>
        <w:pStyle w:val="pj"/>
      </w:pPr>
      <w:r>
        <w:t>Более того, «окрашивание денег» в перспективе может выступить  в качестве дополнительного инструмента противодействия необоснованному обогащению.</w:t>
      </w:r>
    </w:p>
    <w:p w:rsidR="00B4409B" w:rsidRDefault="0001299D">
      <w:pPr>
        <w:pStyle w:val="pj"/>
      </w:pPr>
      <w:r>
        <w:t xml:space="preserve">В рамках реализации Правил цифровой трансформации государственного управления 34 госоргана утвердили </w:t>
      </w:r>
      <w:r>
        <w:rPr>
          <w:b/>
          <w:bCs/>
        </w:rPr>
        <w:t>дорожные карты цифровой трансформации</w:t>
      </w:r>
      <w:r>
        <w:t xml:space="preserve"> на 2023-2025 годы. </w:t>
      </w:r>
    </w:p>
    <w:p w:rsidR="00B4409B" w:rsidRDefault="0001299D">
      <w:pPr>
        <w:pStyle w:val="pj"/>
      </w:pPr>
      <w:r>
        <w:t xml:space="preserve">В 2023 году проведен реинжиниринг 365 бизнес-процессов. Министерством цифрового развития, инноваций и аэрокосмической промышленности </w:t>
      </w:r>
      <w:r>
        <w:rPr>
          <w:i/>
          <w:iCs/>
        </w:rPr>
        <w:t xml:space="preserve">(далее - МЦРИАП) </w:t>
      </w:r>
      <w:r>
        <w:t>на еженедельной основе проводятся  </w:t>
      </w:r>
      <w:r>
        <w:rPr>
          <w:spacing w:val="-4"/>
        </w:rPr>
        <w:t>scrum-совещания с государственными органами по исполнению дорожных карт.</w:t>
      </w:r>
    </w:p>
    <w:p w:rsidR="00B4409B" w:rsidRDefault="0001299D">
      <w:pPr>
        <w:pStyle w:val="pj"/>
      </w:pPr>
      <w:r>
        <w:t>Центром поддержки цифрового правительства осуществляется доработка реестра бизнес-процессов на архитектурном портале «электронного правительства».</w:t>
      </w:r>
    </w:p>
    <w:p w:rsidR="00B4409B" w:rsidRDefault="0001299D">
      <w:pPr>
        <w:pStyle w:val="pj"/>
      </w:pPr>
      <w:r>
        <w:t xml:space="preserve">Во исполнение Концепции антикоррупционной политики и указанных Правил внедрена </w:t>
      </w:r>
      <w:r>
        <w:rPr>
          <w:b/>
          <w:bCs/>
        </w:rPr>
        <w:t>«цифровая» экспертиза проектов НПА</w:t>
      </w:r>
      <w:r>
        <w:t xml:space="preserve">, проводимая МЦРИАП на предмет их соответствия стратегическим направлениям цифровой трансформации </w:t>
      </w:r>
      <w:r>
        <w:rPr>
          <w:i/>
          <w:iCs/>
        </w:rPr>
        <w:t>(совершенствование каналов взаимодействия с гражданами и госструктурами, максимальный перевод госуслуг в проактивный формат, исключение бумажных документов, переход к системе алгоритмического регулирования, внедрение культуры принятия решений на основе данных)</w:t>
      </w:r>
      <w:r>
        <w:t>.</w:t>
      </w:r>
    </w:p>
    <w:p w:rsidR="00B4409B" w:rsidRDefault="0001299D">
      <w:pPr>
        <w:pStyle w:val="pj"/>
      </w:pPr>
      <w:r>
        <w:t>Данный этап реинжиниринга бизнес-процессов позволяет устранять громоздкие и недостаточно прозрачные процедуры, минимизировать человеческий фактор еще на стадии разработки документов.</w:t>
      </w:r>
    </w:p>
    <w:p w:rsidR="00B4409B" w:rsidRDefault="0001299D">
      <w:pPr>
        <w:pStyle w:val="pj"/>
      </w:pPr>
      <w:r>
        <w:t xml:space="preserve">В рамках реализации Концепции антикоррупционной политики в </w:t>
      </w:r>
      <w:r>
        <w:rPr>
          <w:b/>
          <w:bCs/>
        </w:rPr>
        <w:t>правила проведения внешнего анализа</w:t>
      </w:r>
      <w:r>
        <w:t xml:space="preserve"> </w:t>
      </w:r>
      <w:r>
        <w:rPr>
          <w:b/>
          <w:bCs/>
        </w:rPr>
        <w:t>коррупционных рисков</w:t>
      </w:r>
      <w:r>
        <w:t xml:space="preserve"> внесены дополнения в части обязательного изучения вопросов разработки и эксплуатации </w:t>
      </w:r>
      <w:r>
        <w:rPr>
          <w:b/>
          <w:bCs/>
        </w:rPr>
        <w:t>информационных систем</w:t>
      </w:r>
      <w:r>
        <w:t>.</w:t>
      </w:r>
    </w:p>
    <w:p w:rsidR="00B4409B" w:rsidRDefault="0001299D">
      <w:pPr>
        <w:pStyle w:val="pj"/>
      </w:pPr>
      <w:r>
        <w:t xml:space="preserve">В целом, благодаря комплексным мерам по цифровизации и дебюрократизации, Казахстан занимает 28-е место в мировом рейтинге по </w:t>
      </w:r>
      <w:r>
        <w:rPr>
          <w:b/>
          <w:bCs/>
        </w:rPr>
        <w:t>Индексу развития электронного правительства</w:t>
      </w:r>
      <w:r>
        <w:t xml:space="preserve"> и 8-е место - по </w:t>
      </w:r>
      <w:r>
        <w:rPr>
          <w:b/>
          <w:bCs/>
        </w:rPr>
        <w:t>Индексу онлайн услуг</w:t>
      </w:r>
      <w:r>
        <w:t>.</w:t>
      </w:r>
    </w:p>
    <w:p w:rsidR="00B4409B" w:rsidRDefault="0001299D">
      <w:pPr>
        <w:pStyle w:val="pj"/>
      </w:pPr>
      <w:r>
        <w:t> </w:t>
      </w:r>
    </w:p>
    <w:p w:rsidR="00B4409B" w:rsidRDefault="0001299D">
      <w:pPr>
        <w:pStyle w:val="pj"/>
      </w:pPr>
      <w:r>
        <w:t> </w:t>
      </w:r>
    </w:p>
    <w:p w:rsidR="00B4409B" w:rsidRDefault="0001299D">
      <w:pPr>
        <w:pStyle w:val="pc"/>
      </w:pPr>
      <w:bookmarkStart w:id="17" w:name="SUB900"/>
      <w:bookmarkEnd w:id="17"/>
      <w:r>
        <w:rPr>
          <w:rStyle w:val="s1"/>
        </w:rPr>
        <w:t>9. Минимизация коррупционных рисков в сфере государственной службы</w:t>
      </w:r>
    </w:p>
    <w:p w:rsidR="00B4409B" w:rsidRDefault="0001299D">
      <w:pPr>
        <w:pStyle w:val="p"/>
      </w:pPr>
      <w:r>
        <w:t> </w:t>
      </w:r>
    </w:p>
    <w:p w:rsidR="00B4409B" w:rsidRDefault="0001299D">
      <w:pPr>
        <w:pStyle w:val="pj"/>
      </w:pPr>
      <w:r>
        <w:t xml:space="preserve">Продолжено поэтапное внедрение новой системы отбора на госслужбу, приняты новые квалификационные требования, обеспечивающие открытость госслужбы для кандидатов из частного сектора, введены новая система оценки служащих и институт контрактных служащих, в составе Академии государственного управления создан Институт по управлению человеческими ресурсами </w:t>
      </w:r>
      <w:r>
        <w:rPr>
          <w:i/>
          <w:iCs/>
        </w:rPr>
        <w:t>(HR-институт)</w:t>
      </w:r>
      <w:r>
        <w:t>.</w:t>
      </w:r>
    </w:p>
    <w:p w:rsidR="00B4409B" w:rsidRDefault="0001299D">
      <w:pPr>
        <w:pStyle w:val="pj"/>
      </w:pPr>
      <w:r>
        <w:t xml:space="preserve">В рамках реализации </w:t>
      </w:r>
      <w:hyperlink r:id="rId26" w:history="1">
        <w:r>
          <w:rPr>
            <w:rStyle w:val="a5"/>
          </w:rPr>
          <w:t>Указа</w:t>
        </w:r>
      </w:hyperlink>
      <w:r>
        <w:t xml:space="preserve"> Президента Республики Казахстан «О мерах по дебюрократизации деятельности государственного аппарата» проведена работа по развитию и модернизации </w:t>
      </w:r>
      <w:r>
        <w:rPr>
          <w:b/>
          <w:bCs/>
        </w:rPr>
        <w:t>ИС «Е-қызмет»</w:t>
      </w:r>
      <w:r>
        <w:rPr>
          <w:i/>
          <w:iCs/>
        </w:rPr>
        <w:t xml:space="preserve">. </w:t>
      </w:r>
    </w:p>
    <w:p w:rsidR="00B4409B" w:rsidRDefault="0001299D">
      <w:pPr>
        <w:pStyle w:val="pj"/>
      </w:pPr>
      <w:r>
        <w:t xml:space="preserve">Оцифрованы процессы отбора и приема на государственную службу, проведено масштабирование ИС «Е-қызмет» в государственных органах. </w:t>
      </w:r>
    </w:p>
    <w:p w:rsidR="00B4409B" w:rsidRDefault="0001299D">
      <w:pPr>
        <w:pStyle w:val="pj"/>
      </w:pPr>
      <w:r>
        <w:t xml:space="preserve">В процессе апробации новой системы отбора на госслужбу определено 652 победителя конкурсов на различные вакантные должности </w:t>
      </w:r>
      <w:r>
        <w:rPr>
          <w:i/>
          <w:iCs/>
        </w:rPr>
        <w:t xml:space="preserve">(АДГС - 117, Министерство торговли и интеграции - 108, Министерство индустрии  и инфраструктурного развития - 88, Министерство транспорта - 2, акимат Акмолинской области - 259, акимат г. Шымкента - 78). </w:t>
      </w:r>
    </w:p>
    <w:p w:rsidR="00B4409B" w:rsidRDefault="0001299D">
      <w:pPr>
        <w:pStyle w:val="pj"/>
      </w:pPr>
      <w:r>
        <w:t xml:space="preserve">Новый формат предусматривает максимально упрощённый подход к процессу отбора на госслужбу. Так, граждане могут участвовать в конкурсе  в любое удобное время (24/7), в т.ч. удаленно из любой точки мира на всех этапах, за исключением собеседования. В целях предупреждения конфликта интересов и коррупционных рисков при прохождении </w:t>
      </w:r>
      <w:r>
        <w:lastRenderedPageBreak/>
        <w:t>этапов конкурса предусмотрено обезличивание кандидатов путем присвоения им ID-номеров. Прозрачность конкурсных процедур на всех этапах также обеспечивается независимой системой прокторинга. Таким образом, граждане получили доступ к автоматизированной и объективной системе отбора, с исключением «человеческого фактора».</w:t>
      </w:r>
    </w:p>
    <w:p w:rsidR="00B4409B" w:rsidRDefault="0001299D">
      <w:pPr>
        <w:pStyle w:val="pj"/>
      </w:pPr>
      <w:r>
        <w:t xml:space="preserve">Проведена работа в ИС «Е-қызмет» в части создания и актуализации личных дел политических и административных государственных служащих агентств по финансовому мониторингу, по регулированию и развитию финансового рынка, по противодействию коррупции, Архива Президента, ГП, КНБ, Министерства внутренних дел </w:t>
      </w:r>
      <w:r>
        <w:rPr>
          <w:i/>
          <w:iCs/>
        </w:rPr>
        <w:t>(далее - МВД)</w:t>
      </w:r>
      <w:r>
        <w:t xml:space="preserve">, Национального Банка, служб центральных коммуникаций и государственной охраны, МФ и Судебной администрации </w:t>
      </w:r>
      <w:r>
        <w:rPr>
          <w:i/>
          <w:iCs/>
        </w:rPr>
        <w:t>(количество пользователей системы составило порядка 87,3 тыс. человек)</w:t>
      </w:r>
      <w:r>
        <w:t xml:space="preserve">. </w:t>
      </w:r>
    </w:p>
    <w:p w:rsidR="00B4409B" w:rsidRDefault="0001299D">
      <w:pPr>
        <w:pStyle w:val="pj"/>
      </w:pPr>
      <w:r>
        <w:t xml:space="preserve">Модернизирован функционал модулей «Стажировка», «Дисциплинарный контроль», «Учет рабочего времени», «Поощрение», «Оценка эффективности деятельности персонала», «Командировки» и т.д. </w:t>
      </w:r>
    </w:p>
    <w:p w:rsidR="00B4409B" w:rsidRDefault="0001299D">
      <w:pPr>
        <w:pStyle w:val="pj"/>
      </w:pPr>
      <w:r>
        <w:t xml:space="preserve">В целях дальнейшего улучшения работы ИС «Е-қызмет» для служб управления персоналом проведен опрос по измерению уровня удовлетворенности качеством работы системы, который составил 66,6% </w:t>
      </w:r>
      <w:r>
        <w:rPr>
          <w:i/>
          <w:iCs/>
        </w:rPr>
        <w:t>(Агентству предстоит дальнейшая работа по улучшению привлекательности и удобства системы для пользователей)</w:t>
      </w:r>
      <w:r>
        <w:t xml:space="preserve">. </w:t>
      </w:r>
    </w:p>
    <w:p w:rsidR="00B4409B" w:rsidRDefault="0001299D">
      <w:pPr>
        <w:pStyle w:val="pj"/>
      </w:pPr>
      <w:r>
        <w:t>В ИС «Е-қызмет» в 2023 году оформлено 770 тыс. документов</w:t>
      </w:r>
      <w:r>
        <w:rPr>
          <w:i/>
          <w:iCs/>
        </w:rPr>
        <w:t>,  </w:t>
      </w:r>
      <w:r>
        <w:t xml:space="preserve">что на 125 тыс. документов больше, чем в 2022 году </w:t>
      </w:r>
      <w:r>
        <w:rPr>
          <w:i/>
          <w:iCs/>
        </w:rPr>
        <w:t>(645 тыс.).</w:t>
      </w:r>
    </w:p>
    <w:p w:rsidR="00B4409B" w:rsidRDefault="0001299D">
      <w:pPr>
        <w:pStyle w:val="pj"/>
      </w:pPr>
      <w:r>
        <w:t>В целом данная информационная система прошла испытания на соответствие требованиям информационной безопасности и в декабре 2023 года введена в промышленную эксплуатацию.</w:t>
      </w:r>
    </w:p>
    <w:p w:rsidR="00B4409B" w:rsidRDefault="0001299D">
      <w:pPr>
        <w:pStyle w:val="pj"/>
      </w:pPr>
      <w:r>
        <w:t xml:space="preserve">В 2023 году продолжилась работа по контролю в сфере государственной службы. </w:t>
      </w:r>
      <w:r>
        <w:rPr>
          <w:b/>
          <w:bCs/>
        </w:rPr>
        <w:t>Советами по этике</w:t>
      </w:r>
      <w:r>
        <w:t xml:space="preserve"> проведено 197 заседаний и рассмотрено более  1,3 тыс. вопросов </w:t>
      </w:r>
      <w:r>
        <w:rPr>
          <w:i/>
          <w:iCs/>
        </w:rPr>
        <w:t>(итоги анализов коррупционных рисков - 33, результаты деятельности уполномоченных по этике - 189, работа госорганов по профилактике нарушений законодательства о государственной службе и противодействию коррупции - 301, работа дисциплинарных комиссий госорганов - 128, дисциплинарные дела - 411,  иные вопросы - 259)</w:t>
      </w:r>
      <w:r>
        <w:t>.</w:t>
      </w:r>
    </w:p>
    <w:p w:rsidR="00B4409B" w:rsidRDefault="0001299D">
      <w:pPr>
        <w:pStyle w:val="pj"/>
      </w:pPr>
      <w:r>
        <w:t>По итогам рассмотрения дисциплинарных дел к ответственности привлечено 203 должностных лица, из них за совершение проступков, дискредитирующих госслужбу - 111, за нарушение Этического кодекса - 92.</w:t>
      </w:r>
    </w:p>
    <w:p w:rsidR="00B4409B" w:rsidRDefault="0001299D">
      <w:pPr>
        <w:pStyle w:val="pj"/>
      </w:pPr>
      <w:r>
        <w:t xml:space="preserve">Советами по этике в целях координации деятельности уполномоченных по этике, взаимодействия с дисциплинарными комиссиями государственных органов, совершенствования форм и методов предупреждения коррупции,  а также по итогам рассмотрения дисциплинарных дел выработаны 4 813 рекомендаций, из которых исполнено 4 618 </w:t>
      </w:r>
      <w:r>
        <w:rPr>
          <w:i/>
          <w:iCs/>
        </w:rPr>
        <w:t>(95,94%)</w:t>
      </w:r>
      <w:r>
        <w:t>.</w:t>
      </w:r>
    </w:p>
    <w:p w:rsidR="00B4409B" w:rsidRDefault="0001299D">
      <w:pPr>
        <w:pStyle w:val="pj"/>
      </w:pPr>
      <w:r>
        <w:t xml:space="preserve">АДГС проведено 396 проверок и выявлено более 13 тыс. нарушений законодательства в сфере государственной службы, к дисциплинарной ответственности привлечено 80 должностных лиц. </w:t>
      </w:r>
    </w:p>
    <w:p w:rsidR="00B4409B" w:rsidRDefault="0001299D">
      <w:pPr>
        <w:pStyle w:val="pj"/>
      </w:pPr>
      <w:r>
        <w:t xml:space="preserve">По итогам проверок в госорганы внесено 345 представлений, предписаний об устранении нарушений и предложений по отмене решений, принятых с нарушением законодательства, из которых 338 исполнено </w:t>
      </w:r>
      <w:r>
        <w:rPr>
          <w:i/>
          <w:iCs/>
        </w:rPr>
        <w:t>(97,9%)</w:t>
      </w:r>
      <w:r>
        <w:t xml:space="preserve">, в том числе с отменой 57 незаконных актов. </w:t>
      </w:r>
    </w:p>
    <w:p w:rsidR="00B4409B" w:rsidRDefault="0001299D">
      <w:pPr>
        <w:pStyle w:val="pj"/>
      </w:pPr>
      <w:r>
        <w:t>В целях дальнейшего формирования сервисного госаппарата проведен общественный мониторинг по 423 наиболее востребованным госуслугам,  в котором приняло участие порядка 63 тыс. граждан. Уровень удовлетворенности населения качеством оказания госуслуг составил 81,3%, что является максимальным значением за 9 лет.</w:t>
      </w:r>
    </w:p>
    <w:p w:rsidR="00B4409B" w:rsidRDefault="0001299D">
      <w:pPr>
        <w:pStyle w:val="pj"/>
      </w:pPr>
      <w:r>
        <w:t>Подробная информация о развитии государственной службы в 2023 году представлена в Национальном докладе о состоянии государственной службы в Республике Казахстан.</w:t>
      </w:r>
    </w:p>
    <w:p w:rsidR="00B4409B" w:rsidRDefault="0001299D">
      <w:pPr>
        <w:pStyle w:val="pj"/>
      </w:pPr>
      <w:r>
        <w:lastRenderedPageBreak/>
        <w:t> </w:t>
      </w:r>
    </w:p>
    <w:p w:rsidR="00B4409B" w:rsidRDefault="0001299D">
      <w:pPr>
        <w:pStyle w:val="p"/>
      </w:pPr>
      <w:r>
        <w:t> </w:t>
      </w:r>
    </w:p>
    <w:p w:rsidR="00B4409B" w:rsidRDefault="0001299D">
      <w:pPr>
        <w:pStyle w:val="pc"/>
      </w:pPr>
      <w:bookmarkStart w:id="18" w:name="SUB1000"/>
      <w:bookmarkEnd w:id="18"/>
      <w:r>
        <w:rPr>
          <w:rStyle w:val="s1"/>
        </w:rPr>
        <w:t>10. Обеспечение неотвратимости ответственности</w:t>
      </w:r>
    </w:p>
    <w:p w:rsidR="00B4409B" w:rsidRDefault="0001299D">
      <w:pPr>
        <w:pStyle w:val="p"/>
      </w:pPr>
      <w:r>
        <w:t> </w:t>
      </w:r>
    </w:p>
    <w:p w:rsidR="00B4409B" w:rsidRDefault="0001299D">
      <w:pPr>
        <w:pStyle w:val="pj"/>
      </w:pPr>
      <w:r>
        <w:t xml:space="preserve">В 2023 году правоохранительными и специальными органами зарегистрировано 1 692 коррупционных преступления </w:t>
      </w:r>
      <w:r>
        <w:rPr>
          <w:i/>
          <w:iCs/>
        </w:rPr>
        <w:t>(2022 год - 1 724)</w:t>
      </w:r>
      <w:r>
        <w:t>.</w:t>
      </w:r>
      <w:r>
        <w:rPr>
          <w:rStyle w:val="s0"/>
        </w:rPr>
        <w:t>[4]</w:t>
      </w:r>
    </w:p>
    <w:p w:rsidR="00B4409B" w:rsidRDefault="0001299D">
      <w:pPr>
        <w:pStyle w:val="pc"/>
      </w:pPr>
      <w:r>
        <w:t> </w:t>
      </w:r>
    </w:p>
    <w:p w:rsidR="00B4409B" w:rsidRDefault="0001299D">
      <w:pPr>
        <w:pStyle w:val="pc"/>
      </w:pPr>
      <w:r>
        <w:t> </w:t>
      </w:r>
    </w:p>
    <w:p w:rsidR="00B4409B" w:rsidRDefault="0001299D">
      <w:pPr>
        <w:pStyle w:val="pc"/>
      </w:pPr>
      <w:r>
        <w:t> </w:t>
      </w:r>
    </w:p>
    <w:p w:rsidR="00B4409B" w:rsidRDefault="0001299D">
      <w:pPr>
        <w:pStyle w:val="pc"/>
      </w:pPr>
      <w:r>
        <w:t> </w:t>
      </w:r>
    </w:p>
    <w:p w:rsidR="00B4409B" w:rsidRDefault="0001299D">
      <w:pPr>
        <w:pStyle w:val="pc"/>
      </w:pPr>
      <w:r>
        <w:rPr>
          <w:i/>
          <w:iCs/>
        </w:rPr>
        <w:t>Диаграмма 1. Динамика коррупционной преступности</w:t>
      </w:r>
    </w:p>
    <w:p w:rsidR="00B4409B" w:rsidRDefault="0001299D">
      <w:pPr>
        <w:pStyle w:val="pc"/>
      </w:pPr>
      <w:r>
        <w:t> </w:t>
      </w:r>
    </w:p>
    <w:p w:rsidR="00B4409B" w:rsidRDefault="0001299D">
      <w:pPr>
        <w:pStyle w:val="pc"/>
      </w:pPr>
      <w:r>
        <w:rPr>
          <w:noProof/>
          <w:shd w:val="clear" w:color="auto" w:fill="0070C0"/>
        </w:rPr>
        <w:drawing>
          <wp:inline distT="0" distB="0" distL="0" distR="0">
            <wp:extent cx="4410075" cy="16954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92.168.0.105/api/DocumentObject/GetImageAsync?ImageId=4366496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10075" cy="1695450"/>
                    </a:xfrm>
                    <a:prstGeom prst="rect">
                      <a:avLst/>
                    </a:prstGeom>
                    <a:noFill/>
                    <a:ln>
                      <a:noFill/>
                    </a:ln>
                  </pic:spPr>
                </pic:pic>
              </a:graphicData>
            </a:graphic>
          </wp:inline>
        </w:drawing>
      </w:r>
    </w:p>
    <w:p w:rsidR="00B4409B" w:rsidRDefault="0001299D">
      <w:pPr>
        <w:pStyle w:val="pc"/>
      </w:pPr>
      <w:r>
        <w:t> </w:t>
      </w:r>
    </w:p>
    <w:p w:rsidR="00B4409B" w:rsidRDefault="0001299D">
      <w:pPr>
        <w:pStyle w:val="pc"/>
      </w:pPr>
      <w:r>
        <w:rPr>
          <w:i/>
          <w:iCs/>
        </w:rPr>
        <w:t>Таблица 1. Наиболее распространенные коррупционные преступления</w:t>
      </w:r>
    </w:p>
    <w:p w:rsidR="00B4409B" w:rsidRDefault="0001299D">
      <w:pPr>
        <w:pStyle w:val="pj"/>
      </w:pPr>
      <w:r>
        <w:t> </w:t>
      </w:r>
    </w:p>
    <w:tbl>
      <w:tblPr>
        <w:tblpPr w:leftFromText="180" w:rightFromText="180" w:vertAnchor="text"/>
        <w:tblW w:w="0" w:type="auto"/>
        <w:tblCellMar>
          <w:left w:w="0" w:type="dxa"/>
          <w:right w:w="0" w:type="dxa"/>
        </w:tblCellMar>
        <w:tblLook w:val="04A0" w:firstRow="1" w:lastRow="0" w:firstColumn="1" w:lastColumn="0" w:noHBand="0" w:noVBand="1"/>
      </w:tblPr>
      <w:tblGrid>
        <w:gridCol w:w="4245"/>
        <w:gridCol w:w="1335"/>
        <w:gridCol w:w="1335"/>
        <w:gridCol w:w="1335"/>
      </w:tblGrid>
      <w:tr w:rsidR="00B4409B">
        <w:tc>
          <w:tcPr>
            <w:tcW w:w="424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4409B" w:rsidRDefault="0001299D">
            <w:pPr>
              <w:pStyle w:val="pj"/>
            </w:pPr>
            <w:r>
              <w:rPr>
                <w:b/>
                <w:bCs/>
              </w:rPr>
              <w:t>Вид преступления</w:t>
            </w:r>
          </w:p>
        </w:tc>
        <w:tc>
          <w:tcPr>
            <w:tcW w:w="13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4409B" w:rsidRDefault="0001299D">
            <w:pPr>
              <w:pStyle w:val="pj"/>
            </w:pPr>
            <w:r>
              <w:rPr>
                <w:b/>
                <w:bCs/>
              </w:rPr>
              <w:t>2021</w:t>
            </w:r>
          </w:p>
        </w:tc>
        <w:tc>
          <w:tcPr>
            <w:tcW w:w="13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4409B" w:rsidRDefault="0001299D">
            <w:pPr>
              <w:pStyle w:val="pj"/>
            </w:pPr>
            <w:r>
              <w:rPr>
                <w:b/>
                <w:bCs/>
              </w:rPr>
              <w:t>2022</w:t>
            </w:r>
          </w:p>
        </w:tc>
        <w:tc>
          <w:tcPr>
            <w:tcW w:w="13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4409B" w:rsidRDefault="0001299D">
            <w:pPr>
              <w:pStyle w:val="pj"/>
            </w:pPr>
            <w:r>
              <w:rPr>
                <w:b/>
                <w:bCs/>
              </w:rPr>
              <w:t>2023</w:t>
            </w:r>
          </w:p>
        </w:tc>
      </w:tr>
      <w:tr w:rsidR="00B4409B">
        <w:tc>
          <w:tcPr>
            <w:tcW w:w="4245" w:type="dxa"/>
            <w:tcBorders>
              <w:top w:val="nil"/>
              <w:left w:val="single" w:sz="8" w:space="0" w:color="auto"/>
              <w:bottom w:val="single" w:sz="8" w:space="0" w:color="auto"/>
              <w:right w:val="single" w:sz="8" w:space="0" w:color="auto"/>
            </w:tcBorders>
            <w:shd w:val="clear" w:color="auto" w:fill="B1E4E3"/>
            <w:tcMar>
              <w:top w:w="0" w:type="dxa"/>
              <w:left w:w="108" w:type="dxa"/>
              <w:bottom w:w="0" w:type="dxa"/>
              <w:right w:w="108" w:type="dxa"/>
            </w:tcMar>
            <w:vAlign w:val="center"/>
            <w:hideMark/>
          </w:tcPr>
          <w:p w:rsidR="00B4409B" w:rsidRDefault="0001299D">
            <w:pPr>
              <w:pStyle w:val="pj"/>
            </w:pPr>
            <w:r>
              <w:t>Дача взятки</w:t>
            </w:r>
          </w:p>
        </w:tc>
        <w:tc>
          <w:tcPr>
            <w:tcW w:w="1335" w:type="dxa"/>
            <w:tcBorders>
              <w:top w:val="nil"/>
              <w:left w:val="nil"/>
              <w:bottom w:val="single" w:sz="8" w:space="0" w:color="auto"/>
              <w:right w:val="single" w:sz="8" w:space="0" w:color="auto"/>
            </w:tcBorders>
            <w:shd w:val="clear" w:color="auto" w:fill="B1E4E3"/>
            <w:tcMar>
              <w:top w:w="0" w:type="dxa"/>
              <w:left w:w="108" w:type="dxa"/>
              <w:bottom w:w="0" w:type="dxa"/>
              <w:right w:w="108" w:type="dxa"/>
            </w:tcMar>
            <w:vAlign w:val="center"/>
            <w:hideMark/>
          </w:tcPr>
          <w:p w:rsidR="00B4409B" w:rsidRDefault="0001299D">
            <w:pPr>
              <w:pStyle w:val="pj"/>
            </w:pPr>
            <w:r>
              <w:t>568</w:t>
            </w:r>
          </w:p>
        </w:tc>
        <w:tc>
          <w:tcPr>
            <w:tcW w:w="1335" w:type="dxa"/>
            <w:tcBorders>
              <w:top w:val="nil"/>
              <w:left w:val="nil"/>
              <w:bottom w:val="single" w:sz="8" w:space="0" w:color="auto"/>
              <w:right w:val="single" w:sz="8" w:space="0" w:color="auto"/>
            </w:tcBorders>
            <w:shd w:val="clear" w:color="auto" w:fill="B1E4E3"/>
            <w:tcMar>
              <w:top w:w="0" w:type="dxa"/>
              <w:left w:w="108" w:type="dxa"/>
              <w:bottom w:w="0" w:type="dxa"/>
              <w:right w:w="108" w:type="dxa"/>
            </w:tcMar>
            <w:vAlign w:val="center"/>
            <w:hideMark/>
          </w:tcPr>
          <w:p w:rsidR="00B4409B" w:rsidRDefault="0001299D">
            <w:pPr>
              <w:pStyle w:val="pj"/>
            </w:pPr>
            <w:r>
              <w:t>549</w:t>
            </w:r>
          </w:p>
        </w:tc>
        <w:tc>
          <w:tcPr>
            <w:tcW w:w="1335" w:type="dxa"/>
            <w:tcBorders>
              <w:top w:val="nil"/>
              <w:left w:val="nil"/>
              <w:bottom w:val="single" w:sz="8" w:space="0" w:color="auto"/>
              <w:right w:val="single" w:sz="8" w:space="0" w:color="auto"/>
            </w:tcBorders>
            <w:shd w:val="clear" w:color="auto" w:fill="B1E4E3"/>
            <w:tcMar>
              <w:top w:w="0" w:type="dxa"/>
              <w:left w:w="108" w:type="dxa"/>
              <w:bottom w:w="0" w:type="dxa"/>
              <w:right w:w="108" w:type="dxa"/>
            </w:tcMar>
            <w:vAlign w:val="center"/>
            <w:hideMark/>
          </w:tcPr>
          <w:p w:rsidR="00B4409B" w:rsidRDefault="0001299D">
            <w:pPr>
              <w:pStyle w:val="pj"/>
            </w:pPr>
            <w:r>
              <w:t>616</w:t>
            </w:r>
          </w:p>
        </w:tc>
      </w:tr>
      <w:tr w:rsidR="00B4409B">
        <w:tc>
          <w:tcPr>
            <w:tcW w:w="424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4409B" w:rsidRDefault="0001299D">
            <w:pPr>
              <w:pStyle w:val="pj"/>
            </w:pPr>
            <w:r>
              <w:t xml:space="preserve">Получение взятки </w:t>
            </w:r>
          </w:p>
        </w:tc>
        <w:tc>
          <w:tcPr>
            <w:tcW w:w="13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4409B" w:rsidRDefault="0001299D">
            <w:pPr>
              <w:pStyle w:val="pj"/>
            </w:pPr>
            <w:r>
              <w:t>449</w:t>
            </w:r>
          </w:p>
        </w:tc>
        <w:tc>
          <w:tcPr>
            <w:tcW w:w="13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4409B" w:rsidRDefault="0001299D">
            <w:pPr>
              <w:pStyle w:val="pj"/>
            </w:pPr>
            <w:r>
              <w:t>446</w:t>
            </w:r>
          </w:p>
        </w:tc>
        <w:tc>
          <w:tcPr>
            <w:tcW w:w="13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4409B" w:rsidRDefault="0001299D">
            <w:pPr>
              <w:pStyle w:val="pj"/>
            </w:pPr>
            <w:r>
              <w:t>388</w:t>
            </w:r>
          </w:p>
        </w:tc>
      </w:tr>
      <w:tr w:rsidR="00B4409B">
        <w:tc>
          <w:tcPr>
            <w:tcW w:w="4245" w:type="dxa"/>
            <w:tcBorders>
              <w:top w:val="nil"/>
              <w:left w:val="single" w:sz="8" w:space="0" w:color="auto"/>
              <w:bottom w:val="single" w:sz="8" w:space="0" w:color="auto"/>
              <w:right w:val="single" w:sz="8" w:space="0" w:color="auto"/>
            </w:tcBorders>
            <w:shd w:val="clear" w:color="auto" w:fill="B1E4E3"/>
            <w:tcMar>
              <w:top w:w="0" w:type="dxa"/>
              <w:left w:w="108" w:type="dxa"/>
              <w:bottom w:w="0" w:type="dxa"/>
              <w:right w:w="108" w:type="dxa"/>
            </w:tcMar>
            <w:vAlign w:val="center"/>
            <w:hideMark/>
          </w:tcPr>
          <w:p w:rsidR="00B4409B" w:rsidRDefault="0001299D">
            <w:pPr>
              <w:pStyle w:val="pj"/>
            </w:pPr>
            <w:r>
              <w:t>Мошенничество</w:t>
            </w:r>
          </w:p>
        </w:tc>
        <w:tc>
          <w:tcPr>
            <w:tcW w:w="1335" w:type="dxa"/>
            <w:tcBorders>
              <w:top w:val="nil"/>
              <w:left w:val="nil"/>
              <w:bottom w:val="single" w:sz="8" w:space="0" w:color="auto"/>
              <w:right w:val="single" w:sz="8" w:space="0" w:color="auto"/>
            </w:tcBorders>
            <w:shd w:val="clear" w:color="auto" w:fill="B1E4E3"/>
            <w:tcMar>
              <w:top w:w="0" w:type="dxa"/>
              <w:left w:w="108" w:type="dxa"/>
              <w:bottom w:w="0" w:type="dxa"/>
              <w:right w:w="108" w:type="dxa"/>
            </w:tcMar>
            <w:vAlign w:val="center"/>
            <w:hideMark/>
          </w:tcPr>
          <w:p w:rsidR="00B4409B" w:rsidRDefault="0001299D">
            <w:pPr>
              <w:pStyle w:val="pj"/>
            </w:pPr>
            <w:r>
              <w:t>160</w:t>
            </w:r>
          </w:p>
        </w:tc>
        <w:tc>
          <w:tcPr>
            <w:tcW w:w="1335" w:type="dxa"/>
            <w:tcBorders>
              <w:top w:val="nil"/>
              <w:left w:val="nil"/>
              <w:bottom w:val="single" w:sz="8" w:space="0" w:color="auto"/>
              <w:right w:val="single" w:sz="8" w:space="0" w:color="auto"/>
            </w:tcBorders>
            <w:shd w:val="clear" w:color="auto" w:fill="B1E4E3"/>
            <w:tcMar>
              <w:top w:w="0" w:type="dxa"/>
              <w:left w:w="108" w:type="dxa"/>
              <w:bottom w:w="0" w:type="dxa"/>
              <w:right w:w="108" w:type="dxa"/>
            </w:tcMar>
            <w:vAlign w:val="center"/>
            <w:hideMark/>
          </w:tcPr>
          <w:p w:rsidR="00B4409B" w:rsidRDefault="0001299D">
            <w:pPr>
              <w:pStyle w:val="pj"/>
            </w:pPr>
            <w:r>
              <w:t>311</w:t>
            </w:r>
          </w:p>
        </w:tc>
        <w:tc>
          <w:tcPr>
            <w:tcW w:w="1335" w:type="dxa"/>
            <w:tcBorders>
              <w:top w:val="nil"/>
              <w:left w:val="nil"/>
              <w:bottom w:val="single" w:sz="8" w:space="0" w:color="auto"/>
              <w:right w:val="single" w:sz="8" w:space="0" w:color="auto"/>
            </w:tcBorders>
            <w:shd w:val="clear" w:color="auto" w:fill="B1E4E3"/>
            <w:tcMar>
              <w:top w:w="0" w:type="dxa"/>
              <w:left w:w="108" w:type="dxa"/>
              <w:bottom w:w="0" w:type="dxa"/>
              <w:right w:w="108" w:type="dxa"/>
            </w:tcMar>
            <w:vAlign w:val="center"/>
            <w:hideMark/>
          </w:tcPr>
          <w:p w:rsidR="00B4409B" w:rsidRDefault="0001299D">
            <w:pPr>
              <w:pStyle w:val="pj"/>
            </w:pPr>
            <w:r>
              <w:t>233</w:t>
            </w:r>
          </w:p>
        </w:tc>
      </w:tr>
      <w:tr w:rsidR="00B4409B">
        <w:tc>
          <w:tcPr>
            <w:tcW w:w="424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4409B" w:rsidRDefault="0001299D">
            <w:pPr>
              <w:pStyle w:val="pj"/>
            </w:pPr>
            <w:r>
              <w:t>Злоупотребление должностными полномочиями</w:t>
            </w:r>
          </w:p>
        </w:tc>
        <w:tc>
          <w:tcPr>
            <w:tcW w:w="13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4409B" w:rsidRDefault="0001299D">
            <w:pPr>
              <w:pStyle w:val="pj"/>
            </w:pPr>
            <w:r>
              <w:t>123</w:t>
            </w:r>
          </w:p>
        </w:tc>
        <w:tc>
          <w:tcPr>
            <w:tcW w:w="13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4409B" w:rsidRDefault="0001299D">
            <w:pPr>
              <w:pStyle w:val="pj"/>
            </w:pPr>
            <w:r>
              <w:t>110</w:t>
            </w:r>
          </w:p>
        </w:tc>
        <w:tc>
          <w:tcPr>
            <w:tcW w:w="13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4409B" w:rsidRDefault="0001299D">
            <w:pPr>
              <w:pStyle w:val="pj"/>
            </w:pPr>
            <w:r>
              <w:t>133</w:t>
            </w:r>
          </w:p>
        </w:tc>
      </w:tr>
      <w:tr w:rsidR="00B4409B">
        <w:tc>
          <w:tcPr>
            <w:tcW w:w="4245" w:type="dxa"/>
            <w:tcBorders>
              <w:top w:val="nil"/>
              <w:left w:val="single" w:sz="8" w:space="0" w:color="auto"/>
              <w:bottom w:val="single" w:sz="8" w:space="0" w:color="auto"/>
              <w:right w:val="single" w:sz="8" w:space="0" w:color="auto"/>
            </w:tcBorders>
            <w:shd w:val="clear" w:color="auto" w:fill="B1E4E3"/>
            <w:tcMar>
              <w:top w:w="0" w:type="dxa"/>
              <w:left w:w="108" w:type="dxa"/>
              <w:bottom w:w="0" w:type="dxa"/>
              <w:right w:w="108" w:type="dxa"/>
            </w:tcMar>
            <w:vAlign w:val="center"/>
            <w:hideMark/>
          </w:tcPr>
          <w:p w:rsidR="00B4409B" w:rsidRDefault="0001299D">
            <w:pPr>
              <w:pStyle w:val="pj"/>
            </w:pPr>
            <w:r>
              <w:t>Присвоение или растрата вверенного чужого имущества</w:t>
            </w:r>
          </w:p>
        </w:tc>
        <w:tc>
          <w:tcPr>
            <w:tcW w:w="1335" w:type="dxa"/>
            <w:tcBorders>
              <w:top w:val="nil"/>
              <w:left w:val="nil"/>
              <w:bottom w:val="single" w:sz="8" w:space="0" w:color="auto"/>
              <w:right w:val="single" w:sz="8" w:space="0" w:color="auto"/>
            </w:tcBorders>
            <w:shd w:val="clear" w:color="auto" w:fill="B1E4E3"/>
            <w:tcMar>
              <w:top w:w="0" w:type="dxa"/>
              <w:left w:w="108" w:type="dxa"/>
              <w:bottom w:w="0" w:type="dxa"/>
              <w:right w:w="108" w:type="dxa"/>
            </w:tcMar>
            <w:vAlign w:val="center"/>
            <w:hideMark/>
          </w:tcPr>
          <w:p w:rsidR="00B4409B" w:rsidRDefault="0001299D">
            <w:pPr>
              <w:pStyle w:val="pj"/>
            </w:pPr>
            <w:r>
              <w:t>116</w:t>
            </w:r>
          </w:p>
        </w:tc>
        <w:tc>
          <w:tcPr>
            <w:tcW w:w="1335" w:type="dxa"/>
            <w:tcBorders>
              <w:top w:val="nil"/>
              <w:left w:val="nil"/>
              <w:bottom w:val="single" w:sz="8" w:space="0" w:color="auto"/>
              <w:right w:val="single" w:sz="8" w:space="0" w:color="auto"/>
            </w:tcBorders>
            <w:shd w:val="clear" w:color="auto" w:fill="B1E4E3"/>
            <w:tcMar>
              <w:top w:w="0" w:type="dxa"/>
              <w:left w:w="108" w:type="dxa"/>
              <w:bottom w:w="0" w:type="dxa"/>
              <w:right w:w="108" w:type="dxa"/>
            </w:tcMar>
            <w:vAlign w:val="center"/>
            <w:hideMark/>
          </w:tcPr>
          <w:p w:rsidR="00B4409B" w:rsidRDefault="0001299D">
            <w:pPr>
              <w:pStyle w:val="pj"/>
            </w:pPr>
            <w:r>
              <w:t>87</w:t>
            </w:r>
          </w:p>
        </w:tc>
        <w:tc>
          <w:tcPr>
            <w:tcW w:w="1335" w:type="dxa"/>
            <w:tcBorders>
              <w:top w:val="nil"/>
              <w:left w:val="nil"/>
              <w:bottom w:val="single" w:sz="8" w:space="0" w:color="auto"/>
              <w:right w:val="single" w:sz="8" w:space="0" w:color="auto"/>
            </w:tcBorders>
            <w:shd w:val="clear" w:color="auto" w:fill="B1E4E3"/>
            <w:tcMar>
              <w:top w:w="0" w:type="dxa"/>
              <w:left w:w="108" w:type="dxa"/>
              <w:bottom w:w="0" w:type="dxa"/>
              <w:right w:w="108" w:type="dxa"/>
            </w:tcMar>
            <w:vAlign w:val="center"/>
            <w:hideMark/>
          </w:tcPr>
          <w:p w:rsidR="00B4409B" w:rsidRDefault="0001299D">
            <w:pPr>
              <w:pStyle w:val="pj"/>
            </w:pPr>
            <w:r>
              <w:t>169</w:t>
            </w:r>
          </w:p>
        </w:tc>
      </w:tr>
    </w:tbl>
    <w:p w:rsidR="00B4409B" w:rsidRDefault="0001299D">
      <w:pPr>
        <w:pStyle w:val="pj"/>
      </w:pPr>
      <w:r>
        <w:t> </w:t>
      </w:r>
    </w:p>
    <w:p w:rsidR="00B4409B" w:rsidRDefault="0001299D">
      <w:pPr>
        <w:pStyle w:val="pj"/>
      </w:pPr>
      <w:r>
        <w:t> </w:t>
      </w:r>
    </w:p>
    <w:p w:rsidR="00B4409B" w:rsidRDefault="0001299D">
      <w:pPr>
        <w:pStyle w:val="pj"/>
      </w:pPr>
      <w:r>
        <w:t> </w:t>
      </w:r>
    </w:p>
    <w:p w:rsidR="00B4409B" w:rsidRDefault="0001299D">
      <w:pPr>
        <w:pStyle w:val="pj"/>
      </w:pPr>
      <w:r>
        <w:t> </w:t>
      </w:r>
    </w:p>
    <w:p w:rsidR="00B4409B" w:rsidRDefault="0001299D">
      <w:pPr>
        <w:pStyle w:val="pj"/>
      </w:pPr>
      <w:r>
        <w:t> </w:t>
      </w:r>
    </w:p>
    <w:p w:rsidR="00B4409B" w:rsidRDefault="0001299D">
      <w:pPr>
        <w:pStyle w:val="pj"/>
      </w:pPr>
      <w:r>
        <w:t> </w:t>
      </w:r>
    </w:p>
    <w:p w:rsidR="00B4409B" w:rsidRDefault="0001299D">
      <w:pPr>
        <w:pStyle w:val="pj"/>
      </w:pPr>
      <w:r>
        <w:t> </w:t>
      </w:r>
    </w:p>
    <w:p w:rsidR="00B4409B" w:rsidRDefault="0001299D">
      <w:pPr>
        <w:pStyle w:val="pj"/>
      </w:pPr>
      <w:r>
        <w:t> </w:t>
      </w:r>
    </w:p>
    <w:p w:rsidR="00B4409B" w:rsidRDefault="0001299D">
      <w:pPr>
        <w:pStyle w:val="pj"/>
      </w:pPr>
      <w:r>
        <w:t> </w:t>
      </w:r>
    </w:p>
    <w:p w:rsidR="00B4409B" w:rsidRDefault="0001299D">
      <w:pPr>
        <w:pStyle w:val="p"/>
      </w:pPr>
      <w:r>
        <w:t> </w:t>
      </w:r>
    </w:p>
    <w:p w:rsidR="00B4409B" w:rsidRDefault="0001299D">
      <w:pPr>
        <w:pStyle w:val="pj"/>
      </w:pPr>
      <w:r>
        <w:t xml:space="preserve">Общая регистрация коррупционных преступлений в целом снизилась на 2% - с 1 724 до 1 692, при этом выявление особо тяжких возросло в 1,5 раза с 34 до 57, число осужденных - на четверть, с 725 </w:t>
      </w:r>
      <w:r>
        <w:rPr>
          <w:i/>
          <w:iCs/>
        </w:rPr>
        <w:t xml:space="preserve">(493 или 68% - должностные </w:t>
      </w:r>
      <w:r>
        <w:rPr>
          <w:i/>
          <w:iCs/>
          <w:spacing w:val="-6"/>
        </w:rPr>
        <w:t>лица, 232 или 32% - физлица)</w:t>
      </w:r>
      <w:r>
        <w:rPr>
          <w:spacing w:val="-6"/>
        </w:rPr>
        <w:t xml:space="preserve"> до 916 </w:t>
      </w:r>
      <w:r>
        <w:rPr>
          <w:i/>
          <w:iCs/>
          <w:spacing w:val="-6"/>
        </w:rPr>
        <w:t>(587 или 64% - должностные лица, 329 или 36% - физлица)</w:t>
      </w:r>
      <w:r>
        <w:rPr>
          <w:spacing w:val="-6"/>
        </w:rPr>
        <w:t>.</w:t>
      </w:r>
    </w:p>
    <w:p w:rsidR="00B4409B" w:rsidRDefault="0001299D">
      <w:pPr>
        <w:pStyle w:val="pj"/>
      </w:pPr>
      <w:r>
        <w:t xml:space="preserve">Среди осужденных сотрудники (работники): органов внутренних дел - 191 </w:t>
      </w:r>
      <w:r>
        <w:rPr>
          <w:i/>
          <w:iCs/>
        </w:rPr>
        <w:t>(187)</w:t>
      </w:r>
      <w:r>
        <w:t xml:space="preserve">, акиматов и их структурных подразделений - 175 </w:t>
      </w:r>
      <w:r>
        <w:rPr>
          <w:i/>
          <w:iCs/>
        </w:rPr>
        <w:t>(150),</w:t>
      </w:r>
      <w:r>
        <w:t xml:space="preserve"> из них акимов - 7 </w:t>
      </w:r>
      <w:r>
        <w:rPr>
          <w:i/>
          <w:iCs/>
        </w:rPr>
        <w:t>(7)</w:t>
      </w:r>
      <w:r>
        <w:t xml:space="preserve">, министерства финансов - 38 </w:t>
      </w:r>
      <w:r>
        <w:rPr>
          <w:i/>
          <w:iCs/>
        </w:rPr>
        <w:t>(40)</w:t>
      </w:r>
      <w:r>
        <w:t xml:space="preserve">, министерства по чрезвычайным ситуациям - 30 </w:t>
      </w:r>
      <w:r>
        <w:rPr>
          <w:i/>
          <w:iCs/>
        </w:rPr>
        <w:t>(5)</w:t>
      </w:r>
      <w:r>
        <w:t xml:space="preserve">, министерства обороны - 27 </w:t>
      </w:r>
      <w:r>
        <w:rPr>
          <w:i/>
          <w:iCs/>
        </w:rPr>
        <w:t>(12)</w:t>
      </w:r>
      <w:r>
        <w:t xml:space="preserve">, органов национальной безопасности - 20 </w:t>
      </w:r>
      <w:r>
        <w:rPr>
          <w:i/>
          <w:iCs/>
        </w:rPr>
        <w:t>(19)</w:t>
      </w:r>
      <w:r>
        <w:t xml:space="preserve">, министерства сельского хозяйства - 17 </w:t>
      </w:r>
      <w:r>
        <w:rPr>
          <w:i/>
          <w:iCs/>
        </w:rPr>
        <w:t>(18)</w:t>
      </w:r>
      <w:r>
        <w:t xml:space="preserve">, министерства здравоохранения - 13 </w:t>
      </w:r>
      <w:r>
        <w:rPr>
          <w:i/>
          <w:iCs/>
        </w:rPr>
        <w:t>(5)</w:t>
      </w:r>
      <w:r>
        <w:t xml:space="preserve">, министерства экологии и природных ресурсов - 12 </w:t>
      </w:r>
      <w:r>
        <w:rPr>
          <w:i/>
          <w:iCs/>
        </w:rPr>
        <w:t>(7)</w:t>
      </w:r>
      <w:r>
        <w:t xml:space="preserve">, службы экономических расследований - 7 </w:t>
      </w:r>
      <w:r>
        <w:rPr>
          <w:i/>
          <w:iCs/>
        </w:rPr>
        <w:t>(5)</w:t>
      </w:r>
      <w:r>
        <w:t xml:space="preserve"> и иные лица. </w:t>
      </w:r>
    </w:p>
    <w:p w:rsidR="00B4409B" w:rsidRDefault="0001299D">
      <w:pPr>
        <w:pStyle w:val="pj"/>
      </w:pPr>
      <w:r>
        <w:t>Антикоррупционной службой зарегистрировано 1 099 коррупционных преступлений, изобличено 987 лиц.</w:t>
      </w:r>
    </w:p>
    <w:p w:rsidR="00B4409B" w:rsidRDefault="0001299D">
      <w:pPr>
        <w:pStyle w:val="pj"/>
      </w:pPr>
      <w:r>
        <w:t xml:space="preserve">Сумма возмещенного ущерба по оконченным досудебным расследованиям составила 285,1 млрд тенге </w:t>
      </w:r>
      <w:r>
        <w:rPr>
          <w:i/>
          <w:iCs/>
        </w:rPr>
        <w:t>(2022 г. - 108,5 млрд тенге)</w:t>
      </w:r>
      <w:r>
        <w:t xml:space="preserve">. Возмещенные за 2022-2023 годы 393,6 млрд тенге превышают данный показатель </w:t>
      </w:r>
      <w:r>
        <w:rPr>
          <w:i/>
          <w:iCs/>
        </w:rPr>
        <w:t>(290,6 млрд тенге)</w:t>
      </w:r>
      <w:r>
        <w:t xml:space="preserve"> за десятилетний период </w:t>
      </w:r>
      <w:r>
        <w:rPr>
          <w:i/>
          <w:iCs/>
        </w:rPr>
        <w:t>(2012-2021 гг.)</w:t>
      </w:r>
      <w:r>
        <w:t>.</w:t>
      </w:r>
    </w:p>
    <w:p w:rsidR="00B4409B" w:rsidRDefault="0001299D">
      <w:pPr>
        <w:pStyle w:val="pj"/>
      </w:pPr>
      <w:r>
        <w:lastRenderedPageBreak/>
        <w:t>За сообщение о коррупции поощрено 73 лица на сумму 22,4 млн тенге.</w:t>
      </w:r>
    </w:p>
    <w:p w:rsidR="00B4409B" w:rsidRDefault="0001299D">
      <w:pPr>
        <w:pStyle w:val="pj"/>
      </w:pPr>
      <w:r>
        <w:t xml:space="preserve">В рамках гуманизации и цифровизации уголовного процесса Агентством продолжается использование электронных средств слежения </w:t>
      </w:r>
      <w:r>
        <w:rPr>
          <w:i/>
          <w:iCs/>
        </w:rPr>
        <w:t>(браслетов)</w:t>
      </w:r>
      <w:r>
        <w:t xml:space="preserve"> для дистанционного контроля лиц, в отношении которых избрана мера пресечения, не связанная с содержанием под стражей.</w:t>
      </w:r>
    </w:p>
    <w:p w:rsidR="00B4409B" w:rsidRDefault="0001299D">
      <w:pPr>
        <w:pStyle w:val="pj"/>
      </w:pPr>
      <w:r>
        <w:t>В 2023 году браслеты применены в отношении 72 подозреваемых  </w:t>
      </w:r>
      <w:r>
        <w:rPr>
          <w:i/>
          <w:iCs/>
        </w:rPr>
        <w:t>(2020 г. - 6, 2021 г. - 27, 2022 г. - 41)</w:t>
      </w:r>
      <w:r>
        <w:t xml:space="preserve">. Данный инструмент позволяет оперативно реагировать на попытки нарушения установленного режима путем ежеминутного онлайн-контроля передвижений с доступом к истории событий. </w:t>
      </w:r>
    </w:p>
    <w:p w:rsidR="00B4409B" w:rsidRDefault="0001299D">
      <w:pPr>
        <w:pStyle w:val="pj"/>
      </w:pPr>
      <w:r>
        <w:t xml:space="preserve">Также исключается вмешательство в личную жизнь подозреваемого </w:t>
      </w:r>
      <w:r>
        <w:rPr>
          <w:i/>
          <w:iCs/>
        </w:rPr>
        <w:t>(отсутствие необходимости постоянных проверок его местонахождения по месту проживания)</w:t>
      </w:r>
      <w:r>
        <w:t xml:space="preserve"> и более рационально используются силы и средства органа.</w:t>
      </w:r>
    </w:p>
    <w:p w:rsidR="00B4409B" w:rsidRDefault="0001299D">
      <w:pPr>
        <w:pStyle w:val="pj"/>
      </w:pPr>
      <w:r>
        <w:t>За совершение административных коррупционных правонарушений привлечено к ответственности 191 лицо.</w:t>
      </w:r>
    </w:p>
    <w:p w:rsidR="00B4409B" w:rsidRDefault="0001299D">
      <w:pPr>
        <w:pStyle w:val="pj"/>
      </w:pPr>
      <w:r>
        <w:t xml:space="preserve">В целях восстановления нарушенных прав народа Казахстана, обеспечения верховенства права, социальной справедливости, устойчивого экономического и социального развития Казахстана на благо его народа принят </w:t>
      </w:r>
      <w:hyperlink r:id="rId28" w:history="1">
        <w:r>
          <w:rPr>
            <w:rStyle w:val="a5"/>
          </w:rPr>
          <w:t>Закон</w:t>
        </w:r>
      </w:hyperlink>
      <w:r>
        <w:rPr>
          <w:b/>
          <w:bCs/>
        </w:rPr>
        <w:t xml:space="preserve"> Республики Казахстан «О возврате государству незаконно приобретенных активов»</w:t>
      </w:r>
      <w:r>
        <w:t xml:space="preserve"> </w:t>
      </w:r>
      <w:r>
        <w:rPr>
          <w:i/>
          <w:iCs/>
        </w:rPr>
        <w:t>(12.07.2023 г.)</w:t>
      </w:r>
      <w:r>
        <w:t>.</w:t>
      </w:r>
    </w:p>
    <w:p w:rsidR="00B4409B" w:rsidRDefault="0001299D">
      <w:pPr>
        <w:pStyle w:val="pj"/>
      </w:pPr>
      <w:r>
        <w:t xml:space="preserve">Законом закреплены принципы возврата активов </w:t>
      </w:r>
      <w:r>
        <w:rPr>
          <w:i/>
          <w:iCs/>
        </w:rPr>
        <w:t>(законности; приоритета стимулирования добровольного возврата активов; гласности, прозрачности и подотчетности; приоритета защиты прав, свобод и интересов участников процесса; взаимодействия государства и гражданского общества; защиты гражданского оборота, прав добросовестных приобретателей и добросовестных кредиторов; пропорциональности (соразмерности) мер и механизмов по возврату активов)</w:t>
      </w:r>
      <w:r>
        <w:t>.</w:t>
      </w:r>
    </w:p>
    <w:p w:rsidR="00B4409B" w:rsidRDefault="0001299D">
      <w:pPr>
        <w:pStyle w:val="pj"/>
      </w:pPr>
      <w:r>
        <w:t>Целями Закона являются возврат активов и (или) вовлечение  их в законный экономический оборот в Республике Казахстан, устранение причин и условий, способствовавших их незаконному приобретению  и выводу, а также восстановление социальной справедливости в обществе.</w:t>
      </w:r>
    </w:p>
    <w:p w:rsidR="00B4409B" w:rsidRDefault="0001299D">
      <w:pPr>
        <w:pStyle w:val="pj"/>
      </w:pPr>
      <w:r>
        <w:t>Достижение данных целей реализуется посредством решения следующих задач:</w:t>
      </w:r>
    </w:p>
    <w:p w:rsidR="00B4409B" w:rsidRDefault="0001299D">
      <w:pPr>
        <w:pStyle w:val="pj"/>
      </w:pPr>
      <w:r>
        <w:t>1) выявление, пресечение, раскрытие и расследование правонарушений в сфере вывода активов;</w:t>
      </w:r>
    </w:p>
    <w:p w:rsidR="00B4409B" w:rsidRDefault="0001299D">
      <w:pPr>
        <w:pStyle w:val="pj"/>
      </w:pPr>
      <w:r>
        <w:rPr>
          <w:spacing w:val="-4"/>
        </w:rPr>
        <w:t>2) развитие международно-правового сотрудничества по возврату активов;</w:t>
      </w:r>
    </w:p>
    <w:p w:rsidR="00B4409B" w:rsidRDefault="0001299D">
      <w:pPr>
        <w:pStyle w:val="pj"/>
      </w:pPr>
      <w:r>
        <w:t>3) формирование государственной политики и эффективное использование возвращенных средств во благо общества;</w:t>
      </w:r>
    </w:p>
    <w:p w:rsidR="00B4409B" w:rsidRDefault="0001299D">
      <w:pPr>
        <w:pStyle w:val="pj"/>
      </w:pPr>
      <w:r>
        <w:t>4) выявление и устранение причин и условий, способствовавших незаконной концентрации экономических ресурсов, незаконному выводу активов, и устранение их последствий.</w:t>
      </w:r>
    </w:p>
    <w:p w:rsidR="00B4409B" w:rsidRDefault="0001299D">
      <w:pPr>
        <w:pStyle w:val="pj"/>
      </w:pPr>
      <w:r>
        <w:t xml:space="preserve">Создан и функционирует </w:t>
      </w:r>
      <w:r>
        <w:rPr>
          <w:b/>
          <w:bCs/>
        </w:rPr>
        <w:t>Комитет по возврату активов</w:t>
      </w:r>
      <w:r>
        <w:t xml:space="preserve"> ГП </w:t>
      </w:r>
      <w:r>
        <w:rPr>
          <w:i/>
          <w:iCs/>
        </w:rPr>
        <w:t>(</w:t>
      </w:r>
      <w:hyperlink r:id="rId29" w:history="1">
        <w:r>
          <w:rPr>
            <w:rStyle w:val="a5"/>
          </w:rPr>
          <w:t>Указ</w:t>
        </w:r>
      </w:hyperlink>
      <w:r>
        <w:rPr>
          <w:i/>
          <w:iCs/>
        </w:rPr>
        <w:t xml:space="preserve"> Президента Республики Казахстан от 05.10.2023 г. № 366)</w:t>
      </w:r>
      <w:r>
        <w:t xml:space="preserve">, который является рабочим органом </w:t>
      </w:r>
      <w:r>
        <w:rPr>
          <w:b/>
          <w:bCs/>
        </w:rPr>
        <w:t>Комиссии по вопросам возврата</w:t>
      </w:r>
      <w:r>
        <w:t xml:space="preserve"> </w:t>
      </w:r>
      <w:r>
        <w:rPr>
          <w:b/>
          <w:bCs/>
        </w:rPr>
        <w:t>государству незаконно приобретенных активов</w:t>
      </w:r>
      <w:r>
        <w:t>.</w:t>
      </w:r>
    </w:p>
    <w:p w:rsidR="00B4409B" w:rsidRDefault="0001299D">
      <w:pPr>
        <w:pStyle w:val="pj"/>
      </w:pPr>
      <w:r>
        <w:t xml:space="preserve">В правоохранительных и специальных государственных органах определены подразделения, специализирующиеся на этом направлении. </w:t>
      </w:r>
    </w:p>
    <w:p w:rsidR="00B4409B" w:rsidRDefault="0001299D">
      <w:pPr>
        <w:pStyle w:val="pj"/>
      </w:pPr>
      <w:r>
        <w:t xml:space="preserve">В Агентстве работа такого подразделения </w:t>
      </w:r>
      <w:r>
        <w:rPr>
          <w:i/>
          <w:iCs/>
        </w:rPr>
        <w:t>(Управление финансовых расследований, поиска и возврата активов)</w:t>
      </w:r>
      <w:r>
        <w:t xml:space="preserve"> нацелена на расследование уголовных деяний с признаками отмывания преступных денег и принятие своевременных мер по выявлению и возврату активов.</w:t>
      </w:r>
    </w:p>
    <w:p w:rsidR="00B4409B" w:rsidRDefault="0001299D">
      <w:pPr>
        <w:pStyle w:val="pj"/>
      </w:pPr>
      <w:r>
        <w:t xml:space="preserve">В результате принятых Агентством мер государству и субъектам квазигосударственного сектора возвращены незаконно приобретенные активы на сумму порядка </w:t>
      </w:r>
      <w:r>
        <w:rPr>
          <w:b/>
          <w:bCs/>
        </w:rPr>
        <w:t>1 трлн тенге</w:t>
      </w:r>
      <w:r>
        <w:t xml:space="preserve"> </w:t>
      </w:r>
      <w:r>
        <w:rPr>
          <w:i/>
          <w:iCs/>
        </w:rPr>
        <w:t>(за 2022-2023 годы - 912 млрд тенге)</w:t>
      </w:r>
      <w:r>
        <w:t>.</w:t>
      </w:r>
    </w:p>
    <w:p w:rsidR="00B4409B" w:rsidRDefault="0001299D">
      <w:pPr>
        <w:pStyle w:val="pj"/>
      </w:pPr>
      <w:r>
        <w:lastRenderedPageBreak/>
        <w:t>Эта работа является реализацией основополагающего принципа Конвенции ООН против коррупции - обеспечение поиска и возврата преступных активов.</w:t>
      </w:r>
    </w:p>
    <w:p w:rsidR="00B4409B" w:rsidRDefault="0001299D">
      <w:pPr>
        <w:pStyle w:val="pj"/>
      </w:pPr>
      <w:r>
        <w:t xml:space="preserve">В рамках исполнения рекомендаций Группы разработки финансовых мер борьбы с отмыванием денег </w:t>
      </w:r>
      <w:r>
        <w:rPr>
          <w:i/>
          <w:iCs/>
        </w:rPr>
        <w:t>(ФАТФ)</w:t>
      </w:r>
      <w:r>
        <w:t xml:space="preserve"> и ГРЕКО Антикоррупционная служба и финансовая разведка АФМ активно выстраивают стратегическое партнерство, направленное на повышение эффективности выявления коррупционных преступных доходов.</w:t>
      </w:r>
    </w:p>
    <w:p w:rsidR="00B4409B" w:rsidRDefault="0001299D">
      <w:pPr>
        <w:pStyle w:val="pj"/>
      </w:pPr>
      <w:r>
        <w:t xml:space="preserve">В процессе работы используются такие международные инструменты, как неформальные каналы связи Группы Эгмонт, сети CARIN </w:t>
      </w:r>
      <w:r>
        <w:rPr>
          <w:i/>
          <w:iCs/>
        </w:rPr>
        <w:t>(Европа)</w:t>
      </w:r>
      <w:r>
        <w:t xml:space="preserve">,  ARIN </w:t>
      </w:r>
      <w:r>
        <w:rPr>
          <w:i/>
          <w:iCs/>
        </w:rPr>
        <w:t>(Азия)</w:t>
      </w:r>
      <w:r>
        <w:t>, GlobE, которые позволяют значительно сократить время обмена информацией с иностранными партнерами.</w:t>
      </w:r>
    </w:p>
    <w:p w:rsidR="00B4409B" w:rsidRDefault="0001299D">
      <w:pPr>
        <w:pStyle w:val="pj"/>
      </w:pPr>
      <w:r>
        <w:t xml:space="preserve">Также во исполнение поручения Главы государства продолжает работу «Фонд поддержки инфраструктуры образования», куда поступают средства,  в том числе конфискованные в рамках расследований, связанных с коррупцией </w:t>
      </w:r>
      <w:r>
        <w:rPr>
          <w:i/>
          <w:iCs/>
        </w:rPr>
        <w:t>(по итогам 2023 года в нем аккумулировано свыше 152,9 млрд тенге)</w:t>
      </w:r>
      <w:r>
        <w:t xml:space="preserve">. </w:t>
      </w:r>
    </w:p>
    <w:p w:rsidR="00B4409B" w:rsidRDefault="0001299D">
      <w:pPr>
        <w:pStyle w:val="pj"/>
      </w:pPr>
      <w:r>
        <w:t>Денежные средства направляются исключительно на социальные нужды. На средства Фонда построены и введены в эксплуатацию 43 школы, на стадии завершения - 19, в 2025 году запланировано строительство еще  20 школ.</w:t>
      </w:r>
    </w:p>
    <w:p w:rsidR="00B4409B" w:rsidRDefault="0001299D">
      <w:pPr>
        <w:pStyle w:val="pj"/>
      </w:pPr>
      <w:r>
        <w:t> </w:t>
      </w:r>
    </w:p>
    <w:p w:rsidR="00B4409B" w:rsidRDefault="0001299D">
      <w:pPr>
        <w:pStyle w:val="pc"/>
      </w:pPr>
      <w:bookmarkStart w:id="19" w:name="SUB1100"/>
      <w:bookmarkEnd w:id="19"/>
      <w:r>
        <w:rPr>
          <w:rStyle w:val="s1"/>
        </w:rPr>
        <w:t>11. Новые антикоррупционные инструменты</w:t>
      </w:r>
    </w:p>
    <w:p w:rsidR="00B4409B" w:rsidRDefault="0001299D">
      <w:pPr>
        <w:pStyle w:val="p"/>
      </w:pPr>
      <w:r>
        <w:t> </w:t>
      </w:r>
    </w:p>
    <w:p w:rsidR="00B4409B" w:rsidRDefault="0001299D">
      <w:pPr>
        <w:pStyle w:val="pj"/>
      </w:pPr>
      <w:r>
        <w:t xml:space="preserve">Во исполнение Концепции антикоррупционной политики 3 января 2023 года принят Закон, предусматривающий </w:t>
      </w:r>
      <w:r>
        <w:rPr>
          <w:b/>
          <w:bCs/>
        </w:rPr>
        <w:t>ответственность чиновников за необоснованное обогащение</w:t>
      </w:r>
      <w:r>
        <w:t>.</w:t>
      </w:r>
    </w:p>
    <w:p w:rsidR="00B4409B" w:rsidRDefault="0001299D">
      <w:pPr>
        <w:pStyle w:val="pj"/>
      </w:pPr>
      <w:r>
        <w:t xml:space="preserve">Предусмотрены фискальные и карьерные санкции в случае несоответствия расходов чиновника его доходам. Так, превышение более чем на 1000 </w:t>
      </w:r>
      <w:r>
        <w:rPr>
          <w:rStyle w:val="s0"/>
        </w:rPr>
        <w:t>месячных расчетных показателей</w:t>
      </w:r>
      <w:r>
        <w:t xml:space="preserve"> влечет административный штраф  в размере 90% от выявленного превышения. Если же разница между расходами чиновника и суммой доходов превышает его годовой доход, то чиновник подлежит увольнению по отрицательным мотивам.</w:t>
      </w:r>
    </w:p>
    <w:p w:rsidR="00B4409B" w:rsidRDefault="0001299D">
      <w:pPr>
        <w:pStyle w:val="pj"/>
      </w:pPr>
      <w:r>
        <w:t xml:space="preserve">Значимой законодательной новеллой стало </w:t>
      </w:r>
      <w:r>
        <w:rPr>
          <w:b/>
          <w:bCs/>
        </w:rPr>
        <w:t>усиление гарантий защиты лиц, сообщивших о фактах коррупции</w:t>
      </w:r>
      <w:r>
        <w:t>. Поправки направлены на защиту их трудовых интересов, а также установление уголовной ответственности  за разглашение информации о них.</w:t>
      </w:r>
    </w:p>
    <w:p w:rsidR="00B4409B" w:rsidRDefault="0001299D">
      <w:pPr>
        <w:pStyle w:val="pj"/>
      </w:pPr>
      <w:r>
        <w:t xml:space="preserve">По результатам пилотной апробации проверки на добропорядочность </w:t>
      </w:r>
      <w:r>
        <w:rPr>
          <w:b/>
          <w:bCs/>
        </w:rPr>
        <w:t>«Integrity Check»</w:t>
      </w:r>
      <w:r>
        <w:t xml:space="preserve"> </w:t>
      </w:r>
      <w:r>
        <w:rPr>
          <w:i/>
          <w:iCs/>
        </w:rPr>
        <w:t>(в Агентстве, АФМ, МВД и МЧС)</w:t>
      </w:r>
      <w:r>
        <w:t xml:space="preserve"> разработан проект отдельного закона по внедрению данного эффективного инструмента во всех правоохранительных органах.</w:t>
      </w:r>
    </w:p>
    <w:p w:rsidR="00B4409B" w:rsidRDefault="0001299D">
      <w:pPr>
        <w:pStyle w:val="pj"/>
      </w:pPr>
      <w:r>
        <w:t>Результаты пилота подтвердили высокий превентивный потенциал данного инструмента.</w:t>
      </w:r>
    </w:p>
    <w:p w:rsidR="00B4409B" w:rsidRDefault="0001299D">
      <w:pPr>
        <w:pStyle w:val="pj"/>
      </w:pPr>
      <w:r>
        <w:t xml:space="preserve">К примеру, в Антикоррупционной службе 183 сотрудника, в отношении которых даже не осуществлялись проверочные мероприятия, сообщили о незаконных предложениях со стороны третьих лиц </w:t>
      </w:r>
      <w:r>
        <w:rPr>
          <w:i/>
          <w:iCs/>
        </w:rPr>
        <w:t>(до начала проекта таких сообщений не поступало)</w:t>
      </w:r>
      <w:r>
        <w:t>.</w:t>
      </w:r>
    </w:p>
    <w:p w:rsidR="00B4409B" w:rsidRDefault="0001299D">
      <w:pPr>
        <w:pStyle w:val="pj"/>
      </w:pPr>
      <w:r>
        <w:t>В органах внутренних дел сотрудники стали более ответственно исполнять свои обязанности, оперативно реагировать на обращения, корректно и вежливо отвечать гражданам, что соответствует принципам сервисной модели и клиентоориентированности.</w:t>
      </w:r>
    </w:p>
    <w:p w:rsidR="00B4409B" w:rsidRDefault="0001299D">
      <w:pPr>
        <w:pStyle w:val="pj"/>
      </w:pPr>
      <w:r>
        <w:t xml:space="preserve">В 8 раз </w:t>
      </w:r>
      <w:r>
        <w:rPr>
          <w:i/>
          <w:iCs/>
        </w:rPr>
        <w:t xml:space="preserve">(с 96 до 763) </w:t>
      </w:r>
      <w:r>
        <w:t xml:space="preserve">увеличилось количество рапортов о попытках подкупа, по 121 из которых начаты досудебные расследования </w:t>
      </w:r>
      <w:r>
        <w:rPr>
          <w:i/>
          <w:iCs/>
        </w:rPr>
        <w:t>(ст. 367 УК)</w:t>
      </w:r>
      <w:r>
        <w:t xml:space="preserve">. Впервые за последние несколько лет уровень коррупции в патрульной полиции снизился на 54% </w:t>
      </w:r>
      <w:r>
        <w:rPr>
          <w:i/>
          <w:iCs/>
        </w:rPr>
        <w:t>(с 84 до 39)</w:t>
      </w:r>
      <w:r>
        <w:t xml:space="preserve">, в миграционной службе - на 47% </w:t>
      </w:r>
      <w:r>
        <w:rPr>
          <w:i/>
          <w:iCs/>
        </w:rPr>
        <w:t>(с 19 до 10)</w:t>
      </w:r>
      <w:r>
        <w:t>.</w:t>
      </w:r>
    </w:p>
    <w:p w:rsidR="00B4409B" w:rsidRDefault="0001299D">
      <w:pPr>
        <w:pStyle w:val="pj"/>
      </w:pPr>
      <w:r>
        <w:t>Все это свидетельствует о тенденции повышения антикоррупционного иммунитета у сотрудников полиции.</w:t>
      </w:r>
    </w:p>
    <w:p w:rsidR="00B4409B" w:rsidRDefault="0001299D">
      <w:pPr>
        <w:pStyle w:val="pj"/>
      </w:pPr>
      <w:r>
        <w:t>Поиск и внедрение новых антикоррупционных инструментов на основе передового международного опыта продолжается.</w:t>
      </w:r>
    </w:p>
    <w:p w:rsidR="00B4409B" w:rsidRDefault="0001299D">
      <w:pPr>
        <w:pStyle w:val="pj"/>
      </w:pPr>
      <w:r>
        <w:lastRenderedPageBreak/>
        <w:t> </w:t>
      </w:r>
    </w:p>
    <w:p w:rsidR="00B4409B" w:rsidRDefault="0001299D">
      <w:pPr>
        <w:pStyle w:val="pc"/>
      </w:pPr>
      <w:bookmarkStart w:id="20" w:name="SUB1200"/>
      <w:bookmarkEnd w:id="20"/>
      <w:r>
        <w:rPr>
          <w:rStyle w:val="s1"/>
        </w:rPr>
        <w:t>12. Международное сотрудничество</w:t>
      </w:r>
    </w:p>
    <w:p w:rsidR="00B4409B" w:rsidRDefault="0001299D">
      <w:pPr>
        <w:pStyle w:val="p"/>
      </w:pPr>
      <w:r>
        <w:t> </w:t>
      </w:r>
    </w:p>
    <w:p w:rsidR="00B4409B" w:rsidRDefault="0001299D">
      <w:pPr>
        <w:pStyle w:val="pj"/>
      </w:pPr>
      <w:r>
        <w:t>В 2023 году была продолжена работа по участию в инициативах международных организаций, а также по представлению интересов Казахстана на зарубежных антикоррупционных площадках.</w:t>
      </w:r>
    </w:p>
    <w:p w:rsidR="00B4409B" w:rsidRDefault="0001299D">
      <w:pPr>
        <w:pStyle w:val="pj"/>
      </w:pPr>
      <w:r>
        <w:t xml:space="preserve">Особое внимание уделено имплементации в национальное законодательство международных антикоррупционных стандартов, в том числе рекомендаций </w:t>
      </w:r>
      <w:r>
        <w:rPr>
          <w:b/>
          <w:bCs/>
        </w:rPr>
        <w:t>ГРЕКО</w:t>
      </w:r>
      <w:r>
        <w:t>.</w:t>
      </w:r>
    </w:p>
    <w:p w:rsidR="00B4409B" w:rsidRDefault="0001299D">
      <w:pPr>
        <w:pStyle w:val="pj"/>
      </w:pPr>
      <w:r>
        <w:t>Агентством совместно с 17 заинтересованными госорганами проведена комплексная работа по реализации 27 рекомендаций совмещенных 1-го и 2-го раундов оценки ГРЕКО.</w:t>
      </w:r>
    </w:p>
    <w:p w:rsidR="00B4409B" w:rsidRDefault="0001299D">
      <w:pPr>
        <w:pStyle w:val="pj"/>
      </w:pPr>
      <w:r>
        <w:t>Приняты меры по совершенствованию антикоррупционного законодательства, в том числе по усилению гарантий лиц, сообщающих о коррупции, возврату преступных доходов, установлению реестра бенефициарных собственников, урегулированию правил поведения госслужащих и др.</w:t>
      </w:r>
    </w:p>
    <w:p w:rsidR="00B4409B" w:rsidRDefault="0001299D">
      <w:pPr>
        <w:pStyle w:val="pj"/>
      </w:pPr>
      <w:r>
        <w:t>Агентством налажено сотрудничество с Департаментом экономических преступлений и взаимодействия Совета Европы. Разработан План совместных мероприятий, направленный на эффективную реализацию рекомендаций ГРЕКО и рассмотрение других актуальных вопросов борьбы с коррупцией.</w:t>
      </w:r>
    </w:p>
    <w:p w:rsidR="00B4409B" w:rsidRDefault="0001299D">
      <w:pPr>
        <w:pStyle w:val="pj"/>
      </w:pPr>
      <w:r>
        <w:t xml:space="preserve">В рамках данного плана проведен ряд мероприятий регионального характера для Казахстана и стран Центральной Азии с привлечением ведущих европейских экспертов. </w:t>
      </w:r>
    </w:p>
    <w:p w:rsidR="00B4409B" w:rsidRDefault="0001299D">
      <w:pPr>
        <w:pStyle w:val="pj"/>
      </w:pPr>
      <w:r>
        <w:t>К примеру, Советом Европы для госорганов Казахстана проведен обучающий семинар по изучению опыта государств-членов ГРЕКО по реализации рекомендаций, а также проведены семинары и тренинги  по вопросам финансовых расследований и межведомственного сотрудничества в борьбе с коррупцией и отмыванием денег, изучения международных стандартов прозрачности бенефициарной собственности, злоупотребления виртуальными активами</w:t>
      </w:r>
      <w:r>
        <w:rPr>
          <w:i/>
          <w:iCs/>
        </w:rPr>
        <w:t>.</w:t>
      </w:r>
    </w:p>
    <w:p w:rsidR="00B4409B" w:rsidRDefault="0001299D">
      <w:pPr>
        <w:pStyle w:val="pj"/>
      </w:pPr>
      <w:r>
        <w:t>Кроме того, в отношении Казахстана начался 3-й раунд оценки ГРЕКО по следующим темам: криминализация коррупционных деяний и прозрачность финансирования политических партий.</w:t>
      </w:r>
    </w:p>
    <w:p w:rsidR="00B4409B" w:rsidRDefault="0001299D">
      <w:pPr>
        <w:pStyle w:val="pj"/>
      </w:pPr>
      <w:r>
        <w:t xml:space="preserve">Наряду с этим, Казахстан и Финляндия отобраны для проведения оценки исполнения Чехией рекомендаций 5-го раунда оценки ГРЕКО </w:t>
      </w:r>
      <w:r>
        <w:rPr>
          <w:i/>
          <w:iCs/>
        </w:rPr>
        <w:t>(Финляндия -  по вопросу добропорядочности высших должностных лиц, Казахстан - по вопросу предупреждения коррупции в правоохранительных органах)</w:t>
      </w:r>
      <w:r>
        <w:t>.</w:t>
      </w:r>
    </w:p>
    <w:p w:rsidR="00B4409B" w:rsidRDefault="0001299D">
      <w:pPr>
        <w:pStyle w:val="pj"/>
      </w:pPr>
      <w:r>
        <w:t xml:space="preserve">Также приоритетным направлением деятельности Агентства является взаимодействие с Организацией экономического сотрудничества и развития </w:t>
      </w:r>
      <w:r>
        <w:rPr>
          <w:i/>
          <w:iCs/>
        </w:rPr>
        <w:t>(далее - ОЭСР)</w:t>
      </w:r>
      <w:r>
        <w:t xml:space="preserve">, УНП ООН, Организацией по безопасности и сотрудничеству  в Европе </w:t>
      </w:r>
      <w:r>
        <w:rPr>
          <w:i/>
          <w:iCs/>
        </w:rPr>
        <w:t>(далее - ОБСЕ)</w:t>
      </w:r>
      <w:r>
        <w:t xml:space="preserve"> и другими международными организациями. </w:t>
      </w:r>
    </w:p>
    <w:p w:rsidR="00B4409B" w:rsidRDefault="0001299D">
      <w:pPr>
        <w:pStyle w:val="pj"/>
      </w:pPr>
      <w:r>
        <w:t xml:space="preserve">В рамках этой работы в г. Астане </w:t>
      </w:r>
      <w:r>
        <w:rPr>
          <w:i/>
          <w:iCs/>
        </w:rPr>
        <w:t>(сентябрь 2023 года)</w:t>
      </w:r>
      <w:r>
        <w:t xml:space="preserve"> прошла 13-я встреча Сети правоохранительных органов </w:t>
      </w:r>
      <w:r>
        <w:rPr>
          <w:b/>
          <w:bCs/>
        </w:rPr>
        <w:t>Антикоррупционной сети ОЭСР</w:t>
      </w:r>
      <w:r>
        <w:t xml:space="preserve"> для стран Восточной Европы и Центральной Азии </w:t>
      </w:r>
      <w:r>
        <w:rPr>
          <w:i/>
          <w:iCs/>
        </w:rPr>
        <w:t>(далее - АКС ОЭСР)</w:t>
      </w:r>
      <w:r>
        <w:t xml:space="preserve"> с участием представителей из 24 стран, в том числе из стран-членов Рабочей группы ОЭСР по взяточничеству. </w:t>
      </w:r>
    </w:p>
    <w:p w:rsidR="00B4409B" w:rsidRDefault="0001299D">
      <w:pPr>
        <w:pStyle w:val="pj"/>
      </w:pPr>
      <w:r>
        <w:t xml:space="preserve">В ходе мероприятия правоохранительные органы стран поделились опытом и знаниями о последних тенденциях и проблемах в сфере борьбы с коррупцией. </w:t>
      </w:r>
    </w:p>
    <w:p w:rsidR="00B4409B" w:rsidRDefault="0001299D">
      <w:pPr>
        <w:pStyle w:val="pj"/>
      </w:pPr>
      <w:r>
        <w:t>В 2023 году стартовал Антикоррупционный проект АКС ОЭСР по повышению качества и эффективности выявления, расследования и уголовного преследования фактов коррупции и применения конфискационных мер, а также санкций по делам о коррупции. Данный проект предусматривает проведение серии тренингов, семинаров и научного исследования ОЭСР для правоохранительных органов Казахстана, расследующих коррупционные дела.</w:t>
      </w:r>
    </w:p>
    <w:p w:rsidR="00B4409B" w:rsidRDefault="0001299D">
      <w:pPr>
        <w:pStyle w:val="pj"/>
      </w:pPr>
      <w:r>
        <w:t xml:space="preserve">В конце 2023 года в Казахстане начался 5-й раунд мониторинга Стамбульского плана действий АКС ОЭСР. Оценка охватывает 9 блоков: антикоррупционная политика, </w:t>
      </w:r>
      <w:r>
        <w:lastRenderedPageBreak/>
        <w:t xml:space="preserve">конфликт интересов и декларация активов, защита осведомителей, добропорядочность бизнеса, добропорядочность в публичных закупках, независимость судебной власти, независимость органов прокуратуры, специализированные антикоррупционные институции, привлечение к ответственности за коррупционные правонарушения. </w:t>
      </w:r>
    </w:p>
    <w:p w:rsidR="00B4409B" w:rsidRDefault="0001299D">
      <w:pPr>
        <w:pStyle w:val="pj"/>
      </w:pPr>
      <w:r>
        <w:t>В процессе оценки в качестве респондентов выступают государственные органы, квазигосударственные компании, неправительственные и международные организации, НПП и др.</w:t>
      </w:r>
    </w:p>
    <w:p w:rsidR="00B4409B" w:rsidRDefault="0001299D">
      <w:pPr>
        <w:pStyle w:val="pj"/>
      </w:pPr>
      <w:r>
        <w:t xml:space="preserve">Совместно с УНП ООН проведена серия мероприятий, направленных на обучение и подготовку тренеров в области антикоррупционного комплаенса, финансовых расследований, антикоррупционного анализа и мониторинга. </w:t>
      </w:r>
    </w:p>
    <w:p w:rsidR="00B4409B" w:rsidRDefault="0001299D">
      <w:pPr>
        <w:pStyle w:val="pj"/>
      </w:pPr>
      <w:r>
        <w:t>Так, 18-19 мая 2023 года в г. Алматы Агентством совместно с УНП ООН проведен международный семинар на тему «Усиление должной осмотрительности и сотрудничества в области противодействия коррупции  в инвестиционных проектах».</w:t>
      </w:r>
    </w:p>
    <w:p w:rsidR="00B4409B" w:rsidRDefault="0001299D">
      <w:pPr>
        <w:pStyle w:val="pj"/>
      </w:pPr>
      <w:r>
        <w:t xml:space="preserve">Участие приняли 76 экспертов из 14 стран, расположенных вдоль «Шелкового пути» </w:t>
      </w:r>
      <w:r>
        <w:rPr>
          <w:i/>
          <w:iCs/>
        </w:rPr>
        <w:t>(Азербайджан, Албания, Армения, Босния и Герцеговина, Грузия, Иран, Казахстан, Китай, Кыргызстан, Монголия, Таджикистан, Турция, Узбекистан и Черногория)</w:t>
      </w:r>
      <w:r>
        <w:t>.</w:t>
      </w:r>
    </w:p>
    <w:p w:rsidR="00B4409B" w:rsidRDefault="0001299D">
      <w:pPr>
        <w:pStyle w:val="pj"/>
      </w:pPr>
      <w:r>
        <w:t xml:space="preserve">С 17 по 20 октября 2023 года в городах Пекин и Сиянь </w:t>
      </w:r>
      <w:r>
        <w:rPr>
          <w:i/>
          <w:iCs/>
        </w:rPr>
        <w:t>(КНР)</w:t>
      </w:r>
      <w:r>
        <w:t xml:space="preserve"> состоялся антикоррупционный форум, посвященный инициативе по созданию «Чистого Шелкового пути» в рамках 3-го Форума международного сотрудничества «Один пояс, один путь», на котором презентован антикоррупционный опыт Казахстана, в том числе итоги семинара, состоявшегося в г. Алматы.</w:t>
      </w:r>
    </w:p>
    <w:p w:rsidR="00B4409B" w:rsidRDefault="0001299D">
      <w:pPr>
        <w:pStyle w:val="pj"/>
      </w:pPr>
      <w:r>
        <w:t xml:space="preserve">3 ноября 2023 года состоялся запуск региональной платформы  по ускоренной реализации положений </w:t>
      </w:r>
      <w:hyperlink r:id="rId30" w:history="1">
        <w:r>
          <w:rPr>
            <w:rStyle w:val="a5"/>
          </w:rPr>
          <w:t>Конвенции</w:t>
        </w:r>
      </w:hyperlink>
      <w:r>
        <w:t xml:space="preserve"> ООН против коррупции  в странах Центральной Азии. Это постоянно действующая площадка,  на которой антикоррупционные ведомства региона будут вырабатывать совместные меры по противодействию коррупции.</w:t>
      </w:r>
    </w:p>
    <w:p w:rsidR="00B4409B" w:rsidRDefault="0001299D">
      <w:pPr>
        <w:pStyle w:val="pj"/>
      </w:pPr>
      <w:r>
        <w:t xml:space="preserve">В рамках взаимодействия с </w:t>
      </w:r>
      <w:r>
        <w:rPr>
          <w:b/>
          <w:bCs/>
        </w:rPr>
        <w:t>ОБСЕ</w:t>
      </w:r>
      <w:r>
        <w:t xml:space="preserve"> для сотрудников Агентства проведены тренинги по финансовым расследованиям, большим данным и криптовалюте. </w:t>
      </w:r>
    </w:p>
    <w:p w:rsidR="00B4409B" w:rsidRDefault="0001299D">
      <w:pPr>
        <w:pStyle w:val="pj"/>
      </w:pPr>
      <w:r>
        <w:t>Продолжилось взаимодействие с Антикоррупционным агентством Франции в рамках подписанного в 2022 году меморандума</w:t>
      </w:r>
      <w:r>
        <w:rPr>
          <w:i/>
          <w:iCs/>
        </w:rPr>
        <w:t>.</w:t>
      </w:r>
      <w:r>
        <w:t xml:space="preserve"> В 2023 году состоялась встреча на уровне руководителей ведомств, в ходе которой стороны обменялись опытом в сфере превенции коррупции.</w:t>
      </w:r>
    </w:p>
    <w:p w:rsidR="00B4409B" w:rsidRDefault="0001299D">
      <w:pPr>
        <w:pStyle w:val="pj"/>
      </w:pPr>
      <w:r>
        <w:t>Кроме того, в 2023 году подписаны меморандумы о сотрудничестве между Агентством и антикоррупционными ведомствами Таджикистана и Монголии.</w:t>
      </w:r>
    </w:p>
    <w:p w:rsidR="00B4409B" w:rsidRDefault="0001299D">
      <w:pPr>
        <w:pStyle w:val="pj"/>
      </w:pPr>
      <w:r>
        <w:t>5 декабря 2023 года состоялся Антикоррупционный форум, приуроченный к Международному дню борьбы с коррупцией и 20-летию Конвенции ООН против коррупции.</w:t>
      </w:r>
    </w:p>
    <w:p w:rsidR="00B4409B" w:rsidRDefault="0001299D">
      <w:pPr>
        <w:pStyle w:val="pj"/>
      </w:pPr>
      <w:r>
        <w:rPr>
          <w:spacing w:val="-4"/>
        </w:rPr>
        <w:t xml:space="preserve">В работе Форума приняли активное участие депутаты Парламента, представители государственных органов, бизнес-среды, общественности, дипломатических представительств </w:t>
      </w:r>
      <w:r>
        <w:rPr>
          <w:i/>
          <w:iCs/>
          <w:spacing w:val="-4"/>
        </w:rPr>
        <w:t>(Азербайджан, Вьетнам, Катар, Литва, ОАЭ, США, Турция, Узбекистан, Финляндия, Франция, Швейцария, Швеция)</w:t>
      </w:r>
      <w:r>
        <w:rPr>
          <w:spacing w:val="-4"/>
        </w:rPr>
        <w:t>, а также антикоррупционные волонтеры и представители неправительственных организаций, которые внесли вклад в снижение уровня коррупции в стране через реализацию антикоррупционных инициатив.</w:t>
      </w:r>
    </w:p>
    <w:p w:rsidR="00B4409B" w:rsidRDefault="0001299D">
      <w:pPr>
        <w:pStyle w:val="pj"/>
      </w:pPr>
      <w:r>
        <w:t> </w:t>
      </w:r>
    </w:p>
    <w:p w:rsidR="00B4409B" w:rsidRDefault="0001299D">
      <w:pPr>
        <w:pStyle w:val="pj"/>
      </w:pPr>
      <w:r>
        <w:t> </w:t>
      </w:r>
    </w:p>
    <w:p w:rsidR="00B4409B" w:rsidRDefault="0001299D">
      <w:pPr>
        <w:pStyle w:val="pc"/>
      </w:pPr>
      <w:bookmarkStart w:id="21" w:name="SUB1300"/>
      <w:bookmarkEnd w:id="21"/>
      <w:r>
        <w:rPr>
          <w:rStyle w:val="s1"/>
        </w:rPr>
        <w:t>13. Исследования и рейтинги в сфере противодействия коррупции. Состояние и тенденции распространения коррупции на международном уровне</w:t>
      </w:r>
    </w:p>
    <w:p w:rsidR="00B4409B" w:rsidRDefault="0001299D">
      <w:pPr>
        <w:pStyle w:val="pj"/>
        <w:ind w:firstLine="0"/>
        <w:jc w:val="left"/>
      </w:pPr>
      <w:r>
        <w:t> </w:t>
      </w:r>
    </w:p>
    <w:p w:rsidR="00B4409B" w:rsidRDefault="0001299D">
      <w:pPr>
        <w:pStyle w:val="pj"/>
      </w:pPr>
      <w:r>
        <w:t xml:space="preserve">В 2023 году Центром исследовательских услуг «Аманат» проведено </w:t>
      </w:r>
      <w:r>
        <w:rPr>
          <w:b/>
          <w:bCs/>
        </w:rPr>
        <w:t>социологическое исследование</w:t>
      </w:r>
      <w:r>
        <w:t xml:space="preserve"> </w:t>
      </w:r>
      <w:r>
        <w:rPr>
          <w:i/>
          <w:iCs/>
        </w:rPr>
        <w:t>(10 тыс. респондентов со всех регионов страны)</w:t>
      </w:r>
      <w:r>
        <w:t xml:space="preserve"> по определению уровня антикоррупционной культуры и нетерпимости к проявлениям коррупции среди трех целевых групп </w:t>
      </w:r>
      <w:r>
        <w:rPr>
          <w:i/>
          <w:iCs/>
        </w:rPr>
        <w:t>(население, бизнес, студенческая молодежь)</w:t>
      </w:r>
      <w:r>
        <w:t xml:space="preserve">. </w:t>
      </w:r>
    </w:p>
    <w:p w:rsidR="00B4409B" w:rsidRDefault="0001299D">
      <w:pPr>
        <w:pStyle w:val="pj"/>
      </w:pPr>
      <w:r>
        <w:lastRenderedPageBreak/>
        <w:t xml:space="preserve">Доля граждан, выразивших готовность внести личный вклад в снижение уровня коррупции, составила 66% </w:t>
      </w:r>
      <w:r>
        <w:rPr>
          <w:i/>
          <w:iCs/>
        </w:rPr>
        <w:t>(2022г. - 64,9%)</w:t>
      </w:r>
      <w:r>
        <w:t xml:space="preserve">. 76,7% граждан, 74,8% представителей бизнеса, 57,64% студенческой молодежи подтвердили готовность сообщить о коррупционном правонарушении.  </w:t>
      </w:r>
    </w:p>
    <w:p w:rsidR="00B4409B" w:rsidRDefault="0001299D">
      <w:pPr>
        <w:pStyle w:val="pj"/>
      </w:pPr>
      <w:r>
        <w:t xml:space="preserve">По мнению респондентов, наиболее распространенными местами возникновения коррупционных ситуаций являются коммунальные госпредприятия </w:t>
      </w:r>
      <w:r>
        <w:rPr>
          <w:i/>
          <w:iCs/>
        </w:rPr>
        <w:t>(31,3%)</w:t>
      </w:r>
      <w:r>
        <w:t xml:space="preserve">, медицинские учреждения </w:t>
      </w:r>
      <w:r>
        <w:rPr>
          <w:i/>
          <w:iCs/>
        </w:rPr>
        <w:t>(25,3%)</w:t>
      </w:r>
      <w:r>
        <w:t xml:space="preserve">, местные исполнительные </w:t>
      </w:r>
      <w:r>
        <w:rPr>
          <w:i/>
          <w:iCs/>
        </w:rPr>
        <w:t>(23,70%)</w:t>
      </w:r>
      <w:r>
        <w:t xml:space="preserve"> и правоохранительные органы </w:t>
      </w:r>
      <w:r>
        <w:rPr>
          <w:i/>
          <w:iCs/>
        </w:rPr>
        <w:t>(22,8%)</w:t>
      </w:r>
      <w:r>
        <w:t>.</w:t>
      </w:r>
    </w:p>
    <w:p w:rsidR="00B4409B" w:rsidRDefault="0001299D">
      <w:pPr>
        <w:pStyle w:val="pj"/>
      </w:pPr>
      <w:r>
        <w:t>Взяточничество, содействие в решении вопросов по признакам родства, землячества, кумовства и присвоение бюджетных средств обозначены респондентами как основные формы проявления коррупции.</w:t>
      </w:r>
    </w:p>
    <w:p w:rsidR="00B4409B" w:rsidRDefault="0001299D">
      <w:pPr>
        <w:pStyle w:val="pj"/>
      </w:pPr>
      <w:r>
        <w:t xml:space="preserve">Причинами коррупции, по мнению граждан, являются низкая зарплата работников госучреждений </w:t>
      </w:r>
      <w:r>
        <w:rPr>
          <w:i/>
          <w:iCs/>
        </w:rPr>
        <w:t>(53,2%)</w:t>
      </w:r>
      <w:r>
        <w:t xml:space="preserve">, традиции, менталитет </w:t>
      </w:r>
      <w:r>
        <w:rPr>
          <w:i/>
          <w:iCs/>
        </w:rPr>
        <w:t>(52,5%)</w:t>
      </w:r>
      <w:r>
        <w:t xml:space="preserve">, недостаточный контроль за чиновниками </w:t>
      </w:r>
      <w:r>
        <w:rPr>
          <w:i/>
          <w:iCs/>
        </w:rPr>
        <w:t>(41,9%)</w:t>
      </w:r>
      <w:r>
        <w:t xml:space="preserve">, неразвитость гражданского общества </w:t>
      </w:r>
      <w:r>
        <w:rPr>
          <w:i/>
          <w:iCs/>
        </w:rPr>
        <w:t>(21,3%)</w:t>
      </w:r>
      <w:r>
        <w:t xml:space="preserve">, низкий уровень правовой культуры у населения </w:t>
      </w:r>
      <w:r>
        <w:rPr>
          <w:i/>
          <w:iCs/>
        </w:rPr>
        <w:t>(18,6%)</w:t>
      </w:r>
      <w:r>
        <w:t>.</w:t>
      </w:r>
    </w:p>
    <w:p w:rsidR="00B4409B" w:rsidRDefault="0001299D">
      <w:pPr>
        <w:pStyle w:val="pj"/>
      </w:pPr>
      <w:r>
        <w:t xml:space="preserve">В ходе исследования также выявлены наиболее популярные среди граждан способы сообщения о коррупции </w:t>
      </w:r>
      <w:r>
        <w:rPr>
          <w:i/>
          <w:iCs/>
        </w:rPr>
        <w:t>(через территориальные департаменты Агентства - 60%, платформу «e-Otinish» - 44%, Call-центр 1424 - 39%)</w:t>
      </w:r>
      <w:r>
        <w:t>.</w:t>
      </w:r>
    </w:p>
    <w:p w:rsidR="00B4409B" w:rsidRDefault="0001299D">
      <w:pPr>
        <w:pStyle w:val="pj"/>
      </w:pPr>
      <w:r>
        <w:rPr>
          <w:spacing w:val="-4"/>
        </w:rPr>
        <w:t xml:space="preserve">Благодаря системным мерам Казахстан в </w:t>
      </w:r>
      <w:r>
        <w:rPr>
          <w:b/>
          <w:bCs/>
          <w:spacing w:val="-4"/>
        </w:rPr>
        <w:t>Индексе восприятия коррупции Transparency International</w:t>
      </w:r>
      <w:r>
        <w:rPr>
          <w:spacing w:val="-4"/>
        </w:rPr>
        <w:t xml:space="preserve"> </w:t>
      </w:r>
      <w:r>
        <w:rPr>
          <w:i/>
          <w:iCs/>
          <w:spacing w:val="-4"/>
        </w:rPr>
        <w:t>(далее - ИВК)</w:t>
      </w:r>
      <w:r>
        <w:rPr>
          <w:spacing w:val="-4"/>
        </w:rPr>
        <w:t xml:space="preserve"> по итогам 2023 года получил </w:t>
      </w:r>
      <w:r>
        <w:rPr>
          <w:b/>
          <w:bCs/>
          <w:spacing w:val="-4"/>
        </w:rPr>
        <w:t>39 баллов</w:t>
      </w:r>
      <w:r>
        <w:rPr>
          <w:spacing w:val="-4"/>
        </w:rPr>
        <w:t xml:space="preserve">, заняв 93 место среди 180 стран </w:t>
      </w:r>
      <w:r>
        <w:rPr>
          <w:i/>
          <w:iCs/>
          <w:spacing w:val="-4"/>
        </w:rPr>
        <w:t>(36 баллов и 101 место  в ИВК-2022)</w:t>
      </w:r>
      <w:r>
        <w:rPr>
          <w:spacing w:val="-4"/>
        </w:rPr>
        <w:t xml:space="preserve">, что является лучшим историческим результатом. Такой же результат </w:t>
      </w:r>
      <w:r>
        <w:rPr>
          <w:i/>
          <w:iCs/>
          <w:spacing w:val="-4"/>
        </w:rPr>
        <w:t>(39 баллов - 93 место)</w:t>
      </w:r>
      <w:r>
        <w:rPr>
          <w:spacing w:val="-4"/>
        </w:rPr>
        <w:t xml:space="preserve"> у трех стран </w:t>
      </w:r>
      <w:r>
        <w:rPr>
          <w:i/>
          <w:iCs/>
          <w:spacing w:val="-4"/>
        </w:rPr>
        <w:t>(Индия, Лесото, Мальдивы)</w:t>
      </w:r>
      <w:r>
        <w:rPr>
          <w:spacing w:val="-4"/>
        </w:rPr>
        <w:t>.</w:t>
      </w:r>
    </w:p>
    <w:p w:rsidR="00B4409B" w:rsidRDefault="0001299D">
      <w:pPr>
        <w:pStyle w:val="pj"/>
      </w:pPr>
      <w:r>
        <w:rPr>
          <w:spacing w:val="-4"/>
        </w:rPr>
        <w:t xml:space="preserve">Средний балл региона «Восточная Европа и Центральная Азия» </w:t>
      </w:r>
      <w:r>
        <w:rPr>
          <w:i/>
          <w:iCs/>
          <w:spacing w:val="-4"/>
        </w:rPr>
        <w:t>(19 стран)</w:t>
      </w:r>
      <w:r>
        <w:rPr>
          <w:spacing w:val="-4"/>
        </w:rPr>
        <w:t xml:space="preserve"> составляет 35. Лидерами в регионе являются Грузия </w:t>
      </w:r>
      <w:r>
        <w:rPr>
          <w:i/>
          <w:iCs/>
          <w:spacing w:val="-4"/>
        </w:rPr>
        <w:t>(53)</w:t>
      </w:r>
      <w:r>
        <w:rPr>
          <w:spacing w:val="-4"/>
        </w:rPr>
        <w:t xml:space="preserve">, Армения </w:t>
      </w:r>
      <w:r>
        <w:rPr>
          <w:i/>
          <w:iCs/>
          <w:spacing w:val="-4"/>
        </w:rPr>
        <w:t>(47)</w:t>
      </w:r>
      <w:r>
        <w:rPr>
          <w:spacing w:val="-4"/>
        </w:rPr>
        <w:t xml:space="preserve">, Черногория </w:t>
      </w:r>
      <w:r>
        <w:rPr>
          <w:i/>
          <w:iCs/>
          <w:spacing w:val="-4"/>
        </w:rPr>
        <w:t>(46)</w:t>
      </w:r>
      <w:r>
        <w:rPr>
          <w:spacing w:val="-4"/>
        </w:rPr>
        <w:t>.</w:t>
      </w:r>
    </w:p>
    <w:p w:rsidR="00B4409B" w:rsidRDefault="0001299D">
      <w:pPr>
        <w:pStyle w:val="pj"/>
      </w:pPr>
      <w:r>
        <w:rPr>
          <w:spacing w:val="-4"/>
        </w:rPr>
        <w:t xml:space="preserve">Наряду с Казахстаном показатели ИВК улучшили Армения </w:t>
      </w:r>
      <w:r>
        <w:rPr>
          <w:i/>
          <w:iCs/>
          <w:spacing w:val="-4"/>
        </w:rPr>
        <w:t>(47)</w:t>
      </w:r>
      <w:r>
        <w:rPr>
          <w:spacing w:val="-4"/>
        </w:rPr>
        <w:t xml:space="preserve">, Черногория </w:t>
      </w:r>
      <w:r>
        <w:rPr>
          <w:i/>
          <w:iCs/>
          <w:spacing w:val="-4"/>
        </w:rPr>
        <w:t>(46)</w:t>
      </w:r>
      <w:r>
        <w:rPr>
          <w:spacing w:val="-4"/>
        </w:rPr>
        <w:t xml:space="preserve">, Молдова и Северная Македония </w:t>
      </w:r>
      <w:r>
        <w:rPr>
          <w:i/>
          <w:iCs/>
          <w:spacing w:val="-4"/>
        </w:rPr>
        <w:t>(42)</w:t>
      </w:r>
      <w:r>
        <w:rPr>
          <w:spacing w:val="-4"/>
        </w:rPr>
        <w:t xml:space="preserve">, Албания </w:t>
      </w:r>
      <w:r>
        <w:rPr>
          <w:i/>
          <w:iCs/>
          <w:spacing w:val="-4"/>
        </w:rPr>
        <w:t>(37)</w:t>
      </w:r>
      <w:r>
        <w:rPr>
          <w:spacing w:val="-4"/>
        </w:rPr>
        <w:t xml:space="preserve">, Украина </w:t>
      </w:r>
      <w:r>
        <w:rPr>
          <w:i/>
          <w:iCs/>
          <w:spacing w:val="-4"/>
        </w:rPr>
        <w:t>(36)</w:t>
      </w:r>
      <w:r>
        <w:rPr>
          <w:spacing w:val="-4"/>
        </w:rPr>
        <w:t xml:space="preserve">, Босния и Герцеговина </w:t>
      </w:r>
      <w:r>
        <w:rPr>
          <w:i/>
          <w:iCs/>
          <w:spacing w:val="-4"/>
        </w:rPr>
        <w:t>(35)</w:t>
      </w:r>
      <w:r>
        <w:rPr>
          <w:spacing w:val="-4"/>
        </w:rPr>
        <w:t xml:space="preserve"> и Узбекистан </w:t>
      </w:r>
      <w:r>
        <w:rPr>
          <w:i/>
          <w:iCs/>
          <w:spacing w:val="-4"/>
        </w:rPr>
        <w:t>(33)</w:t>
      </w:r>
      <w:r>
        <w:rPr>
          <w:spacing w:val="-4"/>
        </w:rPr>
        <w:t xml:space="preserve">. </w:t>
      </w:r>
    </w:p>
    <w:p w:rsidR="00B4409B" w:rsidRDefault="0001299D">
      <w:pPr>
        <w:pStyle w:val="pj"/>
      </w:pPr>
      <w:r>
        <w:rPr>
          <w:spacing w:val="-4"/>
        </w:rPr>
        <w:t xml:space="preserve">Косово </w:t>
      </w:r>
      <w:r>
        <w:rPr>
          <w:i/>
          <w:iCs/>
          <w:spacing w:val="-4"/>
        </w:rPr>
        <w:t>(41)</w:t>
      </w:r>
      <w:r>
        <w:rPr>
          <w:spacing w:val="-4"/>
        </w:rPr>
        <w:t xml:space="preserve">, Сербия </w:t>
      </w:r>
      <w:r>
        <w:rPr>
          <w:i/>
          <w:iCs/>
          <w:spacing w:val="-4"/>
        </w:rPr>
        <w:t>(36)</w:t>
      </w:r>
      <w:r>
        <w:rPr>
          <w:spacing w:val="-4"/>
        </w:rPr>
        <w:t xml:space="preserve">, Азербайджан </w:t>
      </w:r>
      <w:r>
        <w:rPr>
          <w:i/>
          <w:iCs/>
          <w:spacing w:val="-4"/>
        </w:rPr>
        <w:t>(23)</w:t>
      </w:r>
      <w:r>
        <w:rPr>
          <w:spacing w:val="-4"/>
        </w:rPr>
        <w:t xml:space="preserve"> сохранили рейтинг. Потеряли баллы - Беларусь </w:t>
      </w:r>
      <w:r>
        <w:rPr>
          <w:i/>
          <w:iCs/>
          <w:spacing w:val="-4"/>
        </w:rPr>
        <w:t>(37)</w:t>
      </w:r>
      <w:r>
        <w:rPr>
          <w:spacing w:val="-4"/>
        </w:rPr>
        <w:t xml:space="preserve">, Турция </w:t>
      </w:r>
      <w:r>
        <w:rPr>
          <w:i/>
          <w:iCs/>
          <w:spacing w:val="-4"/>
        </w:rPr>
        <w:t>(34)</w:t>
      </w:r>
      <w:r>
        <w:rPr>
          <w:spacing w:val="-4"/>
        </w:rPr>
        <w:t xml:space="preserve">, Россия </w:t>
      </w:r>
      <w:r>
        <w:rPr>
          <w:i/>
          <w:iCs/>
          <w:spacing w:val="-4"/>
        </w:rPr>
        <w:t>(26)</w:t>
      </w:r>
      <w:r>
        <w:rPr>
          <w:spacing w:val="-4"/>
        </w:rPr>
        <w:t xml:space="preserve">, Кыргызстан </w:t>
      </w:r>
      <w:r>
        <w:rPr>
          <w:i/>
          <w:iCs/>
          <w:spacing w:val="-4"/>
        </w:rPr>
        <w:t>(26)</w:t>
      </w:r>
      <w:r>
        <w:rPr>
          <w:spacing w:val="-4"/>
        </w:rPr>
        <w:t xml:space="preserve">, Таджикистан </w:t>
      </w:r>
      <w:r>
        <w:rPr>
          <w:i/>
          <w:iCs/>
          <w:spacing w:val="-4"/>
        </w:rPr>
        <w:t>(20)</w:t>
      </w:r>
      <w:r>
        <w:rPr>
          <w:spacing w:val="-4"/>
        </w:rPr>
        <w:t xml:space="preserve">, Туркменистан </w:t>
      </w:r>
      <w:r>
        <w:rPr>
          <w:i/>
          <w:iCs/>
          <w:spacing w:val="-4"/>
        </w:rPr>
        <w:t>(18)</w:t>
      </w:r>
      <w:r>
        <w:rPr>
          <w:spacing w:val="-4"/>
        </w:rPr>
        <w:t>.</w:t>
      </w:r>
    </w:p>
    <w:p w:rsidR="00B4409B" w:rsidRDefault="0001299D">
      <w:pPr>
        <w:pStyle w:val="pj"/>
      </w:pPr>
      <w:r>
        <w:rPr>
          <w:spacing w:val="-4"/>
        </w:rPr>
        <w:t>Среди стран центральноазиатского региона Казахстан занимает самую высокую позицию.</w:t>
      </w:r>
    </w:p>
    <w:p w:rsidR="00B4409B" w:rsidRDefault="0001299D">
      <w:pPr>
        <w:pStyle w:val="pj"/>
      </w:pPr>
      <w:r>
        <w:rPr>
          <w:spacing w:val="-4"/>
        </w:rPr>
        <w:t>ИВК является композитным индексом - для выведения рейтинга Казахстана используются данные 9 различных организаций.</w:t>
      </w:r>
    </w:p>
    <w:p w:rsidR="00B4409B" w:rsidRDefault="0001299D">
      <w:pPr>
        <w:pStyle w:val="pj"/>
      </w:pPr>
      <w:r>
        <w:rPr>
          <w:spacing w:val="-4"/>
        </w:rPr>
        <w:t>Организацией «Transparency International» отмечается прогресс Казахстана в борьбе с коррупцией, в том числе путем проведения правовых реформ и возвращения похищенных активов. Вместе с тем, рекомендуется повышение прозрачности судебной системы, а также более широкие демократические реформы.</w:t>
      </w:r>
    </w:p>
    <w:p w:rsidR="00B4409B" w:rsidRDefault="0001299D">
      <w:pPr>
        <w:pStyle w:val="pj"/>
      </w:pPr>
      <w:r>
        <w:t xml:space="preserve">Наряду с этим, исследование Всемирного банка показало годовое улучшение результатов Казахстана в </w:t>
      </w:r>
      <w:r>
        <w:rPr>
          <w:b/>
          <w:bCs/>
        </w:rPr>
        <w:t>Индексе контроля коррупции</w:t>
      </w:r>
      <w:r>
        <w:t xml:space="preserve"> с 47,1 до 48,6 процентиля.</w:t>
      </w:r>
    </w:p>
    <w:p w:rsidR="00B4409B" w:rsidRDefault="0001299D">
      <w:pPr>
        <w:pStyle w:val="pj"/>
      </w:pPr>
      <w:r>
        <w:t xml:space="preserve">В 2023 году вопросы противодействия коррупции на мировом уровне сохранили свою актуальность, о чем свидетельствует насыщенная </w:t>
      </w:r>
      <w:r>
        <w:rPr>
          <w:b/>
          <w:bCs/>
        </w:rPr>
        <w:t>международная повестка</w:t>
      </w:r>
      <w:r>
        <w:t xml:space="preserve">. </w:t>
      </w:r>
    </w:p>
    <w:p w:rsidR="00B4409B" w:rsidRDefault="0001299D">
      <w:pPr>
        <w:pStyle w:val="pj"/>
      </w:pPr>
      <w:r>
        <w:t xml:space="preserve">Опубликован ряд докладов и методических материалов, посвященных общим вопросам и тенденциям правоприменения в сфере противодействия коррупции </w:t>
      </w:r>
      <w:r>
        <w:rPr>
          <w:i/>
          <w:iCs/>
        </w:rPr>
        <w:t>(Антикоррупционный портал Национального исследовательского университета «Высшая школа экономики», anticor.hse.ru)</w:t>
      </w:r>
      <w:r>
        <w:t xml:space="preserve">, в том числе: </w:t>
      </w:r>
    </w:p>
    <w:p w:rsidR="00B4409B" w:rsidRDefault="0001299D">
      <w:pPr>
        <w:pStyle w:val="pj"/>
      </w:pPr>
      <w:r>
        <w:t>1) доклад УНП ООН о противодействии коррупции при трансфере спортсменов;</w:t>
      </w:r>
    </w:p>
    <w:p w:rsidR="00B4409B" w:rsidRDefault="0001299D">
      <w:pPr>
        <w:pStyle w:val="pj"/>
      </w:pPr>
      <w:r>
        <w:t xml:space="preserve">2) подготовленный Европейской комиссией сборник лучших практик  в сфере борьбы с коррупцией в странах Европейского Союза; </w:t>
      </w:r>
    </w:p>
    <w:p w:rsidR="00B4409B" w:rsidRDefault="0001299D">
      <w:pPr>
        <w:pStyle w:val="pj"/>
      </w:pPr>
      <w:r>
        <w:t xml:space="preserve">3) ежегодный доклад Еврокомиссии «Оценка правосудия», в который впервые были включены данные о правоприменении в сфере противодействия коррупции; </w:t>
      </w:r>
    </w:p>
    <w:p w:rsidR="00B4409B" w:rsidRDefault="0001299D">
      <w:pPr>
        <w:pStyle w:val="pj"/>
      </w:pPr>
      <w:r>
        <w:lastRenderedPageBreak/>
        <w:t xml:space="preserve">4) доклад Ассоциации международного права о современных вызовах  в сфере противодействия коррупции и возможных путях их преодоления; </w:t>
      </w:r>
    </w:p>
    <w:p w:rsidR="00B4409B" w:rsidRDefault="0001299D">
      <w:pPr>
        <w:pStyle w:val="pj"/>
      </w:pPr>
      <w:r>
        <w:t xml:space="preserve">5) руководство ОЭСР для правоприменителей по борьбе с коррупцией  в чрезвычайных ситуациях; </w:t>
      </w:r>
    </w:p>
    <w:p w:rsidR="00B4409B" w:rsidRDefault="0001299D">
      <w:pPr>
        <w:pStyle w:val="pj"/>
      </w:pPr>
      <w:r>
        <w:t>6) доклад G20 о роли органов аудита в борьбе с коррупцией;</w:t>
      </w:r>
    </w:p>
    <w:p w:rsidR="00B4409B" w:rsidRDefault="0001299D">
      <w:pPr>
        <w:pStyle w:val="pj"/>
      </w:pPr>
      <w:r>
        <w:t>7) аналитические публикация U4</w:t>
      </w:r>
      <w:r>
        <w:rPr>
          <w:rStyle w:val="s0"/>
        </w:rPr>
        <w:t>[5]</w:t>
      </w:r>
      <w:r>
        <w:t xml:space="preserve"> о борьбе с «большой коррупцией»  и с системной коррупцией, а также об оценке коррупционных рисков  в государственном секторе и об оценке контрагентов при выделении средств некоммерческим организациям.</w:t>
      </w:r>
    </w:p>
    <w:p w:rsidR="00B4409B" w:rsidRDefault="0001299D">
      <w:pPr>
        <w:pStyle w:val="pj"/>
      </w:pPr>
      <w:r>
        <w:t xml:space="preserve">Некоторые страны также выпустили общие стратегические документы  в сфере борьбы с коррупцией, в частности, в США был принят план реализации Национальной стратегии по противодействию коррупции. </w:t>
      </w:r>
    </w:p>
    <w:p w:rsidR="00B4409B" w:rsidRDefault="0001299D">
      <w:pPr>
        <w:pStyle w:val="pj"/>
      </w:pPr>
      <w:r>
        <w:t xml:space="preserve">В ряде государств учреждены специализированные антикоррупционные органы, в частности: Международная комиссия по борьбе с коррупцией  и безнаказанностью в Гондурасе; Управление по борьбе с коррупцией  в Гибралтаре; Антикоррупционное бюро в Грузии; Управление Специального прокурора, уполномоченное на проведение расследований преступлений </w:t>
      </w:r>
      <w:r>
        <w:rPr>
          <w:spacing w:val="-4"/>
        </w:rPr>
        <w:t>коррупционного характера и привлечение к ответственности за их совершение,</w:t>
      </w:r>
      <w:r>
        <w:t xml:space="preserve"> а также на сбор, хранение и обработку сообщений, поступающих  от разоблачителей, в Сент-Китс и Невис. </w:t>
      </w:r>
    </w:p>
    <w:p w:rsidR="00B4409B" w:rsidRDefault="0001299D">
      <w:pPr>
        <w:pStyle w:val="pj"/>
      </w:pPr>
      <w:r>
        <w:t>В рамках 10-й конференции стран-участниц Конвенции ООН против коррупции принята Атлантская декларация о продвижении различных форм подотчетности в рамках борьбы с коррупцией.</w:t>
      </w:r>
    </w:p>
    <w:p w:rsidR="00B4409B" w:rsidRDefault="0001299D">
      <w:pPr>
        <w:pStyle w:val="pj"/>
      </w:pPr>
      <w:r>
        <w:t>Также рассмотрен ряд актуальных вопросов противодействия коррупции в сфере государственных закупок; защиты разоблачителей; наличия связи между коррупцией и организованной преступностью; устранения гендерного неравенства в целях противодействия коррупции.</w:t>
      </w:r>
    </w:p>
    <w:p w:rsidR="00B4409B" w:rsidRDefault="0001299D">
      <w:pPr>
        <w:pStyle w:val="pj"/>
      </w:pPr>
      <w:r>
        <w:t xml:space="preserve">Одновременно в ходе конференции состоялись дополнительные мероприятия, посвященные таким темам, как: борьба с коррупцией в спорте; использование новых технологий в борьбе с коррупцией; борьба с коррупцией и защита окружающей среды; международное сотрудничество; возврат активов, противодействие коррупции в частном секторе и т.д. </w:t>
      </w:r>
    </w:p>
    <w:p w:rsidR="00B4409B" w:rsidRDefault="0001299D">
      <w:pPr>
        <w:pStyle w:val="pj"/>
      </w:pPr>
      <w:r>
        <w:t>В целях минимизации влияния глобальных вызовов на развитие страны Казахстан стремится принимать исчерпывающие меры по международной интеграции в вопросах противодействия коррупции с учетом особенностей национальной правовой системы.</w:t>
      </w:r>
    </w:p>
    <w:p w:rsidR="00B4409B" w:rsidRDefault="0001299D">
      <w:pPr>
        <w:pStyle w:val="pj"/>
      </w:pPr>
      <w:r>
        <w:t> </w:t>
      </w:r>
    </w:p>
    <w:p w:rsidR="00B4409B" w:rsidRDefault="0001299D">
      <w:pPr>
        <w:pStyle w:val="pc"/>
      </w:pPr>
      <w:bookmarkStart w:id="22" w:name="SUB102"/>
      <w:bookmarkEnd w:id="22"/>
      <w:r>
        <w:rPr>
          <w:rStyle w:val="s1"/>
        </w:rPr>
        <w:t>ЗАКЛЮЧЕНИЕ</w:t>
      </w:r>
    </w:p>
    <w:p w:rsidR="00B4409B" w:rsidRDefault="0001299D">
      <w:pPr>
        <w:pStyle w:val="pj"/>
      </w:pPr>
      <w:r>
        <w:t> </w:t>
      </w:r>
    </w:p>
    <w:p w:rsidR="00B4409B" w:rsidRDefault="0001299D">
      <w:pPr>
        <w:pStyle w:val="pj"/>
      </w:pPr>
      <w:r>
        <w:t>Масштабная конституционная реформа, проведенная в 2022 году по инициативе Президента Казахстана Токаева К.К., заложила основу глубоких демократических и экономических преобразований, нацеленных на повышение благосостояния граждан, обеспечение справедливости и равноправия в обществе.</w:t>
      </w:r>
    </w:p>
    <w:p w:rsidR="00B4409B" w:rsidRDefault="0001299D">
      <w:pPr>
        <w:pStyle w:val="pj"/>
      </w:pPr>
      <w:r>
        <w:t xml:space="preserve">В 2023 году продолжена реализация Концепции антикоррупционной политики. </w:t>
      </w:r>
    </w:p>
    <w:p w:rsidR="00B4409B" w:rsidRDefault="0001299D">
      <w:pPr>
        <w:pStyle w:val="pj"/>
      </w:pPr>
      <w:r>
        <w:t xml:space="preserve">Во исполнение стратегического документа в национальное законодательство введен институт ответственности чиновников за необоснованное обогащение; расширены механизмы защиты лиц, сообщивших о фактах коррупции; на уровне Правительства организована работа по формированию антикоррупционной культуры среди различных целевых групп; на Агентство по противодействию коррупции возложена методологическая координация деятельности комплаенс-служб; приняты меры по повышению прозрачности и ответственности в бизнес-среде </w:t>
      </w:r>
      <w:r>
        <w:rPr>
          <w:i/>
          <w:iCs/>
        </w:rPr>
        <w:t>(Индекс добросовестности налогоплательщика и Антикоррупционный рейтинг бизнеса)</w:t>
      </w:r>
      <w:r>
        <w:t>; внедрена цифровая аналитика в судебной практике и др.</w:t>
      </w:r>
    </w:p>
    <w:p w:rsidR="00B4409B" w:rsidRDefault="0001299D">
      <w:pPr>
        <w:pStyle w:val="pj"/>
      </w:pPr>
      <w:r>
        <w:lastRenderedPageBreak/>
        <w:t xml:space="preserve">Наряду с этим, разработан проект отдельного закона по внедрению проверки на добропорядочность «Integrity Check» во всех правоохранительных органах </w:t>
      </w:r>
      <w:r>
        <w:rPr>
          <w:i/>
          <w:iCs/>
        </w:rPr>
        <w:t>(на основе положительных результатов пилотной апробации в Агентстве и МВД)</w:t>
      </w:r>
      <w:r>
        <w:t xml:space="preserve">. </w:t>
      </w:r>
    </w:p>
    <w:p w:rsidR="00B4409B" w:rsidRDefault="0001299D">
      <w:pPr>
        <w:pStyle w:val="pj"/>
      </w:pPr>
      <w:r>
        <w:t>Продолжена дебюрократизация и цифровизация государственного аппарата, минимизация коррупционных рисков в сфере государственной службы.</w:t>
      </w:r>
    </w:p>
    <w:p w:rsidR="00B4409B" w:rsidRDefault="0001299D">
      <w:pPr>
        <w:pStyle w:val="pj"/>
      </w:pPr>
      <w:r>
        <w:rPr>
          <w:spacing w:val="-2"/>
        </w:rPr>
        <w:t xml:space="preserve">В целом принятые в 2023 году антикоррупционные меры в определенной степени оказали положительное влияние на социально-экономическую ситуацию, примером чему могут служить следующие факты: возврат в рекреационную зону г. Алматы 229,1 га земель; цифровизация процессов планирования и освоения бюджетных средств в сфере образования; девятикратное увеличение поступлений в бюджет в результате искоренения коррупционных рисков в процессе регистрации автотранспортных средств; предотвращение завышения стоимости госзакупок на общую сумму 41,4 млрд тенге; </w:t>
      </w:r>
      <w:r>
        <w:t xml:space="preserve">восстановление в очереди на жилье из госфонда 1 367 детей-сирот в Северо-Казахстанской области; сокращение срока рассмотрения документов при оформлении прав на земельный участок </w:t>
      </w:r>
      <w:r>
        <w:rPr>
          <w:i/>
          <w:iCs/>
        </w:rPr>
        <w:t>(с 1 года до 30 дней)</w:t>
      </w:r>
      <w:r>
        <w:t xml:space="preserve">; строительство 43 школ на средства Фонда поддержки инфраструктуры образования, в том числе конфискованные в рамках расследований, связанных с коррупцией; </w:t>
      </w:r>
      <w:r>
        <w:rPr>
          <w:spacing w:val="-2"/>
        </w:rPr>
        <w:t>расширение проактивного формата госуслуг и др.</w:t>
      </w:r>
    </w:p>
    <w:p w:rsidR="00B4409B" w:rsidRDefault="0001299D">
      <w:pPr>
        <w:pStyle w:val="pj"/>
      </w:pPr>
      <w:r>
        <w:rPr>
          <w:spacing w:val="-2"/>
        </w:rPr>
        <w:t>В Парламент внесен законопроект, предусматривающий: криминализацию обещания/предложения взятки; усиление ответственности юридических лиц за коррупцию; введение публичного реестра коррупционеров в систему мер противодействия коррупции; дальнейшее совершенствование регулирования конфликта интересов на госслужбе и в квазигоссекторе, правовых механизмов ответственности за непринятие мер по противодействию коррупции, выявления преступлений, связанных с вымогательством незаконного вознаграждения работником госоргана, государственной и негосударственной организации и другие меры.</w:t>
      </w:r>
    </w:p>
    <w:p w:rsidR="00B4409B" w:rsidRDefault="0001299D">
      <w:pPr>
        <w:pStyle w:val="pj"/>
      </w:pPr>
      <w:r>
        <w:rPr>
          <w:spacing w:val="-2"/>
        </w:rPr>
        <w:t xml:space="preserve">Приоритетными направлениями Казахстана в контексте продолжения решительной и бескомпромиссной борьбы с коррупцией являются качественная реализация Концепции антикоррупционной политики, включая: внедрение стандартов ООН, </w:t>
      </w:r>
      <w:r>
        <w:t xml:space="preserve">ГРЕКО и ОЭСР; формирование антикоррупционной культуры; </w:t>
      </w:r>
      <w:r>
        <w:rPr>
          <w:spacing w:val="-2"/>
        </w:rPr>
        <w:t>искоренение причин и условий коррупции; дебюрократизацию госаппарата и цифровизацию общественных отношений;</w:t>
      </w:r>
      <w:r>
        <w:t xml:space="preserve"> прозрачность бюджетного процесса, в том числе через внедрение цифровых инструментов; </w:t>
      </w:r>
      <w:r>
        <w:rPr>
          <w:spacing w:val="-2"/>
        </w:rPr>
        <w:t>обеспечение неотвратимости ответственности за коррупцию; укрепление международного сотрудничества.</w:t>
      </w:r>
    </w:p>
    <w:p w:rsidR="00B4409B" w:rsidRDefault="0001299D">
      <w:pPr>
        <w:pStyle w:val="pj"/>
      </w:pPr>
      <w:r>
        <w:rPr>
          <w:rStyle w:val="s0"/>
        </w:rPr>
        <w:t> </w:t>
      </w:r>
    </w:p>
    <w:p w:rsidR="00B4409B" w:rsidRDefault="0001299D">
      <w:pPr>
        <w:pStyle w:val="pc"/>
      </w:pPr>
      <w:bookmarkStart w:id="23" w:name="SUB1"/>
      <w:bookmarkEnd w:id="23"/>
      <w:r>
        <w:rPr>
          <w:rStyle w:val="s0"/>
          <w:b/>
          <w:bCs/>
        </w:rPr>
        <w:t>Список ссылок:</w:t>
      </w:r>
    </w:p>
    <w:p w:rsidR="00B4409B" w:rsidRDefault="0001299D">
      <w:pPr>
        <w:pStyle w:val="pj"/>
      </w:pPr>
      <w:r>
        <w:rPr>
          <w:rStyle w:val="s0"/>
        </w:rPr>
        <w:t> </w:t>
      </w:r>
    </w:p>
    <w:p w:rsidR="00B4409B" w:rsidRDefault="0001299D">
      <w:pPr>
        <w:pStyle w:val="pj"/>
      </w:pPr>
      <w:r>
        <w:rPr>
          <w:rStyle w:val="s0"/>
        </w:rPr>
        <w:t> </w:t>
      </w:r>
    </w:p>
    <w:p w:rsidR="00B4409B" w:rsidRDefault="0001299D">
      <w:pPr>
        <w:pStyle w:val="pj"/>
      </w:pPr>
      <w:r>
        <w:rPr>
          <w:rStyle w:val="s0"/>
        </w:rPr>
        <w:t xml:space="preserve">[1] </w:t>
      </w:r>
      <w:hyperlink r:id="rId31" w:history="1">
        <w:r>
          <w:rPr>
            <w:rStyle w:val="a5"/>
          </w:rPr>
          <w:t>Указ</w:t>
        </w:r>
      </w:hyperlink>
      <w:r>
        <w:rPr>
          <w:rStyle w:val="s0"/>
        </w:rPr>
        <w:t xml:space="preserve"> Президента Республики Казахстан от 29 декабря 2015 года № 154 «Об утверждении Правил подготовки, внесения Национального доклада о противодействии коррупции Президенту Республики Казахстан и его опубликования»</w:t>
      </w:r>
    </w:p>
    <w:p w:rsidR="00B4409B" w:rsidRDefault="0001299D">
      <w:pPr>
        <w:pStyle w:val="pj"/>
      </w:pPr>
      <w:r>
        <w:rPr>
          <w:rStyle w:val="s0"/>
        </w:rPr>
        <w:t xml:space="preserve">[2] </w:t>
      </w:r>
      <w:hyperlink r:id="rId32" w:history="1">
        <w:r>
          <w:rPr>
            <w:rStyle w:val="a5"/>
          </w:rPr>
          <w:t>Приказ</w:t>
        </w:r>
      </w:hyperlink>
      <w:r>
        <w:rPr>
          <w:rStyle w:val="s0"/>
        </w:rPr>
        <w:t xml:space="preserve"> МЦРИАП от 31 июля 2023 года № 301/НҚ «Об утверждении Правил осуществления проектного управления»</w:t>
      </w:r>
    </w:p>
    <w:p w:rsidR="00B4409B" w:rsidRDefault="0001299D">
      <w:pPr>
        <w:pStyle w:val="pj"/>
      </w:pPr>
      <w:r>
        <w:rPr>
          <w:rStyle w:val="s0"/>
        </w:rPr>
        <w:t xml:space="preserve">[3] </w:t>
      </w:r>
      <w:hyperlink r:id="rId33" w:history="1">
        <w:r>
          <w:rPr>
            <w:rStyle w:val="a5"/>
          </w:rPr>
          <w:t>Указ</w:t>
        </w:r>
      </w:hyperlink>
      <w:r>
        <w:rPr>
          <w:rStyle w:val="s0"/>
        </w:rPr>
        <w:t xml:space="preserve"> Президента Республики Казахстан от 2 апреля 2002 года № 839 «Об образовании Комиссии при Президенте Республики Казахстан по вопросам противодействия коррупции»</w:t>
      </w:r>
    </w:p>
    <w:p w:rsidR="00B4409B" w:rsidRDefault="0001299D">
      <w:pPr>
        <w:pStyle w:val="pj"/>
      </w:pPr>
      <w:r>
        <w:rPr>
          <w:rStyle w:val="s0"/>
        </w:rPr>
        <w:t>[4] Согласно данным Комитета по правовой статистике и специальным учетам Генеральной прокуратуры Республики Казахстан</w:t>
      </w:r>
    </w:p>
    <w:p w:rsidR="00B4409B" w:rsidRDefault="0001299D">
      <w:pPr>
        <w:pStyle w:val="pj"/>
      </w:pPr>
      <w:r>
        <w:rPr>
          <w:rStyle w:val="s0"/>
        </w:rPr>
        <w:t>[5] U4 - Ресурсный центр по борьбе с коррупцией в независимом научно-исследовательском институте развития (CMI), Норвегия</w:t>
      </w:r>
    </w:p>
    <w:p w:rsidR="00B4409B" w:rsidRDefault="0001299D">
      <w:pPr>
        <w:pStyle w:val="pj"/>
      </w:pPr>
      <w:r>
        <w:rPr>
          <w:rStyle w:val="s0"/>
        </w:rPr>
        <w:t> </w:t>
      </w:r>
    </w:p>
    <w:p w:rsidR="00B4409B" w:rsidRDefault="0001299D">
      <w:pPr>
        <w:pStyle w:val="pj"/>
      </w:pPr>
      <w:r>
        <w:rPr>
          <w:rStyle w:val="s0"/>
        </w:rPr>
        <w:t> </w:t>
      </w:r>
    </w:p>
    <w:p w:rsidR="00B4409B" w:rsidRDefault="0001299D">
      <w:pPr>
        <w:pStyle w:val="pj"/>
      </w:pPr>
      <w:r>
        <w:rPr>
          <w:rStyle w:val="s0"/>
        </w:rPr>
        <w:lastRenderedPageBreak/>
        <w:t> </w:t>
      </w:r>
    </w:p>
    <w:p w:rsidR="00B4409B" w:rsidRDefault="0001299D">
      <w:pPr>
        <w:pStyle w:val="pj"/>
      </w:pPr>
      <w:r>
        <w:rPr>
          <w:rStyle w:val="s0"/>
        </w:rPr>
        <w:t> </w:t>
      </w:r>
    </w:p>
    <w:p w:rsidR="00B4409B" w:rsidRDefault="0001299D">
      <w:pPr>
        <w:pStyle w:val="pj"/>
      </w:pPr>
      <w:r>
        <w:rPr>
          <w:rStyle w:val="s0"/>
        </w:rPr>
        <w:t> </w:t>
      </w:r>
    </w:p>
    <w:p w:rsidR="00B4409B" w:rsidRDefault="0001299D">
      <w:pPr>
        <w:pStyle w:val="pj"/>
      </w:pPr>
      <w:r>
        <w:rPr>
          <w:rStyle w:val="s0"/>
        </w:rPr>
        <w:t> </w:t>
      </w:r>
    </w:p>
    <w:p w:rsidR="00B4409B" w:rsidRDefault="0001299D">
      <w:pPr>
        <w:pStyle w:val="pj"/>
      </w:pPr>
      <w:r>
        <w:rPr>
          <w:rStyle w:val="s0"/>
        </w:rPr>
        <w:t> </w:t>
      </w:r>
    </w:p>
    <w:p w:rsidR="00B4409B" w:rsidRDefault="0001299D">
      <w:pPr>
        <w:pStyle w:val="pj"/>
      </w:pPr>
      <w:r>
        <w:rPr>
          <w:rStyle w:val="s0"/>
        </w:rPr>
        <w:t> </w:t>
      </w:r>
    </w:p>
    <w:p w:rsidR="00B4409B" w:rsidRDefault="0001299D">
      <w:pPr>
        <w:pStyle w:val="pj"/>
      </w:pPr>
      <w:r>
        <w:rPr>
          <w:rStyle w:val="s0"/>
        </w:rPr>
        <w:t> </w:t>
      </w:r>
    </w:p>
    <w:p w:rsidR="00B4409B" w:rsidRDefault="0001299D">
      <w:pPr>
        <w:pStyle w:val="pj"/>
      </w:pPr>
      <w:r>
        <w:rPr>
          <w:rStyle w:val="s0"/>
        </w:rPr>
        <w:t> </w:t>
      </w:r>
    </w:p>
    <w:p w:rsidR="00B4409B" w:rsidRDefault="0001299D">
      <w:pPr>
        <w:pStyle w:val="pj"/>
      </w:pPr>
      <w:r>
        <w:rPr>
          <w:rStyle w:val="s0"/>
        </w:rPr>
        <w:t> </w:t>
      </w:r>
    </w:p>
    <w:p w:rsidR="00B4409B" w:rsidRDefault="0001299D">
      <w:pPr>
        <w:pStyle w:val="pj"/>
      </w:pPr>
      <w:r>
        <w:rPr>
          <w:rStyle w:val="s0"/>
        </w:rPr>
        <w:t> </w:t>
      </w:r>
    </w:p>
    <w:p w:rsidR="00B4409B" w:rsidRDefault="0001299D">
      <w:pPr>
        <w:pStyle w:val="pj"/>
      </w:pPr>
      <w:r>
        <w:rPr>
          <w:rStyle w:val="s0"/>
        </w:rPr>
        <w:t> </w:t>
      </w:r>
    </w:p>
    <w:p w:rsidR="00B4409B" w:rsidRDefault="0001299D">
      <w:pPr>
        <w:pStyle w:val="pj"/>
      </w:pPr>
      <w:r>
        <w:rPr>
          <w:rStyle w:val="s0"/>
        </w:rPr>
        <w:t> </w:t>
      </w:r>
    </w:p>
    <w:p w:rsidR="00B4409B" w:rsidRDefault="0001299D">
      <w:pPr>
        <w:pStyle w:val="pj"/>
      </w:pPr>
      <w:r>
        <w:rPr>
          <w:rStyle w:val="s0"/>
        </w:rPr>
        <w:t> </w:t>
      </w:r>
    </w:p>
    <w:p w:rsidR="00B4409B" w:rsidRDefault="0001299D">
      <w:pPr>
        <w:pStyle w:val="pj"/>
      </w:pPr>
      <w:r>
        <w:rPr>
          <w:rStyle w:val="s0"/>
        </w:rPr>
        <w:t> </w:t>
      </w:r>
    </w:p>
    <w:p w:rsidR="00B4409B" w:rsidRDefault="0001299D">
      <w:pPr>
        <w:pStyle w:val="pj"/>
      </w:pPr>
      <w:r>
        <w:rPr>
          <w:rStyle w:val="s0"/>
        </w:rPr>
        <w:t> </w:t>
      </w:r>
    </w:p>
    <w:p w:rsidR="00B4409B" w:rsidRDefault="0001299D">
      <w:pPr>
        <w:pStyle w:val="pj"/>
      </w:pPr>
      <w:r>
        <w:rPr>
          <w:rStyle w:val="s0"/>
        </w:rPr>
        <w:t> </w:t>
      </w:r>
    </w:p>
    <w:sectPr w:rsidR="00B4409B">
      <w:headerReference w:type="even" r:id="rId34"/>
      <w:headerReference w:type="default" r:id="rId35"/>
      <w:footerReference w:type="even" r:id="rId36"/>
      <w:footerReference w:type="default" r:id="rId37"/>
      <w:headerReference w:type="first" r:id="rId38"/>
      <w:footerReference w:type="first" r:id="rId3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306F" w:rsidRDefault="008A306F" w:rsidP="0001299D">
      <w:r>
        <w:separator/>
      </w:r>
    </w:p>
  </w:endnote>
  <w:endnote w:type="continuationSeparator" w:id="0">
    <w:p w:rsidR="008A306F" w:rsidRDefault="008A306F" w:rsidP="00012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99D" w:rsidRDefault="0001299D">
    <w:pPr>
      <w:pStyle w:val="a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99D" w:rsidRDefault="0001299D">
    <w:pPr>
      <w:pStyle w:val="a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99D" w:rsidRDefault="0001299D">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306F" w:rsidRDefault="008A306F" w:rsidP="0001299D">
      <w:r>
        <w:separator/>
      </w:r>
    </w:p>
  </w:footnote>
  <w:footnote w:type="continuationSeparator" w:id="0">
    <w:p w:rsidR="008A306F" w:rsidRDefault="008A306F" w:rsidP="0001299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99D" w:rsidRDefault="0001299D">
    <w:pPr>
      <w:pStyle w:val="a8"/>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99D" w:rsidRDefault="0001299D" w:rsidP="0001299D">
    <w:pPr>
      <w:pStyle w:val="a8"/>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01299D" w:rsidRPr="0001299D" w:rsidRDefault="0001299D" w:rsidP="0001299D">
    <w:pPr>
      <w:pStyle w:val="a8"/>
      <w:spacing w:after="100"/>
      <w:jc w:val="right"/>
      <w:rPr>
        <w:rFonts w:ascii="Arial" w:hAnsi="Arial" w:cs="Arial"/>
        <w:color w:val="808080"/>
        <w:sz w:val="20"/>
      </w:rPr>
    </w:pPr>
    <w:r>
      <w:rPr>
        <w:rFonts w:ascii="Arial" w:hAnsi="Arial" w:cs="Arial"/>
        <w:color w:val="808080"/>
        <w:sz w:val="20"/>
      </w:rPr>
      <w:t>Документ: Национальный доклад о противодействии коррупции за 2023 год (Агентство Республики Казахстан по противодействию коррупции (Антикоррупционная служба), 2024 год)</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99D" w:rsidRDefault="0001299D">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99D"/>
    <w:rsid w:val="0001299D"/>
    <w:rsid w:val="008A306F"/>
    <w:rsid w:val="00B4409B"/>
    <w:rsid w:val="00E01C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ru-RU" w:eastAsia="ru-RU"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ind w:firstLine="0"/>
      <w:jc w:val="left"/>
    </w:pPr>
    <w:rPr>
      <w:rFonts w:eastAsiaTheme="minorEastAsia"/>
      <w:sz w:val="24"/>
      <w:szCs w:val="24"/>
    </w:rPr>
  </w:style>
  <w:style w:type="paragraph" w:styleId="1">
    <w:name w:val="heading 1"/>
    <w:basedOn w:val="a"/>
    <w:link w:val="10"/>
    <w:uiPriority w:val="9"/>
    <w:qFormat/>
    <w:pPr>
      <w:autoSpaceDE w:val="0"/>
      <w:autoSpaceDN w:val="0"/>
      <w:ind w:left="112" w:right="168"/>
      <w:jc w:val="both"/>
      <w:outlineLvl w:val="0"/>
    </w:pPr>
    <w:rPr>
      <w:rFonts w:ascii="Cambria" w:hAnsi="Cambria"/>
      <w:color w:val="000000"/>
      <w:kern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rPr>
  </w:style>
  <w:style w:type="paragraph" w:styleId="a3">
    <w:name w:val="Normal (Web)"/>
    <w:basedOn w:val="a"/>
    <w:uiPriority w:val="99"/>
    <w:semiHidden/>
    <w:unhideWhenUsed/>
    <w:rPr>
      <w:color w:val="000000"/>
    </w:rPr>
  </w:style>
  <w:style w:type="paragraph" w:customStyle="1" w:styleId="pc">
    <w:name w:val="pc"/>
    <w:basedOn w:val="a"/>
    <w:pPr>
      <w:jc w:val="center"/>
    </w:pPr>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s8">
    <w:name w:val="s8"/>
    <w:basedOn w:val="a"/>
    <w:rPr>
      <w:color w:val="333399"/>
    </w:rPr>
  </w:style>
  <w:style w:type="paragraph" w:customStyle="1" w:styleId="msochpdefault">
    <w:name w:val="msochpdefault"/>
    <w:basedOn w:val="a"/>
    <w:rPr>
      <w:color w:val="000000"/>
      <w:sz w:val="28"/>
      <w:szCs w:val="28"/>
    </w:rPr>
  </w:style>
  <w:style w:type="paragraph" w:customStyle="1" w:styleId="msopapdefault">
    <w:name w:val="msopapdefault"/>
    <w:basedOn w:val="a"/>
    <w:pPr>
      <w:ind w:firstLine="709"/>
      <w:jc w:val="both"/>
    </w:pPr>
    <w:rPr>
      <w:color w:val="000000"/>
    </w:rPr>
  </w:style>
  <w:style w:type="character" w:styleId="a4">
    <w:name w:val="endnote reference"/>
    <w:basedOn w:val="a0"/>
    <w:uiPriority w:val="99"/>
    <w:semiHidden/>
    <w:unhideWhenUsed/>
    <w:rPr>
      <w:vertAlign w:val="superscript"/>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1">
    <w:name w:val="s1"/>
    <w:basedOn w:val="a0"/>
    <w:rPr>
      <w:rFonts w:ascii="Times New Roman" w:hAnsi="Times New Roman" w:cs="Times New Roman" w:hint="default"/>
      <w:b/>
      <w:bCs/>
      <w:color w:val="000000"/>
    </w:rPr>
  </w:style>
  <w:style w:type="character" w:customStyle="1" w:styleId="s2">
    <w:name w:val="s2"/>
    <w:basedOn w:val="a0"/>
    <w:rPr>
      <w:rFonts w:ascii="Times New Roman" w:hAnsi="Times New Roman" w:cs="Times New Roman" w:hint="default"/>
      <w:color w:val="333399"/>
      <w:u w:val="single"/>
    </w:rPr>
  </w:style>
  <w:style w:type="character" w:styleId="a5">
    <w:name w:val="Hyperlink"/>
    <w:basedOn w:val="a0"/>
    <w:uiPriority w:val="99"/>
    <w:semiHidden/>
    <w:unhideWhenUsed/>
    <w:rPr>
      <w:color w:val="0000FF"/>
      <w:u w:val="single"/>
    </w:rPr>
  </w:style>
  <w:style w:type="character" w:styleId="a6">
    <w:name w:val="FollowedHyperlink"/>
    <w:basedOn w:val="a0"/>
    <w:uiPriority w:val="99"/>
    <w:semiHidden/>
    <w:unhideWhenUsed/>
    <w:rPr>
      <w:color w:val="800080"/>
      <w:u w:val="single"/>
    </w:rPr>
  </w:style>
  <w:style w:type="paragraph" w:customStyle="1" w:styleId="p">
    <w:name w:val="p"/>
    <w:basedOn w:val="a"/>
    <w:rPr>
      <w:color w:val="000000"/>
    </w:rPr>
  </w:style>
  <w:style w:type="character" w:styleId="a7">
    <w:name w:val="Emphasis"/>
    <w:basedOn w:val="a0"/>
    <w:uiPriority w:val="20"/>
    <w:qFormat/>
    <w:rPr>
      <w:i/>
      <w:iCs/>
    </w:rPr>
  </w:style>
  <w:style w:type="paragraph" w:styleId="a8">
    <w:name w:val="header"/>
    <w:basedOn w:val="a"/>
    <w:link w:val="a9"/>
    <w:uiPriority w:val="99"/>
    <w:unhideWhenUsed/>
    <w:rsid w:val="0001299D"/>
    <w:pPr>
      <w:tabs>
        <w:tab w:val="center" w:pos="4677"/>
        <w:tab w:val="right" w:pos="9355"/>
      </w:tabs>
    </w:pPr>
  </w:style>
  <w:style w:type="character" w:customStyle="1" w:styleId="a9">
    <w:name w:val="Верхний колонтитул Знак"/>
    <w:basedOn w:val="a0"/>
    <w:link w:val="a8"/>
    <w:uiPriority w:val="99"/>
    <w:rsid w:val="0001299D"/>
    <w:rPr>
      <w:rFonts w:eastAsiaTheme="minorEastAsia"/>
      <w:sz w:val="24"/>
      <w:szCs w:val="24"/>
    </w:rPr>
  </w:style>
  <w:style w:type="paragraph" w:styleId="aa">
    <w:name w:val="footer"/>
    <w:basedOn w:val="a"/>
    <w:link w:val="ab"/>
    <w:uiPriority w:val="99"/>
    <w:unhideWhenUsed/>
    <w:rsid w:val="0001299D"/>
    <w:pPr>
      <w:tabs>
        <w:tab w:val="center" w:pos="4677"/>
        <w:tab w:val="right" w:pos="9355"/>
      </w:tabs>
    </w:pPr>
  </w:style>
  <w:style w:type="character" w:customStyle="1" w:styleId="ab">
    <w:name w:val="Нижний колонтитул Знак"/>
    <w:basedOn w:val="a0"/>
    <w:link w:val="aa"/>
    <w:uiPriority w:val="99"/>
    <w:rsid w:val="0001299D"/>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nline.zakon.kz/Document/?doc_id=35233468" TargetMode="External"/><Relationship Id="rId13" Type="http://schemas.openxmlformats.org/officeDocument/2006/relationships/hyperlink" Target="http://online.zakon.kz/Document/?doc_id=33438284" TargetMode="External"/><Relationship Id="rId18" Type="http://schemas.openxmlformats.org/officeDocument/2006/relationships/hyperlink" Target="http://online.zakon.kz/Document/?doc_id=33146695" TargetMode="External"/><Relationship Id="rId26" Type="http://schemas.openxmlformats.org/officeDocument/2006/relationships/hyperlink" Target="http://online.zakon.kz/Document/?doc_id=36227889" TargetMode="External"/><Relationship Id="rId39" Type="http://schemas.openxmlformats.org/officeDocument/2006/relationships/footer" Target="footer3.xml"/><Relationship Id="rId3" Type="http://schemas.openxmlformats.org/officeDocument/2006/relationships/webSettings" Target="webSettings.xml"/><Relationship Id="rId21" Type="http://schemas.openxmlformats.org/officeDocument/2006/relationships/hyperlink" Target="http://online.zakon.kz/Document/?doc_id=38712649" TargetMode="External"/><Relationship Id="rId34" Type="http://schemas.openxmlformats.org/officeDocument/2006/relationships/header" Target="header1.xml"/><Relationship Id="rId7" Type="http://schemas.openxmlformats.org/officeDocument/2006/relationships/hyperlink" Target="http://online.zakon.kz/Document/?doc_id=39952092" TargetMode="External"/><Relationship Id="rId12" Type="http://schemas.openxmlformats.org/officeDocument/2006/relationships/hyperlink" Target="http://online.zakon.kz/Document/?doc_id=37225385" TargetMode="External"/><Relationship Id="rId17" Type="http://schemas.openxmlformats.org/officeDocument/2006/relationships/hyperlink" Target="http://online.zakon.kz/Document/?doc_id=38840311" TargetMode="External"/><Relationship Id="rId25" Type="http://schemas.openxmlformats.org/officeDocument/2006/relationships/hyperlink" Target="http://online.zakon.kz/Document/?doc_id=35233468" TargetMode="External"/><Relationship Id="rId33" Type="http://schemas.openxmlformats.org/officeDocument/2006/relationships/hyperlink" Target="http://online.zakon.kz/Document/?doc_id=1030287" TargetMode="External"/><Relationship Id="rId38"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hyperlink" Target="http://online.zakon.kz/Document/?doc_id=38840311" TargetMode="External"/><Relationship Id="rId20" Type="http://schemas.openxmlformats.org/officeDocument/2006/relationships/hyperlink" Target="http://online.zakon.kz/Document/?doc_id=35233468" TargetMode="External"/><Relationship Id="rId29" Type="http://schemas.openxmlformats.org/officeDocument/2006/relationships/hyperlink" Target="http://online.zakon.kz/Document/?doc_id=34060817"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online.zakon.kz/Document/?doc_id=33478302" TargetMode="External"/><Relationship Id="rId11" Type="http://schemas.openxmlformats.org/officeDocument/2006/relationships/hyperlink" Target="http://online.zakon.kz/Document/?doc_id=34613775" TargetMode="External"/><Relationship Id="rId24" Type="http://schemas.openxmlformats.org/officeDocument/2006/relationships/hyperlink" Target="http://online.zakon.kz/Document/?doc_id=31577399" TargetMode="External"/><Relationship Id="rId32" Type="http://schemas.openxmlformats.org/officeDocument/2006/relationships/hyperlink" Target="http://online.zakon.kz/Document/?doc_id=33180646"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online.zakon.kz/Document/?doc_id=35233468" TargetMode="External"/><Relationship Id="rId23" Type="http://schemas.openxmlformats.org/officeDocument/2006/relationships/hyperlink" Target="http://online.zakon.kz/Document/?doc_id=38803009" TargetMode="External"/><Relationship Id="rId28" Type="http://schemas.openxmlformats.org/officeDocument/2006/relationships/hyperlink" Target="http://online.zakon.kz/Document/?doc_id=38564056" TargetMode="External"/><Relationship Id="rId36" Type="http://schemas.openxmlformats.org/officeDocument/2006/relationships/footer" Target="footer1.xml"/><Relationship Id="rId10" Type="http://schemas.openxmlformats.org/officeDocument/2006/relationships/hyperlink" Target="http://online.zakon.kz/Document/?doc_id=30118747" TargetMode="External"/><Relationship Id="rId19" Type="http://schemas.openxmlformats.org/officeDocument/2006/relationships/hyperlink" Target="http://online.zakon.kz/Document/?doc_id=37990918" TargetMode="External"/><Relationship Id="rId31" Type="http://schemas.openxmlformats.org/officeDocument/2006/relationships/hyperlink" Target="http://online.zakon.kz/Document/?doc_id=36920298" TargetMode="External"/><Relationship Id="rId4" Type="http://schemas.openxmlformats.org/officeDocument/2006/relationships/footnotes" Target="footnotes.xml"/><Relationship Id="rId9" Type="http://schemas.openxmlformats.org/officeDocument/2006/relationships/hyperlink" Target="http://online.zakon.kz/Document/?doc_id=1040583" TargetMode="External"/><Relationship Id="rId14" Type="http://schemas.openxmlformats.org/officeDocument/2006/relationships/hyperlink" Target="http://online.zakon.kz/Document/?doc_id=38840311" TargetMode="External"/><Relationship Id="rId22" Type="http://schemas.openxmlformats.org/officeDocument/2006/relationships/hyperlink" Target="https://kyc.kz/" TargetMode="External"/><Relationship Id="rId27" Type="http://schemas.openxmlformats.org/officeDocument/2006/relationships/image" Target="media/image1.png"/><Relationship Id="rId30" Type="http://schemas.openxmlformats.org/officeDocument/2006/relationships/hyperlink" Target="http://online.zakon.kz/Document/?doc_id=30040863" TargetMode="External"/><Relationship Id="rId35"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17354</Words>
  <Characters>98918</Characters>
  <Application>Microsoft Office Word</Application>
  <DocSecurity>0</DocSecurity>
  <Lines>824</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2026-08-28T03:41:00Z</dcterms:created>
  <dcterms:modified xsi:type="dcterms:W3CDTF">2026-08-28T03:41:00Z</dcterms:modified>
</cp:coreProperties>
</file>