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2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Курчатов қалалық мәслихатының 2025 жылғы 22 мамырдағы 27/176-VIII «Курчатов қаласының әлеуметтік көмек көрсетудің, оның мөлшерін белгілеудің және мұқтаж азаматтардың жекелеген сантатарының тізбесін айқындаудың қағидаларын бекіту туралы» шешімінің күші жойылды деп тану туралы шешімнің жобасы</w:t>
      </w:r>
    </w:p>
    <w:tbl>
      <w:tblPr>
        <w:tblW w:w="5000" w:type="pct"/>
        <w:tblCellSpacing w:w="0" w:type="dxa"/>
        <w:tblInd w:w="1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6"/>
        <w:gridCol w:w="4657"/>
        <w:gridCol w:w="4401"/>
      </w:tblGrid>
      <w:tr>
        <w:tblPrEx>
          <w:tblW w:w="5000" w:type="pct"/>
          <w:tblCellSpacing w:w="0" w:type="dxa"/>
          <w:tblInd w:w="16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атауы (НҚА түрін көрсете отырып)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lang w:val="kk-KZ" w:eastAsia="kk-KZ"/>
              </w:rPr>
              <w:t>Курчатов қалалық мәслихатының 2025 жылғы 22 мамырдағы 27/176-VIII «Курчатов қаласының әлеуметтік көмек көрсетудің, оның мөлшерін белгілеудің және мұқтаж азаматтардың жекелеген сантатарының тізбесін айқындаудың қағидаларын бекіту туралы» шешімінің күші жойылды деп тану туралы шешімнің жобасы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Әзірлеуші мемлекеттік орган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lang w:val="kk-KZ" w:eastAsia="kk-KZ"/>
              </w:rPr>
              <w:t>«Абай облысы Курчатов қаласының жұмыспен қамту және әлеуметтік бағдарламалар бөлімі» ММ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3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Қазақстан Республикасы «Құқықтық актілер туралы» Заңының 27-бабына сәйкес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4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қысқаша мазмұны, негізгі ережелердің сипаттамасы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Курчатов қалалық мәслихатының 2025 жылғы 22 мамырдағы 27/176-VIII «Курчатов қаласының әлеуметтік көмек көрсетудің, оның мөлшерін белгілеудің және мұқтаж азаматтардың жекелеген сантатарының тізбесін айқындаудың қағидаларын бекіту туралы» (нормативтік құқықтық актілерді мемлекеттік тіркеу тізілімінде № 459-18 болып тіркелген) шешімінің күші жойылды деп танылсын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5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Күтілетін нәтижелердің нақты мақсаттары мен мерзімдері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Мақсаты – Қазақстан Республикасының заңнамасына сәйкес келтіру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6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Жобаны қабылдауда негативті әлеуметтік-экономикалық және/немесе құқықтық салдарға алып келмейді</w:t>
            </w:r>
          </w:p>
        </w:tc>
      </w:tr>
    </w:tbl>
    <w:p w:rsidR="00A77B3E"/>
    <w:sectPr>
      <w:headerReference w:type="even" r:id="rId4"/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0" type="#_x0000_t136" style="width:406.67pt;height:34.92pt;margin-top:0;margin-left:0;mso-position-horizontal:center;mso-position-horizontal-relative:margin;mso-position-vertical:center;mso-position-vertical-relative:margin;position:absolute;rotation:315;z-index:251659264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1" type="#_x0000_t136" style="width:406.67pt;height:34.92pt;margin-top:0;margin-left:0;mso-position-horizontal:center;mso-position-horizontal-relative:margin;mso-position-vertical:center;mso-position-vertical-relative:margin;position:absolute;rotation:315;z-index:251660288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49" type="#_x0000_t136" style="width:406.67pt;height:34.92pt;margin-top:0;margin-left:0;mso-position-horizontal:center;mso-position-horizontal-relative:margin;mso-position-vertical:center;mso-position-vertical-relative:margin;position:absolute;rotation:315;z-index:251658240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