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132BF" w14:textId="77777777" w:rsidR="00DF46C5" w:rsidRDefault="00DF46C5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6944955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Д</w:t>
      </w:r>
      <w:r w:rsidRPr="00562448">
        <w:rPr>
          <w:rFonts w:ascii="Arial" w:hAnsi="Arial" w:cs="Arial"/>
          <w:b/>
          <w:color w:val="C00000"/>
          <w:sz w:val="28"/>
          <w:szCs w:val="28"/>
        </w:rPr>
        <w:t>екларировани</w:t>
      </w:r>
      <w:r>
        <w:rPr>
          <w:rFonts w:ascii="Arial" w:hAnsi="Arial" w:cs="Arial"/>
          <w:b/>
          <w:color w:val="C00000"/>
          <w:sz w:val="28"/>
          <w:szCs w:val="28"/>
        </w:rPr>
        <w:t>е доходов физических лиц</w:t>
      </w:r>
      <w:r w:rsidRPr="00562448"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14:paraId="0722F1A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629E01A3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 xml:space="preserve">15.07.2025г. подписан Закон, предусматривающий освобождение с 1 января 2025 года лиц четвертого этапа декларирования (пенсионеры, работники частных структур, студенты, домохозяйки и др.), за исключением лиц, имеющих активы, имущество и банковские счета за рубежом. </w:t>
      </w:r>
    </w:p>
    <w:p w14:paraId="62B1C638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 xml:space="preserve">Так в 2025 году обязаны представить декларацию об активах и обязательствах: </w:t>
      </w:r>
    </w:p>
    <w:p w14:paraId="590E43C9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 кандидаты на выборные и государственные должности, а также их супруги;</w:t>
      </w:r>
    </w:p>
    <w:p w14:paraId="134B5003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2) лица, претендующие на статус крупного участника: банков; рынка ценных бумаг и страховых организаций, а также их супруги;</w:t>
      </w:r>
    </w:p>
    <w:p w14:paraId="4B493C5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3) лица, занимающиеся частной практикой (нотариусы, адвокаты, частные судебные исполнители, медиаторы);</w:t>
      </w:r>
    </w:p>
    <w:p w14:paraId="539C8063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4) граждане и резиденты РК, владеющие цифровыми активами.</w:t>
      </w:r>
    </w:p>
    <w:p w14:paraId="35F64B4E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>5)</w:t>
      </w:r>
      <w:r w:rsidRPr="00562448">
        <w:rPr>
          <w:rFonts w:ascii="Arial" w:hAnsi="Arial" w:cs="Arial"/>
          <w:b/>
          <w:sz w:val="28"/>
          <w:szCs w:val="28"/>
        </w:rPr>
        <w:tab/>
        <w:t xml:space="preserve"> граждане и резиденты РК, владеющие имуществом за рубежом, включая:</w:t>
      </w:r>
    </w:p>
    <w:p w14:paraId="44B3B40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недвижимость, транспортные средства, землю;</w:t>
      </w:r>
    </w:p>
    <w:p w14:paraId="3D0EF97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долю участия в иностранных компаниях;</w:t>
      </w:r>
    </w:p>
    <w:p w14:paraId="0286150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деньги на счетах в иностранных банках, если их сумма в совокупности превышает 1000-кратный размер МРП (в 2024 году МРП-3692тг., 1000х3692=3 692 000тг.);</w:t>
      </w:r>
    </w:p>
    <w:p w14:paraId="6CE1F84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инвестиционное золото;</w:t>
      </w:r>
    </w:p>
    <w:p w14:paraId="33FF696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долю участия в жилищном строительстве;</w:t>
      </w:r>
    </w:p>
    <w:p w14:paraId="687AA30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ценные бумаги, производные финансовые инструменты, эмитенты которых зарегистрированы за рубежом;</w:t>
      </w:r>
    </w:p>
    <w:p w14:paraId="43CE0A6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деньги на иностранных брокерских счетах;</w:t>
      </w:r>
    </w:p>
    <w:p w14:paraId="5271113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объекты интеллектуальной собственности, авторского права;</w:t>
      </w:r>
    </w:p>
    <w:p w14:paraId="56AE4CF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lastRenderedPageBreak/>
        <w:t xml:space="preserve">- дебиторскую/кредиторскую задолженность других лиц перед физическим лицом и (или) задолженность физического лица перед другими лицами (с приложением подтверждающих документов);   </w:t>
      </w:r>
    </w:p>
    <w:p w14:paraId="77CC4FD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другое имущество (по желанию) стоимостью свыше 1000-кратный размер МРП (при наличии оценочной стоимости).</w:t>
      </w:r>
    </w:p>
    <w:p w14:paraId="7420B5D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25ECC9CE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В Декларации об активах и обязательствах отражается информации о наличии:</w:t>
      </w:r>
    </w:p>
    <w:p w14:paraId="0806AF7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 имущества подлежащее гос. или иной регистрации за пределами РК:</w:t>
      </w:r>
    </w:p>
    <w:p w14:paraId="03854018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недвижимое имущество, земельные участки и (или) земельные доли, воздушные и морские суда, суда внутреннего водного плавания, суда плавания "река-море";</w:t>
      </w:r>
    </w:p>
    <w:p w14:paraId="29F89B7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транспортные средства, специальная техника и (или) прицепы;</w:t>
      </w:r>
    </w:p>
    <w:p w14:paraId="41719174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деньги на банковских счетах в иностранных банках, за пределами РК, в сумме, совокупно превышающей по всем банковским вкладам 1000-МРП.</w:t>
      </w:r>
    </w:p>
    <w:p w14:paraId="3CE5EBD4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Лица, принимающие в соответствии с ЗРК "О противодействии коррупции" антикоррупционное ограничение по открытию и владению счетами (вкладами) в иностранных банках, расположенных за пределами РК, отражают информацию о наличии денег вне зависимости от суммы банковского вклада;</w:t>
      </w:r>
    </w:p>
    <w:p w14:paraId="5B94F1F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2) имущества в РК и (или) за ее пределами:</w:t>
      </w:r>
    </w:p>
    <w:p w14:paraId="7C1280CA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доля в строительстве недвижимости по договору о долевом участии в строительстве;</w:t>
      </w:r>
    </w:p>
    <w:p w14:paraId="6CE3C835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доля участия в уставном капитале юридического лица, созданном за пределами Республики Казахстан;</w:t>
      </w:r>
    </w:p>
    <w:p w14:paraId="798478A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 xml:space="preserve">ценные бумаги, за исключением производных ценных бумаг, базовым активом которых являются ценные бумаги, эмитенты которых </w:t>
      </w:r>
      <w:r w:rsidRPr="00562448">
        <w:rPr>
          <w:rFonts w:ascii="Arial" w:hAnsi="Arial" w:cs="Arial"/>
          <w:sz w:val="28"/>
          <w:szCs w:val="28"/>
        </w:rPr>
        <w:lastRenderedPageBreak/>
        <w:t>зарегистрированы на территории Республики Казахстан, цифровые активы;</w:t>
      </w:r>
    </w:p>
    <w:p w14:paraId="6A14E7E5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инвестиционное золото;</w:t>
      </w:r>
    </w:p>
    <w:p w14:paraId="3F111E93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объекты интеллектуальной собственности, авторского права;</w:t>
      </w:r>
    </w:p>
    <w:p w14:paraId="0ECEB3D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деньги на иностранных брокерских счетах;</w:t>
      </w:r>
    </w:p>
    <w:p w14:paraId="2AD5E8B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наличные деньги, которые указываются в сумме, не превышающей предел 10000 МРП;</w:t>
      </w:r>
    </w:p>
    <w:p w14:paraId="6B4CA0D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дебиторская и кредиторская задолженность;</w:t>
      </w:r>
    </w:p>
    <w:p w14:paraId="75C46B4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3) другое имущество (по желанию) стоимостью свыше 1000-кратный размер МРП (при наличии оценочной стоимости).</w:t>
      </w:r>
    </w:p>
    <w:p w14:paraId="0B5505D3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57CD2094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>Перечень сведений, подлежащих отражению в декларации об активах и обязательствах дополнен в части:</w:t>
      </w:r>
    </w:p>
    <w:p w14:paraId="7367BF0E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отражения денег на иностранных брокерских счетах;</w:t>
      </w:r>
    </w:p>
    <w:p w14:paraId="6E196E80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проведения оценки имущества стоимостью свыше 1000 МРП в том числе в иностранном государстве, оценочная стоимость должна быть определена не позднее 15 сентября;</w:t>
      </w:r>
    </w:p>
    <w:p w14:paraId="60B10C6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- подтверждения наличия дебиторкской/кредиторской задолженности помимо нотариально заверенного договора, также:</w:t>
      </w:r>
    </w:p>
    <w:p w14:paraId="0336890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актом сверки и договором ГПХ между ФЛ и ЮЛ и (или) ИП, в т. ч. являющимся нерезидентом;</w:t>
      </w:r>
    </w:p>
    <w:p w14:paraId="5E341D7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решением суда, вступившим в законную силу.</w:t>
      </w:r>
    </w:p>
    <w:p w14:paraId="105C7B5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6F3854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>После пересмотра перечня лиц, обязанных представить декларацию о доходах и имуществе (форма 270.00), обязаны сдавать декларацию:</w:t>
      </w:r>
    </w:p>
    <w:p w14:paraId="074DC1A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</w:t>
      </w:r>
      <w:r w:rsidRPr="00562448">
        <w:rPr>
          <w:rFonts w:ascii="Arial" w:hAnsi="Arial" w:cs="Arial"/>
          <w:sz w:val="28"/>
          <w:szCs w:val="28"/>
        </w:rPr>
        <w:tab/>
        <w:t>государственные служащие и приравненные к ним лица, а также их супруги;</w:t>
      </w:r>
    </w:p>
    <w:p w14:paraId="4D09EB1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2)</w:t>
      </w:r>
      <w:r w:rsidRPr="00562448">
        <w:rPr>
          <w:rFonts w:ascii="Arial" w:hAnsi="Arial" w:cs="Arial"/>
          <w:sz w:val="28"/>
          <w:szCs w:val="28"/>
        </w:rPr>
        <w:tab/>
        <w:t>крупные участники банков, рынка ценных бумаг и страховых организаций, а также их супруги;</w:t>
      </w:r>
    </w:p>
    <w:p w14:paraId="108DCF7E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lastRenderedPageBreak/>
        <w:t>3)</w:t>
      </w:r>
      <w:r w:rsidRPr="00562448">
        <w:rPr>
          <w:rFonts w:ascii="Arial" w:hAnsi="Arial" w:cs="Arial"/>
          <w:sz w:val="28"/>
          <w:szCs w:val="28"/>
        </w:rPr>
        <w:tab/>
        <w:t>руководители, учредители (участники) субъектов квазигосударственного сектора, юридических лиц, владеющие более чем 10% доли в уставном капитале (акций акционерных обществ), а также их супруги;</w:t>
      </w:r>
    </w:p>
    <w:p w14:paraId="2B5DD65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4)</w:t>
      </w:r>
      <w:r w:rsidRPr="00562448">
        <w:rPr>
          <w:rFonts w:ascii="Arial" w:hAnsi="Arial" w:cs="Arial"/>
          <w:sz w:val="28"/>
          <w:szCs w:val="28"/>
        </w:rPr>
        <w:tab/>
        <w:t>лица, занимающиеся частной практикой (нотариусы, адвокаты, частные судебные исполнители, медиаторы);</w:t>
      </w:r>
    </w:p>
    <w:p w14:paraId="49F4789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5)</w:t>
      </w:r>
      <w:r w:rsidRPr="00562448">
        <w:rPr>
          <w:rFonts w:ascii="Arial" w:hAnsi="Arial" w:cs="Arial"/>
          <w:sz w:val="28"/>
          <w:szCs w:val="28"/>
        </w:rPr>
        <w:tab/>
        <w:t>лица, получившие доходы, подлежащие самостоятельному налогообложению (доходы от аренды имущества; вознаграждения по зарубежным банковским счетам; доходы от операций с цифровыми активами; иные доходы, по которым налог не удерживался у источника выплаты), за исключением доходов от ИП;</w:t>
      </w:r>
    </w:p>
    <w:p w14:paraId="42C3CA9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6)</w:t>
      </w:r>
      <w:r w:rsidRPr="00562448">
        <w:rPr>
          <w:rFonts w:ascii="Arial" w:hAnsi="Arial" w:cs="Arial"/>
          <w:sz w:val="28"/>
          <w:szCs w:val="28"/>
        </w:rPr>
        <w:tab/>
        <w:t>лица, имеющие денежные средства на счетах в иностранных банках, если их сумма в совокупности превышает 1000-кратный размер МРП;</w:t>
      </w:r>
    </w:p>
    <w:p w14:paraId="6C3F0AF8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7)</w:t>
      </w:r>
      <w:r w:rsidRPr="00562448">
        <w:rPr>
          <w:rFonts w:ascii="Arial" w:hAnsi="Arial" w:cs="Arial"/>
          <w:sz w:val="28"/>
          <w:szCs w:val="28"/>
        </w:rPr>
        <w:tab/>
        <w:t xml:space="preserve">лица, имеющие активы за рубежом (недвижимость, транспортные средства, ценные бумаги, ПФИ, инвестиционное золото, долю в иностранных компаниях; долю участия в жилищном строительстве,); </w:t>
      </w:r>
    </w:p>
    <w:p w14:paraId="4994B45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8)</w:t>
      </w:r>
      <w:r w:rsidRPr="00562448">
        <w:rPr>
          <w:rFonts w:ascii="Arial" w:hAnsi="Arial" w:cs="Arial"/>
          <w:sz w:val="28"/>
          <w:szCs w:val="28"/>
        </w:rPr>
        <w:tab/>
        <w:t>лица, имеющие в собственности цифровые активы;</w:t>
      </w:r>
    </w:p>
    <w:p w14:paraId="68D67AB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>9)</w:t>
      </w:r>
      <w:r w:rsidRPr="00562448">
        <w:rPr>
          <w:rFonts w:ascii="Arial" w:hAnsi="Arial" w:cs="Arial"/>
          <w:b/>
          <w:sz w:val="28"/>
          <w:szCs w:val="28"/>
        </w:rPr>
        <w:tab/>
        <w:t>лица, которые в течение отчетного налогового периода приобретали имущество, совокупной стоимостью свыше 20 000 МРП 78,6 млн. тг.), в том числе за пределами РК.</w:t>
      </w:r>
    </w:p>
    <w:p w14:paraId="072F9368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>10) лица, которые представили налоговому агенту заявление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562448">
        <w:rPr>
          <w:rFonts w:ascii="Arial" w:hAnsi="Arial" w:cs="Arial"/>
          <w:b/>
          <w:sz w:val="28"/>
          <w:szCs w:val="28"/>
        </w:rPr>
        <w:t>о применении налоговых вычетов в виде предварительной суммы прочих вычетов.</w:t>
      </w:r>
    </w:p>
    <w:p w14:paraId="4736C21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1AC0C6D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В Декларации о доходах и имуществе отражается информация о:</w:t>
      </w:r>
    </w:p>
    <w:p w14:paraId="709A1CA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 доходах, подлежащих налогообложению ФЛ самостоятельно, за исключением подлежащих декларированию доходов ИП от предпринимательской деятельности;</w:t>
      </w:r>
    </w:p>
    <w:p w14:paraId="634ACD25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lastRenderedPageBreak/>
        <w:t xml:space="preserve">2) налоговых вычетах; </w:t>
      </w:r>
    </w:p>
    <w:p w14:paraId="47ACFC6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3) приобретении и (или) отчуждении имущества за пределами Республики Казахстан, в том числе на безвозмездной основе;</w:t>
      </w:r>
    </w:p>
    <w:p w14:paraId="525BCDD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4) требовании по зачету и возврату суммы превышения по ИПН;</w:t>
      </w:r>
    </w:p>
    <w:p w14:paraId="26F48374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5) деньгах на банковских счетах в иностранных банках, находящихся за пределами РК, в сумме, в совокупности превышающей 1000 МРП;</w:t>
      </w:r>
    </w:p>
    <w:p w14:paraId="0D63C48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6) имуществе, имеющемся по состоянию на 31 декабря отчетного налогового периода на праве собственности физического лица:</w:t>
      </w:r>
    </w:p>
    <w:p w14:paraId="4776F1D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имуществе, которое подлежит гос. или иной регистрации (учету) либо права и (или) сделки по которому подлежат гос. или иной регистрации (учету) в компетентном органе иностранного государства в соответствии с законодательством иностранного государства;</w:t>
      </w:r>
    </w:p>
    <w:p w14:paraId="3927AE0D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ценных бумагах, эмитенты которых зарегистрированы за пределами Республики Казахстан, цифровых активах;</w:t>
      </w:r>
    </w:p>
    <w:p w14:paraId="424CFB5E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инвестиционном золоте;</w:t>
      </w:r>
    </w:p>
    <w:p w14:paraId="1E542C6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доле участия в уставном капитале ЮЛ, зарегистрированного за пределами РК;</w:t>
      </w:r>
    </w:p>
    <w:p w14:paraId="1E382A6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7) дебиторской и кредиторской задолженности ФЛ за пределами РК;</w:t>
      </w:r>
    </w:p>
    <w:p w14:paraId="6BC0B4F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5AEA92D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562448">
        <w:rPr>
          <w:rFonts w:ascii="Arial" w:hAnsi="Arial" w:cs="Arial"/>
          <w:b/>
          <w:sz w:val="28"/>
          <w:szCs w:val="28"/>
        </w:rPr>
        <w:t xml:space="preserve">В новом Налоговом кодексе </w:t>
      </w:r>
    </w:p>
    <w:p w14:paraId="740FFD5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Декларацию о доходах и имуществе также обязаны представить:</w:t>
      </w:r>
    </w:p>
    <w:p w14:paraId="2478195A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физические лица, получившие доходы</w:t>
      </w:r>
      <w:r>
        <w:rPr>
          <w:rFonts w:ascii="Arial" w:hAnsi="Arial" w:cs="Arial"/>
          <w:sz w:val="28"/>
          <w:szCs w:val="28"/>
        </w:rPr>
        <w:t>,</w:t>
      </w:r>
      <w:r w:rsidRPr="00562448">
        <w:rPr>
          <w:rFonts w:ascii="Arial" w:hAnsi="Arial" w:cs="Arial"/>
          <w:sz w:val="28"/>
          <w:szCs w:val="28"/>
        </w:rPr>
        <w:t xml:space="preserve"> в том числе за пределами РК</w:t>
      </w:r>
      <w:r>
        <w:rPr>
          <w:rFonts w:ascii="Arial" w:hAnsi="Arial" w:cs="Arial"/>
          <w:sz w:val="28"/>
          <w:szCs w:val="28"/>
        </w:rPr>
        <w:t>,</w:t>
      </w:r>
      <w:r w:rsidRPr="00562448">
        <w:rPr>
          <w:rFonts w:ascii="Arial" w:hAnsi="Arial" w:cs="Arial"/>
          <w:sz w:val="28"/>
          <w:szCs w:val="28"/>
        </w:rPr>
        <w:t xml:space="preserve"> свыше 8500 МРП;</w:t>
      </w:r>
    </w:p>
    <w:p w14:paraId="2E71647E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физические лица, получившие доход в виде дивидендов, в том числе за пределами РК, свыше 230 000 МРП;</w:t>
      </w:r>
    </w:p>
    <w:p w14:paraId="4F290499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исключены лица, представившие заявление о применении налоговых вычетов.</w:t>
      </w:r>
    </w:p>
    <w:p w14:paraId="73A23EB7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24CEA38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lastRenderedPageBreak/>
        <w:t>ФЛ, представившие налоговому агенту заявление о применении налоговых вычетов в виде предварительной суммы прочих вычетов за 2025 год, обязаны представить декларацию о доходах и имуществе за 2025 год.</w:t>
      </w:r>
    </w:p>
    <w:p w14:paraId="4BC223DC" w14:textId="77777777" w:rsidR="009753A9" w:rsidRDefault="009753A9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71E68DA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ФЛ при возникновении превышения по ИПН вправе зачесть и (или) вернуть такое превышение, при указании требования о зачете и (или) возврате превышения по ИПН,  в декларации о доходах и имуществе за 2025 год.</w:t>
      </w:r>
    </w:p>
    <w:p w14:paraId="34D44A1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В ходе сверки производится:</w:t>
      </w:r>
    </w:p>
    <w:p w14:paraId="4F2BC7F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 сопоставление сведений, отраженных в декларации о доходах и имуществе, с данными налоговых агентов и уполномоченных лиц;</w:t>
      </w:r>
    </w:p>
    <w:p w14:paraId="5DA27C75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2) подтверждение обоснованности применения налоговых вычетов и сумм расходов, признаваемых налоговыми вычетами;</w:t>
      </w:r>
    </w:p>
    <w:p w14:paraId="3D8D83C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3) подтверждение суммы превышения по индивидуальному подоходному налогу, заявленной к зачету и (или) возврату.</w:t>
      </w:r>
    </w:p>
    <w:p w14:paraId="790512A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По документам на иностранном языке, обязательно наличие нотариально засвидетельствованного перевода таких документов на казахский или русский язык.</w:t>
      </w:r>
    </w:p>
    <w:p w14:paraId="52A974B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При проведении безналичных платежей по оплате услуг в качестве документа, подтверждающего фактические расходы на оплату таких услуг, является один из следующих документов при условии наличия в нем наименования и идентификационного номера лица, в пользу которого была произведена оплата таких расходов:</w:t>
      </w:r>
    </w:p>
    <w:p w14:paraId="49EEBD62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платежный документ, составляемый при осуществлении платежей и переводов денег с использованием банковского счета либо без использования банковского счета;</w:t>
      </w:r>
    </w:p>
    <w:p w14:paraId="66E447F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чек, составляемый при осуществлении платежей и переводов денег с использованием платежной карточки либо через электронные терминалы (далее - чек);</w:t>
      </w:r>
    </w:p>
    <w:p w14:paraId="5EA8E59B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lastRenderedPageBreak/>
        <w:t>выписка о движении денег по банковскому счету (далее - выписка).</w:t>
      </w:r>
    </w:p>
    <w:p w14:paraId="107D4B38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В случае получения и оплаты указанных услуг за пределами РК указание в чеках и выписках идентификационного номера лица, в пользу которого была произведена оплата таких услуг, не требуется.</w:t>
      </w:r>
    </w:p>
    <w:p w14:paraId="31BB6A01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Непредставление в установленный срок копий документов и не подтверждение их подлинности предъявлением оригиналов является основанием неподтверждения суммы превышения по ИПН и направления заключения о неподтверждении суммы превышения ИПН.</w:t>
      </w:r>
    </w:p>
    <w:p w14:paraId="7DDE66DA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Налоговый орган проверяет обоснованность применения ФЛ налоговых вычетов и формирует следующие заключения о:</w:t>
      </w:r>
    </w:p>
    <w:p w14:paraId="581CA5C4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 подтверждении суммы превышения по ИПН полностью;</w:t>
      </w:r>
    </w:p>
    <w:p w14:paraId="5E1031A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2) подтверждении суммы превышения по ИПН в части с указанием причин неполного подтверждения;</w:t>
      </w:r>
    </w:p>
    <w:p w14:paraId="2E4EEC7A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3) неподтверждении суммы превышения по ИПН с указанием причин.</w:t>
      </w:r>
    </w:p>
    <w:p w14:paraId="24D2DF5C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Заключения направляются:</w:t>
      </w:r>
    </w:p>
    <w:p w14:paraId="48CF9A7F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1) электронному налогоплательщику - электронным способом через веб-приложение;</w:t>
      </w:r>
    </w:p>
    <w:p w14:paraId="5F66DE50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>2) остальным налогоплательщикам - по почте заказным письмом с уведомлением.</w:t>
      </w:r>
    </w:p>
    <w:p w14:paraId="086B9DA6" w14:textId="77777777" w:rsidR="00562448" w:rsidRP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 xml:space="preserve"> Зачет и (или) возврат суммы превышения по ИПН производятся на основании заключения в пределах заявленной ФЛ суммы превышения по ИПН в случае отсутствия у налогового агента налоговой задолженности по ИПН за 2025 год не позднее 15 сентября года, следующего за годом представления декларации о доходах и имуществе.</w:t>
      </w:r>
    </w:p>
    <w:p w14:paraId="238BA314" w14:textId="7293AE5A" w:rsidR="00562448" w:rsidRDefault="00562448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62448">
        <w:rPr>
          <w:rFonts w:ascii="Arial" w:hAnsi="Arial" w:cs="Arial"/>
          <w:sz w:val="28"/>
          <w:szCs w:val="28"/>
        </w:rPr>
        <w:t xml:space="preserve">В случае представления декларации о доходах и имуществе позже 15 сентября 2026 года, а также доп. декларации и указания реквизитов банковского счета зачет и (или) возврат суммы превышения </w:t>
      </w:r>
      <w:r w:rsidRPr="00562448">
        <w:rPr>
          <w:rFonts w:ascii="Arial" w:hAnsi="Arial" w:cs="Arial"/>
          <w:sz w:val="28"/>
          <w:szCs w:val="28"/>
        </w:rPr>
        <w:lastRenderedPageBreak/>
        <w:t>по индивидуальному подоходному налогу физического лица производятся в срок не позднее двенадцати месяцев с даты представления такой декларации о доходах и имуществе.</w:t>
      </w:r>
    </w:p>
    <w:p w14:paraId="26949E85" w14:textId="055C36BD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DACB645" w14:textId="4985648C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1D6F1A9D" w14:textId="680B807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1C4C3A3C" w14:textId="34A8D84E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C7EEF84" w14:textId="28A452DB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30B6E6E" w14:textId="3C34D9E4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5297C789" w14:textId="6D1C077A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6757D458" w14:textId="3EB89EFD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BB820E8" w14:textId="31BCF24B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8A7E224" w14:textId="2FBD2559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064E848E" w14:textId="5E8C1CC4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038760D" w14:textId="0D282020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5765343B" w14:textId="1AF256BA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5DF5E487" w14:textId="63E984BA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1095C829" w14:textId="5C153E9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60F081D" w14:textId="29F76839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13662DE6" w14:textId="6E39E07B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D65C24C" w14:textId="54060F4C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0785B76C" w14:textId="7294263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88AEE70" w14:textId="505B05A4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EF45040" w14:textId="2A849379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B1A5F33" w14:textId="28DF025B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0E6A1DBA" w14:textId="76ABCEBC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82708B8" w14:textId="319EC58E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30DA11E" w14:textId="5BA0D25E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43B342FB" w14:textId="1782AB66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0AF61983" w14:textId="7777777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14:paraId="3D3EEE68" w14:textId="77777777" w:rsid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  <w:r w:rsidRPr="00C47935">
        <w:rPr>
          <w:rFonts w:ascii="Arial" w:hAnsi="Arial" w:cs="Arial"/>
          <w:b/>
          <w:bCs/>
          <w:color w:val="C00000"/>
          <w:sz w:val="28"/>
          <w:szCs w:val="28"/>
        </w:rPr>
        <w:lastRenderedPageBreak/>
        <w:t>НАЛОГ НА ТРАНСПОРТНЫЕ СРЕДСТВА</w:t>
      </w:r>
      <w:r w:rsidRPr="00C47935">
        <w:rPr>
          <w:rFonts w:ascii="Arial" w:hAnsi="Arial" w:cs="Arial"/>
          <w:color w:val="C00000"/>
          <w:sz w:val="28"/>
          <w:szCs w:val="28"/>
        </w:rPr>
        <w:t xml:space="preserve"> </w:t>
      </w:r>
    </w:p>
    <w:p w14:paraId="324CF0F0" w14:textId="77777777" w:rsidR="00C47935" w:rsidRP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C47935">
        <w:rPr>
          <w:rFonts w:ascii="Arial" w:hAnsi="Arial" w:cs="Arial"/>
          <w:color w:val="auto"/>
          <w:sz w:val="28"/>
          <w:szCs w:val="28"/>
        </w:rPr>
        <w:t>Изменен порядок исчисления налога на транспорт по легковым автомобилям, у которых срок эксплуатации превышает 10 лет, применяется поправочный коэффициент – 0,</w:t>
      </w:r>
      <w:r w:rsidR="00835C9B">
        <w:rPr>
          <w:rFonts w:ascii="Arial" w:hAnsi="Arial" w:cs="Arial"/>
          <w:color w:val="auto"/>
          <w:sz w:val="28"/>
          <w:szCs w:val="28"/>
        </w:rPr>
        <w:t>7</w:t>
      </w:r>
      <w:r w:rsidRPr="00C47935">
        <w:rPr>
          <w:rFonts w:ascii="Arial" w:hAnsi="Arial" w:cs="Arial"/>
          <w:color w:val="auto"/>
          <w:sz w:val="28"/>
          <w:szCs w:val="28"/>
        </w:rPr>
        <w:t>, свыше 20 лет поправочный коэффициент – 0,5.</w:t>
      </w:r>
    </w:p>
    <w:p w14:paraId="4CC3E2E8" w14:textId="77777777" w:rsidR="00C47935" w:rsidRP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C47935">
        <w:rPr>
          <w:rFonts w:ascii="Arial" w:hAnsi="Arial" w:cs="Arial"/>
          <w:color w:val="auto"/>
          <w:sz w:val="28"/>
          <w:szCs w:val="28"/>
        </w:rPr>
        <w:t>Освобождены от уплаты налога на транспорт крестьянские фермерские хозяйства по одному легковому моторному транспортному средству с платформой для грузов и кабиной водителя, отделенной от грузового отсека жесткой стационарной перегородкой, (автомобили-пикапы) на одно крестьянское или фермерское хозяйство.</w:t>
      </w:r>
    </w:p>
    <w:p w14:paraId="11E4AF35" w14:textId="77777777" w:rsidR="00C47935" w:rsidRP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C47935">
        <w:rPr>
          <w:rFonts w:ascii="Arial" w:hAnsi="Arial" w:cs="Arial"/>
          <w:color w:val="auto"/>
          <w:sz w:val="28"/>
          <w:szCs w:val="28"/>
        </w:rPr>
        <w:t>Исключена норма по отнесению категорий транспортных средств в зависимости от вида транспортного средства (пикапы, джипы, лимузины, фургоны) с уточнением определения категории транспортных средств в зависимости от категории право управления транспортным средством (А.В.С.D).</w:t>
      </w:r>
    </w:p>
    <w:p w14:paraId="0D223E54" w14:textId="77777777" w:rsidR="00C47935" w:rsidRP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C47935">
        <w:rPr>
          <w:rFonts w:ascii="Arial" w:hAnsi="Arial" w:cs="Arial"/>
          <w:color w:val="auto"/>
          <w:sz w:val="28"/>
          <w:szCs w:val="28"/>
        </w:rPr>
        <w:t xml:space="preserve">Исключены ставки для легковых автомобилей с объемом двигателя свыше 3000 кубических сантиметров, произведенных (изготовленных или собранных) в Республике Казахстан после 31 декабря 2013 года или ввезенных на территорию Республики Казахстан после 31 декабря 2013 года. </w:t>
      </w:r>
    </w:p>
    <w:p w14:paraId="75BDC739" w14:textId="77777777" w:rsidR="00C47935" w:rsidRP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C47935">
        <w:rPr>
          <w:rFonts w:ascii="Arial" w:hAnsi="Arial" w:cs="Arial"/>
          <w:color w:val="auto"/>
          <w:sz w:val="28"/>
          <w:szCs w:val="28"/>
        </w:rPr>
        <w:t xml:space="preserve">Исключено обязательство по представлению расчета текущих платежей по налогу на транспортные средства ЮЛ (налоговая отчетность) налогоплательщик будет представлять только декларацию по итогам года и соответственно производить уплату.  </w:t>
      </w:r>
    </w:p>
    <w:p w14:paraId="0C90C414" w14:textId="77777777" w:rsidR="00C47935" w:rsidRPr="00C47935" w:rsidRDefault="00C4793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C47935">
        <w:rPr>
          <w:rFonts w:ascii="Arial" w:hAnsi="Arial" w:cs="Arial"/>
          <w:color w:val="auto"/>
          <w:sz w:val="28"/>
          <w:szCs w:val="28"/>
        </w:rPr>
        <w:t>Исключено обязательство по представлению расчета текущих платежей по земельному налогу ЮЛ и ИП (налоговая отчетность) налогоплательщик будет представлять только декларацию по итогам года и соответственно производить уплату.</w:t>
      </w:r>
    </w:p>
    <w:p w14:paraId="28BEFC2C" w14:textId="7DF9CA92" w:rsidR="00804E45" w:rsidRDefault="00804E45" w:rsidP="00B1196A">
      <w:pPr>
        <w:pStyle w:val="pj"/>
        <w:spacing w:line="360" w:lineRule="auto"/>
        <w:ind w:firstLine="709"/>
        <w:rPr>
          <w:rFonts w:ascii="Arial" w:hAnsi="Arial" w:cs="Arial"/>
          <w:b/>
          <w:bCs/>
          <w:color w:val="C00000"/>
          <w:sz w:val="28"/>
          <w:szCs w:val="28"/>
        </w:rPr>
      </w:pPr>
    </w:p>
    <w:p w14:paraId="72DD4CC1" w14:textId="7777777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b/>
          <w:bCs/>
          <w:color w:val="C00000"/>
          <w:sz w:val="28"/>
          <w:szCs w:val="28"/>
        </w:rPr>
      </w:pPr>
    </w:p>
    <w:p w14:paraId="41DCF3B5" w14:textId="77777777" w:rsidR="00804E45" w:rsidRDefault="00804E45" w:rsidP="00B1196A">
      <w:pPr>
        <w:pStyle w:val="pj"/>
        <w:spacing w:line="360" w:lineRule="auto"/>
        <w:ind w:firstLine="709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lastRenderedPageBreak/>
        <w:t xml:space="preserve">ЗЕМЕЛЬНЫЙ НАЛОГ </w:t>
      </w:r>
    </w:p>
    <w:p w14:paraId="547E4AC8" w14:textId="77777777" w:rsidR="00804E45" w:rsidRPr="00804E45" w:rsidRDefault="00804E4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804E45">
        <w:rPr>
          <w:rFonts w:ascii="Arial" w:hAnsi="Arial" w:cs="Arial"/>
          <w:color w:val="auto"/>
          <w:sz w:val="28"/>
          <w:szCs w:val="28"/>
        </w:rPr>
        <w:t>Исключено обязательство по представлению расчета текущих платежей по земельному налогу ЮЛ и ИП (налоговая отчетность)</w:t>
      </w:r>
      <w:r>
        <w:rPr>
          <w:rFonts w:ascii="Arial" w:hAnsi="Arial" w:cs="Arial"/>
          <w:color w:val="auto"/>
          <w:sz w:val="28"/>
          <w:szCs w:val="28"/>
        </w:rPr>
        <w:t>,</w:t>
      </w:r>
      <w:r w:rsidRPr="00804E45">
        <w:rPr>
          <w:rFonts w:ascii="Arial" w:hAnsi="Arial" w:cs="Arial"/>
          <w:color w:val="auto"/>
          <w:sz w:val="28"/>
          <w:szCs w:val="28"/>
        </w:rPr>
        <w:t xml:space="preserve"> налогоплательщик будет представлять только декларацию по итогам года и соответственно производить уплату.</w:t>
      </w:r>
    </w:p>
    <w:p w14:paraId="0C07C74E" w14:textId="77777777" w:rsidR="00804E45" w:rsidRDefault="00804E45" w:rsidP="00B1196A">
      <w:pPr>
        <w:pStyle w:val="pj"/>
        <w:spacing w:line="360" w:lineRule="auto"/>
        <w:ind w:firstLine="709"/>
      </w:pPr>
      <w:r w:rsidRPr="00804E45">
        <w:rPr>
          <w:rFonts w:ascii="Arial" w:hAnsi="Arial" w:cs="Arial"/>
          <w:color w:val="auto"/>
          <w:sz w:val="28"/>
          <w:szCs w:val="28"/>
        </w:rPr>
        <w:t xml:space="preserve"> Включена норма по исчислению земель сельскохозяйственного назначения, находящиеся в черте населенных пунктов при изменении границ по ставкам, для земель сельхозназначения, при условии использования таких участков в сельскохозяйственных целях.</w:t>
      </w:r>
      <w:r w:rsidRPr="00804E45">
        <w:t xml:space="preserve"> </w:t>
      </w:r>
    </w:p>
    <w:p w14:paraId="2175BD5A" w14:textId="77777777" w:rsidR="00804E45" w:rsidRDefault="00804E4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804E45">
        <w:rPr>
          <w:rFonts w:ascii="Arial" w:hAnsi="Arial" w:cs="Arial"/>
          <w:color w:val="auto"/>
          <w:sz w:val="28"/>
          <w:szCs w:val="28"/>
        </w:rPr>
        <w:t>По земельным участкам сельскохозяйственного назначения, не используемым по назначению или используемым с нарушением законодательства Республики Казахстан, базовые ставки налога, увеличиваются в сорок раз с даты вручения собственнику или землепользователю предписания об устранении нарушений требований земельного законодательства.</w:t>
      </w:r>
    </w:p>
    <w:p w14:paraId="3CEDDA25" w14:textId="77777777" w:rsidR="00804E45" w:rsidRDefault="00804E4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0BD69CFA" w14:textId="77777777" w:rsidR="00C47935" w:rsidRDefault="00804E45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НАЛОГ НА ИМУЩЕСТВО</w:t>
      </w:r>
    </w:p>
    <w:p w14:paraId="4350ED00" w14:textId="77777777" w:rsidR="00804E45" w:rsidRDefault="00804E45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804E45">
        <w:rPr>
          <w:rFonts w:ascii="Arial" w:hAnsi="Arial" w:cs="Arial"/>
          <w:color w:val="auto"/>
          <w:sz w:val="28"/>
          <w:szCs w:val="28"/>
        </w:rPr>
        <w:t xml:space="preserve">Отменен расчет текущих платежей по налогу на имущество, если сумма обязательств не превышает </w:t>
      </w:r>
      <w:r w:rsidR="00E7280F">
        <w:rPr>
          <w:rFonts w:ascii="Arial" w:hAnsi="Arial" w:cs="Arial"/>
          <w:color w:val="auto"/>
          <w:sz w:val="28"/>
          <w:szCs w:val="28"/>
        </w:rPr>
        <w:t>300 МРП</w:t>
      </w:r>
      <w:r w:rsidRPr="00804E45">
        <w:rPr>
          <w:rFonts w:ascii="Arial" w:hAnsi="Arial" w:cs="Arial"/>
          <w:color w:val="auto"/>
          <w:sz w:val="28"/>
          <w:szCs w:val="28"/>
        </w:rPr>
        <w:t xml:space="preserve">. Если сумма платежей менее </w:t>
      </w:r>
      <w:r w:rsidR="00E7280F">
        <w:rPr>
          <w:rFonts w:ascii="Arial" w:hAnsi="Arial" w:cs="Arial"/>
          <w:color w:val="auto"/>
          <w:sz w:val="28"/>
          <w:szCs w:val="28"/>
        </w:rPr>
        <w:t>300 МРП</w:t>
      </w:r>
      <w:r w:rsidRPr="00804E45">
        <w:rPr>
          <w:rFonts w:ascii="Arial" w:hAnsi="Arial" w:cs="Arial"/>
          <w:color w:val="auto"/>
          <w:sz w:val="28"/>
          <w:szCs w:val="28"/>
        </w:rPr>
        <w:t>, налогоплательщик будет представлять 1 раз только декларацию по итогам года и соответственно производить уплату.</w:t>
      </w:r>
    </w:p>
    <w:p w14:paraId="12A0EC19" w14:textId="77777777" w:rsidR="00E7280F" w:rsidRP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Налоговой базой по зданиям, сооружениям </w:t>
      </w:r>
      <w:r w:rsidRPr="00E7280F">
        <w:rPr>
          <w:rFonts w:ascii="Arial" w:hAnsi="Arial" w:cs="Arial"/>
          <w:color w:val="auto"/>
          <w:sz w:val="28"/>
          <w:szCs w:val="28"/>
        </w:rPr>
        <w:t xml:space="preserve">является среднегодовая балансовая стоимость объектов налогообложения, определяемая по данным бухгалтерского учета, </w:t>
      </w:r>
      <w:r w:rsidRPr="00E7280F">
        <w:rPr>
          <w:rFonts w:ascii="Arial" w:hAnsi="Arial" w:cs="Arial"/>
          <w:b/>
          <w:color w:val="auto"/>
          <w:sz w:val="28"/>
          <w:szCs w:val="28"/>
        </w:rPr>
        <w:t>с учетом произведенной переоценки имущества</w:t>
      </w:r>
      <w:r w:rsidRPr="00E7280F">
        <w:rPr>
          <w:rFonts w:ascii="Arial" w:hAnsi="Arial" w:cs="Arial"/>
          <w:color w:val="auto"/>
          <w:sz w:val="28"/>
          <w:szCs w:val="28"/>
        </w:rPr>
        <w:t>.</w:t>
      </w:r>
    </w:p>
    <w:p w14:paraId="428E3F6B" w14:textId="77777777" w:rsid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auto"/>
          <w:sz w:val="28"/>
          <w:szCs w:val="28"/>
        </w:rPr>
      </w:pPr>
      <w:r w:rsidRPr="00E7280F">
        <w:rPr>
          <w:rFonts w:ascii="Arial" w:hAnsi="Arial" w:cs="Arial"/>
          <w:b/>
          <w:color w:val="auto"/>
          <w:sz w:val="28"/>
          <w:szCs w:val="28"/>
        </w:rPr>
        <w:t>При этом такая оценка имущества должна производиться не реже одного раза в каждые три года.</w:t>
      </w:r>
    </w:p>
    <w:p w14:paraId="6623B885" w14:textId="4695D6D6" w:rsid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auto"/>
          <w:sz w:val="28"/>
          <w:szCs w:val="28"/>
        </w:rPr>
      </w:pPr>
    </w:p>
    <w:p w14:paraId="7D5FA036" w14:textId="579F751B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auto"/>
          <w:sz w:val="28"/>
          <w:szCs w:val="28"/>
        </w:rPr>
      </w:pPr>
    </w:p>
    <w:p w14:paraId="1B5C6F58" w14:textId="7777777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auto"/>
          <w:sz w:val="28"/>
          <w:szCs w:val="28"/>
        </w:rPr>
      </w:pPr>
    </w:p>
    <w:p w14:paraId="036ABF8E" w14:textId="77777777" w:rsid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lastRenderedPageBreak/>
        <w:t>ПЛАТЫ</w:t>
      </w:r>
    </w:p>
    <w:p w14:paraId="31435A04" w14:textId="77777777" w:rsidR="00595046" w:rsidRDefault="00595046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Исключена </w:t>
      </w:r>
      <w:r w:rsidRPr="00595046">
        <w:rPr>
          <w:rFonts w:ascii="Arial" w:hAnsi="Arial" w:cs="Arial"/>
          <w:b/>
          <w:color w:val="auto"/>
          <w:sz w:val="28"/>
          <w:szCs w:val="28"/>
        </w:rPr>
        <w:t>плата за пользование лицензиями на занятие отдельными видами деятельности</w:t>
      </w:r>
      <w:r>
        <w:rPr>
          <w:rFonts w:ascii="Arial" w:hAnsi="Arial" w:cs="Arial"/>
          <w:color w:val="auto"/>
          <w:sz w:val="28"/>
          <w:szCs w:val="28"/>
        </w:rPr>
        <w:t>.</w:t>
      </w:r>
    </w:p>
    <w:p w14:paraId="7FE12477" w14:textId="77777777" w:rsidR="00595046" w:rsidRDefault="00595046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7B40E156" w14:textId="77777777" w:rsidR="00E7280F" w:rsidRP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E7280F">
        <w:rPr>
          <w:rFonts w:ascii="Arial" w:hAnsi="Arial" w:cs="Arial"/>
          <w:color w:val="auto"/>
          <w:sz w:val="28"/>
          <w:szCs w:val="28"/>
        </w:rPr>
        <w:t xml:space="preserve">Освобождены от уплаты </w:t>
      </w:r>
      <w:r w:rsidRPr="00E7280F">
        <w:rPr>
          <w:rFonts w:ascii="Arial" w:hAnsi="Arial" w:cs="Arial"/>
          <w:b/>
          <w:color w:val="auto"/>
          <w:sz w:val="28"/>
          <w:szCs w:val="28"/>
        </w:rPr>
        <w:t>платы за пользование лесными ресурсами</w:t>
      </w:r>
      <w:r w:rsidRPr="00E7280F">
        <w:rPr>
          <w:rFonts w:ascii="Arial" w:hAnsi="Arial" w:cs="Arial"/>
          <w:color w:val="auto"/>
          <w:sz w:val="28"/>
          <w:szCs w:val="28"/>
        </w:rPr>
        <w:t xml:space="preserve"> государственные лесовладельцы и лица, получившие право лесопользования в порядке, определенном Лесным кодексом Республики Казахстан, осуществляющие рубки промежуточного пользования и прочие рубки на участках, пройденных пожарами, если площадь таких пожаров составила свыше ста гектаров.</w:t>
      </w:r>
    </w:p>
    <w:p w14:paraId="0311A70B" w14:textId="77777777" w:rsidR="00E7280F" w:rsidRP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5741FBC7" w14:textId="77777777" w:rsidR="005B01FA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С</w:t>
      </w:r>
      <w:r w:rsidRPr="00E7280F">
        <w:rPr>
          <w:rFonts w:ascii="Arial" w:hAnsi="Arial" w:cs="Arial"/>
          <w:color w:val="auto"/>
          <w:sz w:val="28"/>
          <w:szCs w:val="28"/>
        </w:rPr>
        <w:t xml:space="preserve">тавки </w:t>
      </w:r>
      <w:r w:rsidRPr="00E7280F">
        <w:rPr>
          <w:rFonts w:ascii="Arial" w:hAnsi="Arial" w:cs="Arial"/>
          <w:b/>
          <w:color w:val="auto"/>
          <w:sz w:val="28"/>
          <w:szCs w:val="28"/>
        </w:rPr>
        <w:t>платы за пользование земельными участками</w:t>
      </w:r>
      <w:r w:rsidRPr="00E7280F">
        <w:rPr>
          <w:rFonts w:ascii="Arial" w:hAnsi="Arial" w:cs="Arial"/>
          <w:color w:val="auto"/>
          <w:sz w:val="28"/>
          <w:szCs w:val="28"/>
        </w:rPr>
        <w:t xml:space="preserve"> по участку недр, предоставленному на основании лицензии на разведку или добычу твердых полезных ископаемых</w:t>
      </w:r>
      <w:r>
        <w:rPr>
          <w:rFonts w:ascii="Arial" w:hAnsi="Arial" w:cs="Arial"/>
          <w:color w:val="auto"/>
          <w:sz w:val="28"/>
          <w:szCs w:val="28"/>
        </w:rPr>
        <w:t>, установлены в зависимости от количества блоков</w:t>
      </w:r>
      <w:r w:rsidR="005B01FA">
        <w:rPr>
          <w:rFonts w:ascii="Arial" w:hAnsi="Arial" w:cs="Arial"/>
          <w:color w:val="auto"/>
          <w:sz w:val="28"/>
          <w:szCs w:val="28"/>
        </w:rPr>
        <w:t xml:space="preserve"> и от периода разведки</w:t>
      </w:r>
      <w:r w:rsidRPr="00E7280F">
        <w:rPr>
          <w:rFonts w:ascii="Arial" w:hAnsi="Arial" w:cs="Arial"/>
          <w:color w:val="auto"/>
          <w:sz w:val="28"/>
          <w:szCs w:val="28"/>
        </w:rPr>
        <w:t>.</w:t>
      </w:r>
    </w:p>
    <w:p w14:paraId="1964F6A3" w14:textId="77777777" w:rsidR="005B01FA" w:rsidRPr="00E7280F" w:rsidRDefault="005B01FA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4"/>
        <w:gridCol w:w="4090"/>
        <w:gridCol w:w="4091"/>
      </w:tblGrid>
      <w:tr w:rsidR="005B01FA" w14:paraId="0A2ED221" w14:textId="77777777" w:rsidTr="00B1196A"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68090" w14:textId="77777777" w:rsidR="005B01FA" w:rsidRDefault="005B01FA" w:rsidP="00B1196A">
            <w:pPr>
              <w:pStyle w:val="pc"/>
              <w:ind w:firstLine="709"/>
            </w:pPr>
            <w:r>
              <w:t>№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EFABC" w14:textId="77777777" w:rsidR="005B01FA" w:rsidRDefault="005B01FA" w:rsidP="00B1196A">
            <w:pPr>
              <w:pStyle w:val="pc"/>
              <w:ind w:firstLine="709"/>
            </w:pPr>
            <w:r>
              <w:t>Период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60A1D" w14:textId="77777777" w:rsidR="005B01FA" w:rsidRDefault="005B01FA" w:rsidP="00B1196A">
            <w:pPr>
              <w:pStyle w:val="pc"/>
              <w:ind w:firstLine="709"/>
            </w:pPr>
            <w:r>
              <w:t>Ставки платы (МРП)</w:t>
            </w:r>
          </w:p>
        </w:tc>
      </w:tr>
      <w:tr w:rsidR="005B01FA" w14:paraId="3D291401" w14:textId="77777777" w:rsidTr="00B1196A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FFC6D" w14:textId="77777777" w:rsidR="005B01FA" w:rsidRDefault="005B01FA" w:rsidP="00B1196A">
            <w:pPr>
              <w:pStyle w:val="pc"/>
              <w:ind w:firstLine="709"/>
            </w:pPr>
            <w: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C387" w14:textId="77777777" w:rsidR="005B01FA" w:rsidRDefault="005B01FA" w:rsidP="00B1196A">
            <w:pPr>
              <w:pStyle w:val="pc"/>
              <w:ind w:firstLine="709"/>
            </w:pPr>
            <w: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0FB64" w14:textId="77777777" w:rsidR="005B01FA" w:rsidRDefault="005B01FA" w:rsidP="00B1196A">
            <w:pPr>
              <w:pStyle w:val="pc"/>
              <w:ind w:firstLine="709"/>
            </w:pPr>
            <w:r>
              <w:t>3</w:t>
            </w:r>
          </w:p>
        </w:tc>
      </w:tr>
      <w:tr w:rsidR="005B01FA" w14:paraId="21B7684F" w14:textId="77777777" w:rsidTr="00B1196A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13AAF" w14:textId="77777777" w:rsidR="005B01FA" w:rsidRDefault="005B01FA" w:rsidP="00B1196A">
            <w:pPr>
              <w:pStyle w:val="pc"/>
              <w:ind w:firstLine="709"/>
            </w:pPr>
            <w:r>
              <w:t>1.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540FD" w14:textId="77777777" w:rsidR="005B01FA" w:rsidRDefault="005B01FA" w:rsidP="00B1196A">
            <w:pPr>
              <w:pStyle w:val="pji"/>
              <w:ind w:firstLine="709"/>
            </w:pPr>
            <w:r>
              <w:t>с 1 по 36 месяцы действия лицензии на разведку, за 1 блок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AF5A9" w14:textId="77777777" w:rsidR="005B01FA" w:rsidRDefault="005B01FA" w:rsidP="00B1196A">
            <w:pPr>
              <w:pStyle w:val="pji"/>
              <w:ind w:firstLine="709"/>
            </w:pPr>
            <w:r>
              <w:t>15, если количество блоков менее 70;</w:t>
            </w:r>
          </w:p>
          <w:p w14:paraId="732F46BB" w14:textId="77777777" w:rsidR="005B01FA" w:rsidRDefault="005B01FA" w:rsidP="00B1196A">
            <w:pPr>
              <w:pStyle w:val="pji"/>
              <w:ind w:firstLine="709"/>
            </w:pPr>
            <w:r>
              <w:t>30, если количество блоков от 70 до 120;</w:t>
            </w:r>
          </w:p>
          <w:p w14:paraId="77B97B2D" w14:textId="77777777" w:rsidR="005B01FA" w:rsidRDefault="005B01FA" w:rsidP="00B1196A">
            <w:pPr>
              <w:pStyle w:val="pji"/>
              <w:ind w:firstLine="709"/>
            </w:pPr>
            <w:r>
              <w:t>40, если количество блоков от 120 и больше</w:t>
            </w:r>
          </w:p>
        </w:tc>
      </w:tr>
      <w:tr w:rsidR="005B01FA" w14:paraId="66BA031C" w14:textId="77777777" w:rsidTr="00B1196A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5506" w14:textId="77777777" w:rsidR="005B01FA" w:rsidRDefault="005B01FA" w:rsidP="00B1196A">
            <w:pPr>
              <w:pStyle w:val="pc"/>
              <w:ind w:firstLine="709"/>
            </w:pPr>
            <w:r>
              <w:t>2.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F951C" w14:textId="77777777" w:rsidR="005B01FA" w:rsidRDefault="005B01FA" w:rsidP="00B1196A">
            <w:pPr>
              <w:pStyle w:val="pji"/>
              <w:ind w:firstLine="709"/>
            </w:pPr>
            <w:r>
              <w:t>с 37 по 60 месяцы действия лицензии на разведку, за 1 блок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8030D" w14:textId="77777777" w:rsidR="005B01FA" w:rsidRDefault="005B01FA" w:rsidP="00B1196A">
            <w:pPr>
              <w:pStyle w:val="pji"/>
              <w:ind w:firstLine="709"/>
            </w:pPr>
            <w:r>
              <w:t>23, если количество блоков менее 60;</w:t>
            </w:r>
          </w:p>
          <w:p w14:paraId="5799E62F" w14:textId="77777777" w:rsidR="005B01FA" w:rsidRDefault="005B01FA" w:rsidP="00B1196A">
            <w:pPr>
              <w:pStyle w:val="pji"/>
              <w:ind w:firstLine="709"/>
            </w:pPr>
            <w:r>
              <w:t>50, если количество блоков от 60 до 100;</w:t>
            </w:r>
          </w:p>
          <w:p w14:paraId="46207875" w14:textId="77777777" w:rsidR="005B01FA" w:rsidRDefault="005B01FA" w:rsidP="00B1196A">
            <w:pPr>
              <w:pStyle w:val="pji"/>
              <w:ind w:firstLine="709"/>
            </w:pPr>
            <w:r>
              <w:t>60, если количество блоков от 100 и больше</w:t>
            </w:r>
          </w:p>
        </w:tc>
      </w:tr>
      <w:tr w:rsidR="005B01FA" w14:paraId="3F97CCE9" w14:textId="77777777" w:rsidTr="00B1196A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62483" w14:textId="77777777" w:rsidR="005B01FA" w:rsidRDefault="005B01FA" w:rsidP="00B1196A">
            <w:pPr>
              <w:pStyle w:val="pc"/>
              <w:ind w:firstLine="709"/>
            </w:pPr>
            <w:r>
              <w:t>3.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3792D" w14:textId="77777777" w:rsidR="005B01FA" w:rsidRDefault="005B01FA" w:rsidP="00B1196A">
            <w:pPr>
              <w:pStyle w:val="pji"/>
              <w:ind w:firstLine="709"/>
            </w:pPr>
            <w:r>
              <w:t>с 61 по 84 месяцы действия лицензии на разведку, за 1 блок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C870C" w14:textId="77777777" w:rsidR="005B01FA" w:rsidRDefault="005B01FA" w:rsidP="00B1196A">
            <w:pPr>
              <w:pStyle w:val="pji"/>
              <w:ind w:firstLine="709"/>
            </w:pPr>
            <w:r>
              <w:t>32, если количество блоков менее 50;</w:t>
            </w:r>
          </w:p>
          <w:p w14:paraId="106586B8" w14:textId="77777777" w:rsidR="005B01FA" w:rsidRDefault="005B01FA" w:rsidP="00B1196A">
            <w:pPr>
              <w:pStyle w:val="pji"/>
              <w:ind w:firstLine="709"/>
            </w:pPr>
            <w:r>
              <w:t>60, если количество блоков от 50 до 100;</w:t>
            </w:r>
          </w:p>
          <w:p w14:paraId="21EDEC87" w14:textId="77777777" w:rsidR="005B01FA" w:rsidRDefault="005B01FA" w:rsidP="00B1196A">
            <w:pPr>
              <w:pStyle w:val="pji"/>
              <w:ind w:firstLine="709"/>
            </w:pPr>
            <w:r>
              <w:t>80, если количество блоков от 100 и больше</w:t>
            </w:r>
          </w:p>
        </w:tc>
      </w:tr>
      <w:tr w:rsidR="005B01FA" w14:paraId="5D7C4634" w14:textId="77777777" w:rsidTr="00B1196A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CE6A1" w14:textId="77777777" w:rsidR="005B01FA" w:rsidRDefault="005B01FA" w:rsidP="00B1196A">
            <w:pPr>
              <w:pStyle w:val="pc"/>
              <w:ind w:firstLine="709"/>
            </w:pPr>
            <w:r>
              <w:t>4.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87C1D" w14:textId="77777777" w:rsidR="005B01FA" w:rsidRDefault="005B01FA" w:rsidP="00B1196A">
            <w:pPr>
              <w:pStyle w:val="pji"/>
              <w:ind w:firstLine="709"/>
            </w:pPr>
            <w:r>
              <w:t>с 85 месяца действия лицензии на разведку и далее, за 1 блок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E4545" w14:textId="77777777" w:rsidR="005B01FA" w:rsidRDefault="005B01FA" w:rsidP="00B1196A">
            <w:pPr>
              <w:pStyle w:val="pji"/>
              <w:ind w:firstLine="709"/>
            </w:pPr>
            <w:r>
              <w:t>60, если количество блоков менее 30;</w:t>
            </w:r>
          </w:p>
          <w:p w14:paraId="7E442EA5" w14:textId="77777777" w:rsidR="005B01FA" w:rsidRDefault="005B01FA" w:rsidP="00B1196A">
            <w:pPr>
              <w:pStyle w:val="pji"/>
              <w:ind w:firstLine="709"/>
            </w:pPr>
            <w:r>
              <w:lastRenderedPageBreak/>
              <w:t>80, если количество блоков от 30 до 80;</w:t>
            </w:r>
          </w:p>
          <w:p w14:paraId="18BE7431" w14:textId="77777777" w:rsidR="005B01FA" w:rsidRDefault="005B01FA" w:rsidP="00B1196A">
            <w:pPr>
              <w:pStyle w:val="pji"/>
              <w:ind w:firstLine="709"/>
            </w:pPr>
            <w:r>
              <w:t>100, если количество блоков от 80 и больше</w:t>
            </w:r>
          </w:p>
        </w:tc>
      </w:tr>
      <w:tr w:rsidR="005B01FA" w14:paraId="0A5DE794" w14:textId="77777777" w:rsidTr="00B1196A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E20E5" w14:textId="77777777" w:rsidR="005B01FA" w:rsidRDefault="005B01FA" w:rsidP="00B1196A">
            <w:pPr>
              <w:pStyle w:val="pc"/>
              <w:ind w:firstLine="709"/>
            </w:pPr>
            <w:r>
              <w:lastRenderedPageBreak/>
              <w:t>5.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0A929" w14:textId="77777777" w:rsidR="005B01FA" w:rsidRDefault="005B01FA" w:rsidP="00B1196A">
            <w:pPr>
              <w:pStyle w:val="pji"/>
              <w:ind w:firstLine="709"/>
            </w:pPr>
            <w:r>
              <w:t>с 1 месяца действия лицензии на добычу и далее, за 1 км2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7E08" w14:textId="77777777" w:rsidR="005B01FA" w:rsidRDefault="005B01FA" w:rsidP="00B1196A">
            <w:pPr>
              <w:pStyle w:val="pji"/>
              <w:ind w:firstLine="709"/>
            </w:pPr>
            <w:r>
              <w:t>450</w:t>
            </w:r>
          </w:p>
        </w:tc>
      </w:tr>
    </w:tbl>
    <w:p w14:paraId="4F89D72E" w14:textId="77777777" w:rsidR="00E7280F" w:rsidRP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7610E550" w14:textId="77777777" w:rsid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013A1398" w14:textId="77777777" w:rsidR="00E7280F" w:rsidRP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E7280F">
        <w:rPr>
          <w:rFonts w:ascii="Arial" w:hAnsi="Arial" w:cs="Arial"/>
          <w:color w:val="auto"/>
          <w:sz w:val="28"/>
          <w:szCs w:val="28"/>
        </w:rPr>
        <w:t xml:space="preserve">Увеличена ставка </w:t>
      </w:r>
      <w:r w:rsidRPr="00E7280F">
        <w:rPr>
          <w:rFonts w:ascii="Arial" w:hAnsi="Arial" w:cs="Arial"/>
          <w:b/>
          <w:color w:val="auto"/>
          <w:sz w:val="28"/>
          <w:szCs w:val="28"/>
        </w:rPr>
        <w:t>плате за пользование земельными участками</w:t>
      </w:r>
      <w:r w:rsidRPr="00E7280F">
        <w:rPr>
          <w:rFonts w:ascii="Arial" w:hAnsi="Arial" w:cs="Arial"/>
          <w:color w:val="auto"/>
          <w:sz w:val="28"/>
          <w:szCs w:val="28"/>
        </w:rPr>
        <w:t xml:space="preserve"> и земельному налогу в 2 раза с 20 кратной до 40 кратной по земельным участкам сельскохозяйственного назначения, не используемым по назначению или используемым с нарушением законодательства Республики Казахстан.</w:t>
      </w:r>
    </w:p>
    <w:p w14:paraId="2C0E667E" w14:textId="77777777" w:rsidR="00E7280F" w:rsidRDefault="00E7280F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3F7EB310" w14:textId="77777777" w:rsidR="00E7280F" w:rsidRDefault="00B828E2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С 2028 и 2031 года кратно у</w:t>
      </w:r>
      <w:r w:rsidR="00E7280F" w:rsidRPr="00E7280F">
        <w:rPr>
          <w:rFonts w:ascii="Arial" w:hAnsi="Arial" w:cs="Arial"/>
          <w:color w:val="auto"/>
          <w:sz w:val="28"/>
          <w:szCs w:val="28"/>
        </w:rPr>
        <w:t>велич</w:t>
      </w:r>
      <w:r>
        <w:rPr>
          <w:rFonts w:ascii="Arial" w:hAnsi="Arial" w:cs="Arial"/>
          <w:color w:val="auto"/>
          <w:sz w:val="28"/>
          <w:szCs w:val="28"/>
        </w:rPr>
        <w:t>иваются</w:t>
      </w:r>
      <w:r w:rsidR="00E7280F" w:rsidRPr="00E7280F">
        <w:rPr>
          <w:rFonts w:ascii="Arial" w:hAnsi="Arial" w:cs="Arial"/>
          <w:color w:val="auto"/>
          <w:sz w:val="28"/>
          <w:szCs w:val="28"/>
        </w:rPr>
        <w:t xml:space="preserve"> ставки платы за выбросы, сбросы загрязняющих веществ от стационарных источников и за захоронение отходов производства и потребления объектов первой категории, за исключением объектов жизнеобеспечения.</w:t>
      </w:r>
    </w:p>
    <w:p w14:paraId="7AA83022" w14:textId="77777777" w:rsidR="00595046" w:rsidRDefault="00595046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</w:p>
    <w:p w14:paraId="214B7D3E" w14:textId="77777777" w:rsidR="00595046" w:rsidRDefault="00595046" w:rsidP="00B1196A">
      <w:pPr>
        <w:pStyle w:val="pj"/>
        <w:spacing w:line="360" w:lineRule="auto"/>
        <w:ind w:firstLine="709"/>
      </w:pPr>
      <w:r>
        <w:rPr>
          <w:rFonts w:ascii="Arial" w:hAnsi="Arial" w:cs="Arial"/>
          <w:color w:val="auto"/>
          <w:sz w:val="28"/>
          <w:szCs w:val="28"/>
        </w:rPr>
        <w:t xml:space="preserve">По </w:t>
      </w:r>
      <w:r w:rsidRPr="00595046">
        <w:rPr>
          <w:rFonts w:ascii="Arial" w:hAnsi="Arial" w:cs="Arial"/>
          <w:b/>
          <w:color w:val="auto"/>
          <w:sz w:val="28"/>
          <w:szCs w:val="28"/>
        </w:rPr>
        <w:t>плате за размещением наружной рекламы</w:t>
      </w:r>
      <w:r>
        <w:rPr>
          <w:rFonts w:ascii="Arial" w:hAnsi="Arial" w:cs="Arial"/>
          <w:color w:val="auto"/>
          <w:sz w:val="28"/>
          <w:szCs w:val="28"/>
        </w:rPr>
        <w:t xml:space="preserve"> п</w:t>
      </w:r>
      <w:r w:rsidRPr="00595046">
        <w:rPr>
          <w:rFonts w:ascii="Arial" w:hAnsi="Arial" w:cs="Arial"/>
          <w:color w:val="auto"/>
          <w:sz w:val="28"/>
          <w:szCs w:val="28"/>
        </w:rPr>
        <w:t xml:space="preserve">лательщиками платы </w:t>
      </w:r>
      <w:r>
        <w:rPr>
          <w:rFonts w:ascii="Arial" w:hAnsi="Arial" w:cs="Arial"/>
          <w:color w:val="auto"/>
          <w:sz w:val="28"/>
          <w:szCs w:val="28"/>
        </w:rPr>
        <w:t xml:space="preserve">определены </w:t>
      </w:r>
      <w:r w:rsidRPr="00595046">
        <w:rPr>
          <w:rFonts w:ascii="Arial" w:hAnsi="Arial" w:cs="Arial"/>
          <w:color w:val="auto"/>
          <w:sz w:val="28"/>
          <w:szCs w:val="28"/>
        </w:rPr>
        <w:t xml:space="preserve">собственники объектов наружной (визуальной) рекламы или </w:t>
      </w:r>
      <w:r w:rsidRPr="00595046">
        <w:rPr>
          <w:rFonts w:ascii="Arial" w:hAnsi="Arial" w:cs="Arial"/>
          <w:b/>
          <w:color w:val="auto"/>
          <w:sz w:val="28"/>
          <w:szCs w:val="28"/>
        </w:rPr>
        <w:t>собственники зданий (сооружений), на которых размещается наружная (визуальная) реклама</w:t>
      </w:r>
      <w:r w:rsidRPr="00595046">
        <w:rPr>
          <w:rFonts w:ascii="Arial" w:hAnsi="Arial" w:cs="Arial"/>
          <w:color w:val="auto"/>
          <w:sz w:val="28"/>
          <w:szCs w:val="28"/>
        </w:rPr>
        <w:t>.</w:t>
      </w:r>
      <w:r w:rsidRPr="00595046">
        <w:t xml:space="preserve"> </w:t>
      </w:r>
    </w:p>
    <w:p w14:paraId="681074C9" w14:textId="77777777" w:rsidR="00595046" w:rsidRPr="00595046" w:rsidRDefault="00595046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595046">
        <w:rPr>
          <w:rFonts w:ascii="Arial" w:hAnsi="Arial" w:cs="Arial"/>
          <w:color w:val="auto"/>
          <w:sz w:val="28"/>
          <w:szCs w:val="28"/>
        </w:rPr>
        <w:t xml:space="preserve">Местные представительные органы </w:t>
      </w:r>
      <w:r w:rsidRPr="00595046">
        <w:rPr>
          <w:rFonts w:ascii="Arial" w:hAnsi="Arial" w:cs="Arial"/>
          <w:b/>
          <w:color w:val="auto"/>
          <w:sz w:val="28"/>
          <w:szCs w:val="28"/>
        </w:rPr>
        <w:t>областей</w:t>
      </w:r>
      <w:r w:rsidRPr="00595046">
        <w:rPr>
          <w:rFonts w:ascii="Arial" w:hAnsi="Arial" w:cs="Arial"/>
          <w:color w:val="auto"/>
          <w:sz w:val="28"/>
          <w:szCs w:val="28"/>
        </w:rPr>
        <w:t xml:space="preserve"> по наружной (визуальной) рекламе, размещаемой на открытом пространстве за пределами помещений в населенных пунктах и в полосе отвода автомобильных дорог общего пользования областного значения, имеют право понижать размеры базовых ежемесячных ставок платы не более чем на 50 процентов или повышать не более чем на 100 процентов в зависимости от месторасположения и размеров наружной (визуальной) рекламы.</w:t>
      </w:r>
    </w:p>
    <w:p w14:paraId="5A5D24E0" w14:textId="77777777" w:rsidR="00595046" w:rsidRDefault="00595046" w:rsidP="00B1196A">
      <w:pPr>
        <w:pStyle w:val="pj"/>
        <w:spacing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r w:rsidRPr="00595046">
        <w:rPr>
          <w:rFonts w:ascii="Arial" w:hAnsi="Arial" w:cs="Arial"/>
          <w:color w:val="auto"/>
          <w:sz w:val="28"/>
          <w:szCs w:val="28"/>
        </w:rPr>
        <w:lastRenderedPageBreak/>
        <w:t>Местные представительные органы с</w:t>
      </w:r>
      <w:r w:rsidRPr="00595046">
        <w:rPr>
          <w:rFonts w:ascii="Arial" w:hAnsi="Arial" w:cs="Arial"/>
          <w:b/>
          <w:color w:val="auto"/>
          <w:sz w:val="28"/>
          <w:szCs w:val="28"/>
        </w:rPr>
        <w:t>толицы и городов республиканского значения</w:t>
      </w:r>
      <w:r w:rsidRPr="00595046">
        <w:rPr>
          <w:rFonts w:ascii="Arial" w:hAnsi="Arial" w:cs="Arial"/>
          <w:color w:val="auto"/>
          <w:sz w:val="28"/>
          <w:szCs w:val="28"/>
        </w:rPr>
        <w:t xml:space="preserve"> по наружной (визуальной) рекламе, размещаемой на открытом пространстве за пределами помещений в населенных пунктах, имеют право понижать размеры базовых ежемесячных ставок платы не более чем на 50 процентов или повышать не более чем на 200 процентов в зависимости от месторасположения и размеров наружной (визуальной) рекламы.</w:t>
      </w:r>
    </w:p>
    <w:p w14:paraId="425C87C2" w14:textId="254FC575" w:rsidR="00595046" w:rsidRDefault="00595046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0056D90C" w14:textId="32DEB71A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25232A07" w14:textId="7498F0B4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2A571AE9" w14:textId="4D3D7B25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4AAA266A" w14:textId="0A4C9795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375FF629" w14:textId="5A3826FA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373C29E6" w14:textId="35F2A7FE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39239C4E" w14:textId="11D32137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6BADE576" w14:textId="5DE416A9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124643BD" w14:textId="74131E1B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1C76F7DC" w14:textId="29749713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78D48F16" w14:textId="1D4F5E91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08EBA025" w14:textId="5C7316A3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46385D7B" w14:textId="14D0521F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16EB25BD" w14:textId="6FEBD9F4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46155F06" w14:textId="4B3236CE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606D655C" w14:textId="76C36785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p w14:paraId="41674D02" w14:textId="1F068223" w:rsidR="002D66FC" w:rsidRDefault="002D66FC" w:rsidP="00B1196A">
      <w:pPr>
        <w:pStyle w:val="pj"/>
        <w:spacing w:line="360" w:lineRule="auto"/>
        <w:ind w:firstLine="709"/>
        <w:rPr>
          <w:rFonts w:ascii="Arial" w:hAnsi="Arial" w:cs="Arial"/>
          <w:color w:val="C00000"/>
          <w:sz w:val="28"/>
          <w:szCs w:val="28"/>
        </w:rPr>
      </w:pPr>
    </w:p>
    <w:sectPr w:rsidR="002D66F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77EAC" w14:textId="77777777" w:rsidR="00D77E07" w:rsidRDefault="00D77E07" w:rsidP="00325298">
      <w:pPr>
        <w:spacing w:after="0" w:line="240" w:lineRule="auto"/>
      </w:pPr>
      <w:r>
        <w:separator/>
      </w:r>
    </w:p>
  </w:endnote>
  <w:endnote w:type="continuationSeparator" w:id="0">
    <w:p w14:paraId="43F42952" w14:textId="77777777" w:rsidR="00D77E07" w:rsidRDefault="00D77E07" w:rsidP="0032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0276932"/>
      <w:docPartObj>
        <w:docPartGallery w:val="Page Numbers (Bottom of Page)"/>
        <w:docPartUnique/>
      </w:docPartObj>
    </w:sdtPr>
    <w:sdtEndPr/>
    <w:sdtContent>
      <w:p w14:paraId="2F5AE97A" w14:textId="26499D77" w:rsidR="00325298" w:rsidRDefault="0032529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7ED">
          <w:rPr>
            <w:noProof/>
          </w:rPr>
          <w:t>2</w:t>
        </w:r>
        <w:r>
          <w:fldChar w:fldCharType="end"/>
        </w:r>
      </w:p>
    </w:sdtContent>
  </w:sdt>
  <w:p w14:paraId="4DBBCB21" w14:textId="77777777" w:rsidR="00325298" w:rsidRDefault="003252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42EC3" w14:textId="77777777" w:rsidR="00D77E07" w:rsidRDefault="00D77E07" w:rsidP="00325298">
      <w:pPr>
        <w:spacing w:after="0" w:line="240" w:lineRule="auto"/>
      </w:pPr>
      <w:r>
        <w:separator/>
      </w:r>
    </w:p>
  </w:footnote>
  <w:footnote w:type="continuationSeparator" w:id="0">
    <w:p w14:paraId="57D09C67" w14:textId="77777777" w:rsidR="00D77E07" w:rsidRDefault="00D77E07" w:rsidP="00325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79B7"/>
    <w:multiLevelType w:val="hybridMultilevel"/>
    <w:tmpl w:val="557CE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C6007"/>
    <w:multiLevelType w:val="hybridMultilevel"/>
    <w:tmpl w:val="77E29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A5907"/>
    <w:multiLevelType w:val="hybridMultilevel"/>
    <w:tmpl w:val="F530F9D2"/>
    <w:lvl w:ilvl="0" w:tplc="A704D432">
      <w:start w:val="1"/>
      <w:numFmt w:val="decimal"/>
      <w:lvlText w:val="%1)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5C1"/>
    <w:rsid w:val="000A65C1"/>
    <w:rsid w:val="001055B9"/>
    <w:rsid w:val="001F64AF"/>
    <w:rsid w:val="002473B7"/>
    <w:rsid w:val="002659C6"/>
    <w:rsid w:val="002D66FC"/>
    <w:rsid w:val="00301B3D"/>
    <w:rsid w:val="00323D6D"/>
    <w:rsid w:val="00325298"/>
    <w:rsid w:val="0034658C"/>
    <w:rsid w:val="0034663A"/>
    <w:rsid w:val="00382248"/>
    <w:rsid w:val="003B4378"/>
    <w:rsid w:val="004A0FA6"/>
    <w:rsid w:val="00536119"/>
    <w:rsid w:val="00562448"/>
    <w:rsid w:val="005746AF"/>
    <w:rsid w:val="00595046"/>
    <w:rsid w:val="005B01FA"/>
    <w:rsid w:val="005B2730"/>
    <w:rsid w:val="0064229A"/>
    <w:rsid w:val="00645A3B"/>
    <w:rsid w:val="00654C83"/>
    <w:rsid w:val="006D52FC"/>
    <w:rsid w:val="006D776D"/>
    <w:rsid w:val="00711D78"/>
    <w:rsid w:val="00770C2A"/>
    <w:rsid w:val="00770CC9"/>
    <w:rsid w:val="0078032E"/>
    <w:rsid w:val="007E3157"/>
    <w:rsid w:val="00804E45"/>
    <w:rsid w:val="00810135"/>
    <w:rsid w:val="00835C9B"/>
    <w:rsid w:val="00857743"/>
    <w:rsid w:val="00937936"/>
    <w:rsid w:val="00946121"/>
    <w:rsid w:val="00946241"/>
    <w:rsid w:val="009753A9"/>
    <w:rsid w:val="00A205B0"/>
    <w:rsid w:val="00A30D45"/>
    <w:rsid w:val="00A365FD"/>
    <w:rsid w:val="00A46E53"/>
    <w:rsid w:val="00AE4ECA"/>
    <w:rsid w:val="00B1196A"/>
    <w:rsid w:val="00B167F7"/>
    <w:rsid w:val="00B7012E"/>
    <w:rsid w:val="00B828E2"/>
    <w:rsid w:val="00C47935"/>
    <w:rsid w:val="00CD5992"/>
    <w:rsid w:val="00CE4E5E"/>
    <w:rsid w:val="00CF0511"/>
    <w:rsid w:val="00D067C1"/>
    <w:rsid w:val="00D127ED"/>
    <w:rsid w:val="00D44AFD"/>
    <w:rsid w:val="00D45D21"/>
    <w:rsid w:val="00D77E07"/>
    <w:rsid w:val="00D903E9"/>
    <w:rsid w:val="00DC3B51"/>
    <w:rsid w:val="00DF2AAB"/>
    <w:rsid w:val="00DF46C5"/>
    <w:rsid w:val="00E617D6"/>
    <w:rsid w:val="00E7280F"/>
    <w:rsid w:val="00E841F9"/>
    <w:rsid w:val="00F32CE1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936F"/>
  <w15:chartTrackingRefBased/>
  <w15:docId w15:val="{F762B0A4-5711-4867-9D50-0672CEF0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50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50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j">
    <w:name w:val="pj"/>
    <w:basedOn w:val="a"/>
    <w:qFormat/>
    <w:rsid w:val="000A65C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946241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sid w:val="00946241"/>
    <w:rPr>
      <w:color w:val="0000FF"/>
      <w:u w:val="single"/>
    </w:rPr>
  </w:style>
  <w:style w:type="paragraph" w:customStyle="1" w:styleId="pc">
    <w:name w:val="pc"/>
    <w:basedOn w:val="a"/>
    <w:rsid w:val="009753A9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9753A9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aliases w:val="маркированный,List Paragraph (numbered (a)),Use Case List Paragraph,NUMBERED PARAGRAPH,List Paragraph 1,Citation List,Heading1,Colorful List - Accent 11,strich,2nd Tier Header,Colorful List - Accent 11CxSpLast,H1-1,Заголовок3,it_List1,Bul"/>
    <w:basedOn w:val="a"/>
    <w:link w:val="a5"/>
    <w:uiPriority w:val="34"/>
    <w:qFormat/>
    <w:rsid w:val="0059504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aliases w:val="маркированный Знак,List Paragraph (numbered (a)) Знак,Use Case List Paragraph Знак,NUMBERED PARAGRAPH Знак,List Paragraph 1 Знак,Citation List Знак,Heading1 Знак,Colorful List - Accent 11 Знак,strich Знак,2nd Tier Header Знак,H1-1 Знак"/>
    <w:link w:val="a4"/>
    <w:uiPriority w:val="34"/>
    <w:qFormat/>
    <w:locked/>
    <w:rsid w:val="00595046"/>
    <w:rPr>
      <w:rFonts w:ascii="Calibri" w:eastAsia="Times New Roman" w:hAnsi="Calibri" w:cs="Times New Roman"/>
      <w:lang w:eastAsia="ru-RU"/>
    </w:rPr>
  </w:style>
  <w:style w:type="character" w:customStyle="1" w:styleId="s0">
    <w:name w:val="s0"/>
    <w:basedOn w:val="a0"/>
    <w:qFormat/>
    <w:rsid w:val="00595046"/>
  </w:style>
  <w:style w:type="character" w:customStyle="1" w:styleId="s3">
    <w:name w:val="s3"/>
    <w:basedOn w:val="a0"/>
    <w:rsid w:val="00B1196A"/>
    <w:rPr>
      <w:rFonts w:ascii="Times New Roman" w:hAnsi="Times New Roman" w:cs="Times New Roman" w:hint="default"/>
      <w:b w:val="0"/>
      <w:bCs w:val="0"/>
      <w:i/>
      <w:iCs/>
      <w:color w:val="FF0000"/>
    </w:rPr>
  </w:style>
  <w:style w:type="paragraph" w:customStyle="1" w:styleId="2">
    <w:name w:val="Абзац списка2"/>
    <w:basedOn w:val="a"/>
    <w:uiPriority w:val="99"/>
    <w:qFormat/>
    <w:rsid w:val="00301B3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325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5298"/>
  </w:style>
  <w:style w:type="paragraph" w:styleId="a8">
    <w:name w:val="footer"/>
    <w:basedOn w:val="a"/>
    <w:link w:val="a9"/>
    <w:uiPriority w:val="99"/>
    <w:unhideWhenUsed/>
    <w:rsid w:val="00325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5298"/>
  </w:style>
  <w:style w:type="paragraph" w:styleId="aa">
    <w:name w:val="Balloon Text"/>
    <w:basedOn w:val="a"/>
    <w:link w:val="ab"/>
    <w:uiPriority w:val="99"/>
    <w:semiHidden/>
    <w:unhideWhenUsed/>
    <w:rsid w:val="00D90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903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Нуржанов Жаныбек Маулютбекович</dc:creator>
  <cp:keywords/>
  <dc:description/>
  <cp:lastModifiedBy>Куанышбаева Лязат</cp:lastModifiedBy>
  <cp:revision>2</cp:revision>
  <cp:lastPrinted>2026-01-22T10:09:00Z</cp:lastPrinted>
  <dcterms:created xsi:type="dcterms:W3CDTF">2026-08-26T12:39:00Z</dcterms:created>
  <dcterms:modified xsi:type="dcterms:W3CDTF">2026-08-26T12:39:00Z</dcterms:modified>
</cp:coreProperties>
</file>