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B067778" w14:textId="77777777">
      <w:pPr>
        <w:pStyle w:val="913"/>
        <w:pBdr/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Махамбет аудандық экономика және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қаржы бөлімінде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жүргізілген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 w14:paraId="42221DC5" w14:textId="77777777">
      <w:pPr>
        <w:pStyle w:val="913"/>
        <w:pBdr/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с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ыбайлас жемқорлық тәуекелдеріне 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ішкі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талдау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қо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рытындысы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 w14:paraId="05399386" w14:textId="5FDE33B9">
      <w:pPr>
        <w:pStyle w:val="913"/>
        <w:pBdr/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бойынша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 w14:paraId="0CDD26EB" w14:textId="77777777">
      <w:pPr>
        <w:pStyle w:val="913"/>
        <w:pBdr/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ТАЛДАМАЛЫҚ АНЫҚТАМА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 w14:paraId="1B2AB16E" w14:textId="77777777">
      <w:pPr>
        <w:pStyle w:val="913"/>
        <w:pBdr/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 w14:paraId="4FE59B4E" w14:textId="3004206E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19 қазандағы №12 бұйрығымен бекітілген Сыбайлас жемқорлық тәуекелдеріне ішкі талдау жүргізудің үлгілік қағидаларына,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Махамбет аудандық экономика және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қаржы бөлімінің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kk-KZ" w:eastAsia="ru-RU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en-US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kk-KZ" w:eastAsia="ru-RU"/>
        </w:rPr>
        <w:t xml:space="preserve"> жылғы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en-US"/>
        </w:rPr>
        <w:t xml:space="preserve">17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kk-KZ" w:eastAsia="ru-RU"/>
        </w:rPr>
        <w:t xml:space="preserve">шілдедегі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kk-KZ" w:eastAsia="ru-RU"/>
        </w:rPr>
        <w:t xml:space="preserve"> №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68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Ж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ұмыс тобын құру туралы»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бұйрығына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сәйкес,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Махамбет аудандық экономика және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қаржы бөлімінің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қызметіне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жылдың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маусым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айы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мен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202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жылдың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маусым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айы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аралығындағы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жұмыс ке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зеңі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не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сыбайлас жемқорлық тәуекелдеріне ішкі талдау жүргіз</w:t>
      </w:r>
      <w:bookmarkStart w:id="0" w:name="_GoBack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ілді.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683F114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Сыбайлас жемқорлық тәуекелдеріне ішкі талдау қорытындысы бойынша талдамалы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қ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анықтама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төмендегі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жұмыс тобымен жасақталды: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 w14:paraId="7EC45BC3" w14:textId="392A4A5C">
      <w:pPr>
        <w:pStyle w:val="913"/>
        <w:pBdr/>
        <w:spacing/>
        <w:ind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Танатарова Салтанат Рахметжанқызы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– 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т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оп жетекшісі, бөлім басшысының орынбасары;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 w14:paraId="4E013D54" w14:textId="1EA707BB">
      <w:pPr>
        <w:pBdr/>
        <w:spacing w:after="0" w:line="240" w:lineRule="auto"/>
        <w:ind w:right="0" w:firstLine="0"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Сапи Дәуірбек Ғасырбекұлы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 – 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т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оп мүшесі,</w:t>
      </w:r>
      <w:r>
        <w:rPr>
          <w:rFonts w:ascii="Times New Roman" w:hAnsi="Times New Roman" w:eastAsia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экономика және</w:t>
      </w:r>
      <w:r>
        <w:rPr>
          <w:rFonts w:ascii="Times New Roman" w:hAnsi="Times New Roman" w:eastAsia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бюджеттік жоспарлау секторының меңгерушісі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 w14:paraId="209A922A" w14:textId="36874B95">
      <w:pPr>
        <w:pBdr/>
        <w:spacing w:after="0" w:line="240" w:lineRule="auto"/>
        <w:ind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Қайырбаева Элеонора Жанұзаққызы – 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топ</w:t>
      </w:r>
      <w:r>
        <w:rPr>
          <w:rFonts w:ascii="Times New Roman" w:hAnsi="Times New Roman" w:eastAsia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мүшесі, 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коммуналдық мүлікті басқару жөніндегі бас маман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ы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 w14:paraId="64E61625" w14:textId="0F9297FC">
      <w:pPr>
        <w:pBdr/>
        <w:spacing w:after="0" w:line="240" w:lineRule="auto"/>
        <w:ind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Мұхамедиярова Дина Ерсайынқызы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 – 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т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оп мүшесі, 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бюджеттің атқарылуы және талдауы жөніндегі бас маман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 w14:paraId="061BAE01" w14:textId="5BA5202D">
      <w:pPr>
        <w:pBdr/>
        <w:spacing w:after="0" w:line="240" w:lineRule="auto"/>
        <w:ind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Жұбанов Мейрамбек Асылбекұлы – топ мүшесі, 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экономика және бюджеттік жоспарлау секторының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 бас маманы.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 w14:paraId="2E643EEA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Махамбет аудандық экономика және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қаржы бөлімінің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қызмет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терін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қозғайтын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нормативтік құқықтық актілер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інде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сыбайлас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жемқорлық тәуекелдерін анықтау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бағыты бойынша: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 w14:paraId="56CE5B91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  <w:lang w:val="kk-KZ" w:eastAsia="ru-RU"/>
        </w:rPr>
        <w:t xml:space="preserve">Махамбет аудандық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  <w:lang w:val="kk-KZ" w:eastAsia="ru-RU"/>
        </w:rPr>
        <w:t xml:space="preserve">экономика және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  <w:lang w:val="kk-KZ" w:eastAsia="ru-RU"/>
        </w:rPr>
        <w:t xml:space="preserve"> қаржы бөлімінің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  <w:lang w:val="kk-KZ" w:eastAsia="ru-RU"/>
        </w:rPr>
        <w:t xml:space="preserve">қызметін қозғайтын нормативтік құқықтық актілері: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 w14:paraId="459BAB3B" w14:textId="4167862F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-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Қазақстан Республикасының Еңбек кодексі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–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Қазақстан Республикасының 2015 жылғы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23 қарашадағы №414-V Кодексі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004E34F" w14:textId="7F089E43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-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«Салық және бюджетке төленетін басқа да міндетті төлемдер туралы» (Салық кодексі)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–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Қазақстан Республикасының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2017 жылғы 25 желтоқсандағы №120-VI Кодексі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5690FE40" w14:textId="11A1716E">
      <w:pPr>
        <w:pStyle w:val="913"/>
        <w:pBdr/>
        <w:spacing/>
        <w:ind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-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Қазақстан Республикасының Бюджет кодексі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– Қазақстан Республикасының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2025 жылғы 15 наурыздағы №171-VII Кодексі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;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 w14:paraId="1376D211" w14:textId="7D43E89D">
      <w:pPr>
        <w:pStyle w:val="913"/>
        <w:pBdr/>
        <w:spacing/>
        <w:ind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-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«Қазақстан Республикасының мемлекеттік қызметі туралы»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Қазақстан Республикасының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2015 жылғы 23 қарашадағы №416-V Заңы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;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 w14:paraId="50659E55" w14:textId="1C849ADB">
      <w:pPr>
        <w:pStyle w:val="913"/>
        <w:pBdr/>
        <w:spacing/>
        <w:ind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-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«Қазақстан Республикасы мемлекеттік қызметшілерінің әдептілік нормаларын және мінез-құлық қағидаларын одан әрі жетілдіру жөніндегі шаралар туралы»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Қазақстан Республикасы Президентінің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2015 жылғы 29 желтоқсандағы №153 Жарлығы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;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 w14:paraId="6577F9A5" w14:textId="7CB06619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-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Қазақстан Республикасының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2001 жылғы 23 қаңтардағы №148 Заңы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6B115D1" w14:textId="258ADEAA">
      <w:pPr>
        <w:pStyle w:val="913"/>
        <w:pBdr/>
        <w:spacing/>
        <w:ind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-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Қазақстан Республикасының Әкімшілік рәсімдік-процестік кодексі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–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Қазақстан Республикасының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2020 жылғы 29 маусымдағы №350-VI ҚРЗ Кодексі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 w14:paraId="129EDBD4" w14:textId="40799965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- «Мемлекеттік сатып алу туралы»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2024 жылғы 1 шілдедегі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Қазақстан Республикасының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№106-VIII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Заңы;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36412E1" w14:textId="51F1529B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- «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Мемлекеттік мүлік туралы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» Қазақстан Республикасының 2011 жылғы 1 наурыздағы №413-IV Заңы;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1352AC9" w14:textId="4D1881A8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- «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Қазақстан Республикасындағы сәулет, қала құрылысы және құрылыс қызметі туралы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» Қазақстан Республикасының 2001 жылғы 16 шілдедегі №242 Заңы;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FB75455" w14:textId="16F53184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- «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Сыбайлас жемқорлыққа қарсы іс-қимыл туралы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» Қазақстан Республикасының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2015 жылғы 18 қарашадағы № 410-V ҚРЗ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Заңы;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72B2F9F" w14:textId="181BB05E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- «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Азаматтық қызметшілерге, мемлекеттік бюджет қаражаты есебінен ұсталатын ұйымдардың қызметкерлеріне, қазыналық кәсіпорындардың қызметкерлеріне еңбекақы төлеу жүйесі туралы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Қазақстан Республикасы Үкіметінің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2015 жылғы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31 желтоқсандағы №1193 қаулысы;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5ECED26F" w14:textId="249467D4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- «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Мемлекеттiк б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юджет қаражаты есебінен Қазақстан Республикасы органдарының қызметкерлеріне сыйлықақы беру, материалдық көмек көрсету және лауазымдық жалақыларына үстемеақылар белгілеу, сондай-ақ мемлекеттік әкімшілік қызметшілерге бонустар төлеу қағидаларын бекіту туралы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» Қазақстан Республикасы Үкіметінің 2001 жылғы 29 тамыздағы №1127 қаулысы;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F6BC6D7" w14:textId="67D3DD82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Жекешелендіру бойынша ауылдық ок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руг әкімдерінің басқаруына берілген ауылдық коммуналдық мүліктерден тозығы жеткен, пайдалануға жарамсыз, қайта жөндеу экономикалық жағынан тиімсіз нысандар (автокөліктер, ғимараттар) сауда - саттыққа шығарылып келеді. Барлық сауда саттық аукцион тәсілімен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«госреестр» веб-порталы арқылы электронды түрде жүзеге асырылады. «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Жекешелендіру объектілерін сату қағидасын бекіту туралы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Қазақстан Республикасы Үкіметінің 2011 жылғы 9 тамыздағы №920 қаулысы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4B7E9C5" w14:textId="7E5CCF75">
      <w:pPr>
        <w:pStyle w:val="913"/>
        <w:pBdr/>
        <w:spacing/>
        <w:ind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-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Осы Мемлекеттік заңды тұлғаларға бекітіліп берілген мемлекеттік мүлікті мемлекеттік меншіктің бір түрінен екіншісіне беру қағидалары «Мемлекеттік мүлік туралы» Қазақстан Республикасының Заңына сәйкес әзірленген және «Мем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лекеттік заңды тұлғаларға бекітіліп берілген мемлекеттік мүлікті мемлекеттік меншіктің бір түрінен екіншісіне беру қағидаларын бекіту туралы» Қазақстан Республикасы Премьер-Министрінің орынбасары – Ұлттық экономика министрінің 2025 жылғы 4 тамыздағы №75 бұ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йрығына сәйкес жүзеге асырылады;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 w14:paraId="3E8FDEDE" w14:textId="36ADB03C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-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«Мемлекеттің сыйға тарту шарты бойынша мүлік құқықтарына ие болу қағидаларын бекіту туралы»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Қазақстан Республикасы Үкіметінің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899"/>
          <w:rFonts w:ascii="Times New Roman" w:hAnsi="Times New Roman" w:eastAsia="Times New Roman" w:cs="Times New Roman"/>
          <w:b w:val="0"/>
          <w:sz w:val="28"/>
          <w:szCs w:val="28"/>
          <w:lang w:val="kk-KZ"/>
        </w:rPr>
        <w:t xml:space="preserve">2011 жылғы 28 қыркүйектегі №1103 қаулысы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065BC3F" w14:textId="2FF6723D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«Дүлей зілзалалар мен авариялар салдары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нан физикалық немесе моральдық тозуынан жарамсыз болған мемлекеттік мүліктің жекелеген түрлерінің бұзылуын және жойылуын ресімдеу қағидасын бекіту туралы» Қазақстан Республикасы Премьер-Министрінің орынбасары – Қаржы министрінің 2023 жылғы 29 маусымдағы №7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21 бұйрығына сәйкес жүргізіледі;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9F38F4F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- «Жекешелендірудің 2021 – 2025 жылдарға арналған кейбір мәселелері туралы» Қазақстан Республикасы Үкіметінің 2020 жылғы 29 желтоқсандағы №908 қаулысы;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FCD9C0C" w14:textId="0D63251F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- «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Жекелеген негіздер бойынша мемлекет меншiгiне айналдырылған (түскен) мүлiктi есепке алудың, сақтаудың, бағалаудың және одан әрi пайдаланудың кейбiр мәселелерi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туралы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Қазақстан Республикасы Үкіметінің 2002 жылғы 26 шілдедегі №833 қаулысы;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DE843BD" w14:textId="5227829F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- «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Мүлікті тәркілеу бөлігінде қылмыстық іс бойынша сот үкімі негізінде не мүлікті мемлекетке беру туралы шешім негізінде тыйым салынған мүлікті өткізу немесе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пайдалану қағидаларын бекіту туралы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» Қазақстан Республикасы Қаржы министрінің 2015 жылғы 30 наурыздағы №227 бұйрығы;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27B7929" w14:textId="50784058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Жекелеген негіздер бойынша мемлекет меншігіне айналдырылған (түскен) мүлік туралы мәліметтердің нысанын, оларды ұсыну қағидалары мен мерзімдерін бекіту туралы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eastAsia="Times New Roman" w:cs="Times New Roman"/>
          <w:spacing w:val="2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Төрағасының 2019 жылғы 19 ақпандағы №1 бұйрығы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5E3E906" w14:textId="78DBE2EA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shd w:val="clear" w:color="auto" w:fill="ffffff"/>
          <w:lang w:val="kk-KZ"/>
        </w:rPr>
        <w:t xml:space="preserve">Мемлекеттік сатып алу мемлекеттік тұлғалардың бюджет қаржысы немесе өздерінің меншікті қаражаттары есебінен тауарларды, жұмыстарды және қызметтерді бәсекелестік ортадан сатып алуы болып табылады. Мемлекеттік сатып алу «Мемлекеттік сатып алу туралы» ҚР-ның 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shd w:val="clear" w:color="auto" w:fill="ffffff"/>
          <w:lang w:val="kk-KZ"/>
        </w:rPr>
        <w:t xml:space="preserve">2024 жылғы 1 шілдедегі 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shd w:val="clear" w:color="auto" w:fill="ffffff"/>
          <w:lang w:val="kk-KZ"/>
        </w:rPr>
        <w:t xml:space="preserve">Заңымен, 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shd w:val="clear" w:color="auto" w:fill="ffffff"/>
          <w:lang w:val="kk-KZ"/>
        </w:rPr>
        <w:t xml:space="preserve">«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shd w:val="clear" w:color="auto" w:fill="ffffff"/>
          <w:lang w:val="kk-KZ"/>
        </w:rPr>
        <w:t xml:space="preserve">Мемлекеттік сатып алуды жүзеге асыру қағидаларын бекіту туралы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shd w:val="clear" w:color="auto" w:fill="ffffff"/>
          <w:lang w:val="kk-KZ"/>
        </w:rPr>
        <w:t xml:space="preserve">» 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shd w:val="clear" w:color="auto" w:fill="ffffff"/>
          <w:lang w:val="kk-KZ"/>
        </w:rPr>
        <w:t xml:space="preserve">ҚР-сы 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shd w:val="clear" w:color="auto" w:fill="ffffff"/>
          <w:lang w:val="kk-KZ"/>
        </w:rPr>
        <w:t xml:space="preserve">Қаржы министрінің 2024 жылғы 9 қазандағы №687 бұйрығы</w:t>
      </w:r>
      <w:r>
        <w:rPr>
          <w:rFonts w:ascii="Times New Roman" w:hAnsi="Times New Roman" w:eastAsia="Times New Roman" w:cs="Times New Roman"/>
          <w:spacing w:val="1"/>
          <w:sz w:val="28"/>
          <w:szCs w:val="28"/>
          <w:shd w:val="clear" w:color="auto" w:fill="ffffff"/>
          <w:lang w:val="kk-KZ"/>
        </w:rPr>
        <w:t xml:space="preserve">мен бекітілген қағидамен және өзге де нормативтік құқықтық актілермен реттеледі;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36F3776" w14:textId="7FDD2226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- «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2025 қаржы жылына арналған бюджетті атқару және оған кассалық қызмет көрсету қағидаларын бекіту туралы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Қазақстан Республикасы Қаржы министрінің 2025 жылғы 30 мамырдағы №272 бұйрығы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CAF911E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- «Камералдық бақылау жүргізу қағидаларын бекіту туралы» Қазақстан Республикасы Қаржы министрінің 2015 жылғы 30 қарашадағы №598 бұйрығы;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65F1147" w14:textId="78E689B6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- «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Бюджеттік мониторинг жүргізу қағидаларын бекіту туралы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Қазақстан Республикасы Қаржы министрінің 2025 жылғы 30 мамырдағы №275 бұйрығы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826A16A" w14:textId="6A29B5F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«Мемлекеттік-жекешелік әріптестік жобаларын жоспарлаудың және іске асырудың кейбір мәселелері туралы» Қазақстан Республикасы Премьер-Министрінің орынбасары – Ұлттық экономика министрінің 2025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жылғы 16 маусымдағы №52 бұйрығы;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0B4A6D" w14:textId="0AD610C9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- «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Бюджетті жоспарлау және атқару сатыларында азаматтық бюджетті жасау, ұсыну және жариялау қағидаларын бекіту туралы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Қазақстан Республикасы Қаржы министрінің 2025 жылғы 21 мамырдағы №244 бұйрығы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5333F98" w14:textId="14FD77FB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- «</w:t>
      </w: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Қазақстан Республикасының Бірыңғай бюджеттік сыныптамасының кейбір мәселелері</w:t>
      </w: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Қазақстан Республикасы Қаржы министрінің 2025 жылғы 4 сәуірдегі №149 бұйрығы</w:t>
      </w: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;</w:t>
      </w: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</w:p>
    <w:p w14:paraId="0A1B77C6" w14:textId="1D3D3921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- «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Бюджеттік есептілікті жасау және ұсыну қағидаларын бекіту туралы» Қазақстан Республикасы Қаржы минист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рінің 2025 жылғы 28 мамырдағы №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262 бұйрығы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5ACE9A54" w14:textId="2062A5B5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- «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Бюджеттік бағдарламалар әкімшілері мен бюджетті атқару жөніндегі жергілікті уәкілетті органдардың жылдық шоғырландырылған қаржылық есептілікті жасау қағидаларын бекіту туралы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Қазақстан Республикасы Қаржы министрінің м.а. 2025 жылғы 15 мамырдағы № 229 бұйрығы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3037995" w14:textId="7D2CD1C3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eastAsia="Times New Roman" w:cs="Times New Roman"/>
          <w:sz w:val="28"/>
          <w:szCs w:val="24"/>
          <w:lang w:val="kk-KZ"/>
        </w:rPr>
        <w:t xml:space="preserve">- «</w:t>
      </w:r>
      <w:r>
        <w:rPr>
          <w:rFonts w:ascii="Times New Roman" w:hAnsi="Times New Roman" w:eastAsia="Times New Roman" w:cs="Times New Roman"/>
          <w:sz w:val="28"/>
          <w:szCs w:val="24"/>
          <w:lang w:val="kk-KZ"/>
        </w:rPr>
        <w:t xml:space="preserve">Мемлекеттік мүліктің тізілімін жасау жөніндегі іс-шаралар жоспарын бекіту туралы</w:t>
      </w:r>
      <w:r>
        <w:rPr>
          <w:rFonts w:ascii="Times New Roman" w:hAnsi="Times New Roman" w:eastAsia="Times New Roman" w:cs="Times New Roman"/>
          <w:sz w:val="28"/>
          <w:szCs w:val="24"/>
          <w:lang w:val="kk-KZ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4"/>
          <w:lang w:val="kk-KZ"/>
        </w:rPr>
        <w:t xml:space="preserve">Қазақстан Республикасы Үкіметінің 2011 жылғы 30 қыркүйектегі №1115 Қаулысы</w:t>
      </w:r>
      <w:r>
        <w:rPr>
          <w:rFonts w:ascii="Times New Roman" w:hAnsi="Times New Roman" w:eastAsia="Times New Roman" w:cs="Times New Roman"/>
          <w:sz w:val="28"/>
          <w:szCs w:val="24"/>
          <w:lang w:val="kk-KZ"/>
        </w:rPr>
        <w:t xml:space="preserve">;</w:t>
      </w: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</w:p>
    <w:p w14:paraId="775C26A3" w14:textId="25FFCE56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- «</w:t>
      </w: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Ғимараттар мен құрылыстарды техникалық және (немесе) технологиялық жағынан күрделі объектілерге жатқызудың жалпы тәртібін айқындау қағидаларын бекіту туралы</w:t>
      </w: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Қазақстан Республикасы Ұлттық экономика министрінің 2015 жылғы 28 ақпандағы №165 бұйрығы</w:t>
      </w: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;</w:t>
      </w: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</w:p>
    <w:p w14:paraId="25432F6E" w14:textId="4541E437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- «</w:t>
      </w: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Тауарларды өндіретін және (немесе) беретін, жұмыстарды орындайтын, қызметтерді көрсететін Қазақстан Республикасының </w:t>
      </w: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мүгедектігі бар адамдар қоғамдық бірлестіктері және (немесе) Қазақстан Республикасының мүгедектігі бар адамдар қоғамдық бірлестіктері құрған ұйымдардан сатып алынатын тауарлардың, жұмыстардың, көрсетілетін қызметтердің жекелеген түрлерінің тізбесін бекіту </w:t>
      </w: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туралы</w:t>
      </w: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Қазақстан Республикасы Еңбек және халықты әлеуметтік қорғау министрінің 2024 жылғы 3 қыркүйектегі № 345 бұйрығы</w:t>
      </w:r>
      <w:r>
        <w:rPr>
          <w:rFonts w:ascii="Times New Roman" w:hAnsi="Times New Roman" w:eastAsia="Times New Roman" w:cs="Times New Roman"/>
          <w:sz w:val="28"/>
          <w:szCs w:val="24"/>
          <w:lang w:val="kk-KZ" w:eastAsia="ru-RU"/>
        </w:rPr>
        <w:t xml:space="preserve">;</w:t>
      </w: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</w:p>
    <w:p w14:paraId="1D7F5E50" w14:textId="38638F98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«Махамб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ет аудандық экономика және қаржы бөлімі» мемлекеттік мекемесінің мәселелері туралы» Махамбет ауданы әкімдігінің 2022 жылғы 19 желтоқсандағы №339 қаулысына өзгеріс енгізу туралы» Атырау облысы Махамбет ауданы әкімдігінің 2024 жылғы 24 қаңтардағы №17 қаулысы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A51E440" w14:textId="77777777">
      <w:pPr>
        <w:pStyle w:val="913"/>
        <w:pBdr/>
        <w:spacing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Талдау анықтамасы бойынша нормативтік-құ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қықтық актілердің нормалары арасында қайшылықтар, коллизиялар мен олқылықтар, нормалардың қайталануы, сыбайлас жемқорлық әрекеттерді жасау және (немесе) шешім қабылдау мүмкіндігін туғызатын сыбайлас жемқорлыққа бейім нормалар (норма ақаулары) анықталмаған.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2AE4623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Дискрециялық өкілеттіліктер мен нормалардың болуы анықталған жоқ.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2C59338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0AD9168" w14:textId="77777777">
      <w:pPr>
        <w:pStyle w:val="913"/>
        <w:pBdr/>
        <w:spacing/>
        <w:ind w:firstLine="708"/>
        <w:jc w:val="both"/>
        <w:rPr>
          <w:rStyle w:val="899"/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u w:val="single"/>
          <w:lang w:val="kk-KZ" w:eastAsia="ru-RU"/>
        </w:rPr>
        <w:t xml:space="preserve">Махамбет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  <w:lang w:val="kk-KZ" w:eastAsia="ru-RU"/>
        </w:rPr>
        <w:t xml:space="preserve">аудандық экономика және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  <w:lang w:val="kk-KZ" w:eastAsia="ru-RU"/>
        </w:rPr>
        <w:t xml:space="preserve"> қаржы бөлімінің қызметін қозғайтын нормативтік-құқықтық актілерді және құқықтық актілерде а</w:t>
      </w:r>
      <w:r>
        <w:rPr>
          <w:rStyle w:val="899"/>
          <w:rFonts w:ascii="Times New Roman" w:hAnsi="Times New Roman" w:eastAsia="Times New Roman" w:cs="Times New Roman"/>
          <w:sz w:val="28"/>
          <w:szCs w:val="28"/>
          <w:u w:val="single"/>
          <w:lang w:val="kk-KZ"/>
        </w:rPr>
        <w:t xml:space="preserve">нықталған сыбайлас жемқорлық  тәуекелдері:</w:t>
      </w:r>
      <w:r>
        <w:rPr>
          <w:rStyle w:val="899"/>
          <w:rFonts w:ascii="Times New Roman" w:hAnsi="Times New Roman" w:cs="Times New Roman"/>
          <w:sz w:val="28"/>
          <w:szCs w:val="28"/>
          <w:u w:val="single"/>
        </w:rPr>
      </w:r>
      <w:r>
        <w:rPr>
          <w:rStyle w:val="899"/>
          <w:rFonts w:ascii="Times New Roman" w:hAnsi="Times New Roman" w:cs="Times New Roman"/>
          <w:sz w:val="28"/>
          <w:szCs w:val="28"/>
          <w:u w:val="single"/>
        </w:rPr>
      </w:r>
    </w:p>
    <w:p w14:paraId="1192BEA5" w14:textId="09372D87">
      <w:pPr>
        <w:pStyle w:val="913"/>
        <w:pBdr/>
        <w:spacing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1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)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Қазақстан Республикасы Денсаулық сақтау және әлеуметтік даму министрінің 2015 жылғы 28 желтоқсандағы №1042 бұйрығымен бекітілген «Әлеум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еттік қамсыздандыру саласының азаматтық қызметшілері лауазымдарының тізіліміндегі»  А блогы – басқарушы персоналда звено - А1, саты - 3, халықты әлеуметтік қорғау жөніндегі іс-шараларды іске асыру бойынша мекеменің басшысы лауазымдар атауында көрсетілмеген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5A87810" w14:textId="64A8231A">
      <w:pPr>
        <w:pStyle w:val="913"/>
        <w:pBdr/>
        <w:spacing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lang w:val="kk-KZ" w:eastAsia="ru-RU"/>
        </w:rPr>
        <w:t xml:space="preserve">Ұсынымдар: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 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Қазақстан Республикасы Денсаулық сақтау және әлеуметтік даму министрінің 2015 жылғы 28 желтоқсандағы №1042 бұйрығымен бекітілген «Әлеуметтік қ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амсыздандыру саласының азаматтық қызметшілері лауазымдарының тізіліміндегі»  А блогы – басқарушы персоналда звено - А1, саты - 3, халықты әлеуметтік қорғау жөніндегі іс-шараларды іске асыру бойынша мекеменің басшысын  лауазымдар атауына толықтыру ұсынылады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.</w:t>
      </w:r>
      <w:r>
        <w:rPr>
          <w:rFonts w:ascii="Times New Roman" w:hAnsi="Times New Roman" w:cs="Times New Roman"/>
          <w:i/>
          <w:sz w:val="28"/>
          <w:szCs w:val="28"/>
        </w:rPr>
      </w:r>
      <w:r>
        <w:rPr>
          <w:rFonts w:ascii="Times New Roman" w:hAnsi="Times New Roman" w:cs="Times New Roman"/>
          <w:i/>
          <w:sz w:val="28"/>
          <w:szCs w:val="28"/>
        </w:rPr>
      </w:r>
    </w:p>
    <w:p w14:paraId="6B12D986" w14:textId="6AD66062">
      <w:pPr>
        <w:pStyle w:val="913"/>
        <w:pBdr/>
        <w:spacing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)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Қазақстан Республикасы Ұлттық экономика министрінің 2014 жылғы 6 қарашадағы №72 бұйрығымен бекітілген «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Ауылдық елдi мекендерге жұмыс iстеуге және тұруға келген д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енсаулық сақтау, бiлiм беру, әлеуметтiк қамсыздандыру, мәдениет, спорт және агроөнеркәсіптік кешен саласындағы мамандарға, ауылдар, кенттер, ауылдық округтер әкімдері аппараттарының мемлекеттік қызметшілеріне әлеуметтiк қолдау шараларын ұсыну мөлшерін және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қағидаларының» 2-тараудың 4-тармағының 1-абзацында «көтерме жәрдемақы және тұрғын үй сатып алуға немесе салуға бюджеттік кредит түріндегі әлеуметтік қолдау шаралары денсаулық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сақтау, білім беру, әлеуметтік қамсыздандыру, мәдениет, спорт, агроөнеркәсіптік кешен саласындағы сұранысқа ие мамандықтардың және ауылдар, кенттер, ауылдық округтер әкімдері аппараттарының мемлекеттік қызметшілерінің тізбесі бойынша ұсынылады» – делінген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D2FD01B" w14:textId="0E9DB1EC">
      <w:pPr>
        <w:pStyle w:val="913"/>
        <w:pBdr/>
        <w:spacing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lang w:val="kk-KZ" w:eastAsia="ru-RU"/>
        </w:rPr>
        <w:t xml:space="preserve">Ұсынымдар: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 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Көтерме жәрдемақы және тұрғын үй сатып алуға немесе салуға бюджеттік кредит түріндегі әлеуметтік 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қолдау шаралары денсаулық сақтау, білім беру,әлеуметтік қамсыздандыру, мәдениет, спорт, агроөнеркәсіптік кешен саласындағы сұранысқа ие мамандықтардың және ауылдар, кенттер, ауылдық округтер әкімдері аппараттарының мемлекеттік қызметшілерінің тізбесін қалы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птастырған кезде сұранысқа ие бос орындарынан (вакансия) немесе бұрын (2010-2022 жылдары) жұмысқа орналасқан мамандарды қосуға/қоспауға  болатындығы туралы нақты көрсету арқылы толықтыру ұсынылады, яғни тізбе бекітілмес бұрын қызмет жасап жатырған мамандар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.</w:t>
      </w:r>
      <w:r>
        <w:rPr>
          <w:rFonts w:ascii="Times New Roman" w:hAnsi="Times New Roman" w:cs="Times New Roman"/>
          <w:i/>
          <w:sz w:val="28"/>
          <w:szCs w:val="28"/>
        </w:rPr>
      </w:r>
      <w:r>
        <w:rPr>
          <w:rFonts w:ascii="Times New Roman" w:hAnsi="Times New Roman" w:cs="Times New Roman"/>
          <w:i/>
          <w:sz w:val="28"/>
          <w:szCs w:val="28"/>
        </w:rPr>
      </w:r>
    </w:p>
    <w:p w14:paraId="3E4F8156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  <w:lang w:val="kk-KZ" w:eastAsia="ru-RU"/>
        </w:rPr>
        <w:t xml:space="preserve">Махамбет аудандық экономика және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  <w:lang w:val="kk-KZ" w:eastAsia="ru-RU"/>
        </w:rPr>
        <w:t xml:space="preserve"> қаржы бөлімінің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  <w:lang w:val="kk-KZ" w:eastAsia="ru-RU"/>
        </w:rPr>
        <w:t xml:space="preserve"> сыбайлас жемқорлық тәуекелдерін анықтау бағыты бойынша: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 w14:paraId="0B219ECE" w14:textId="33E768E3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1) персоналды басқару, соның ішінде кадрлардың ауысуы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–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бөлімнің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жалпы штат саны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бірл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ікті құрайды,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нақты штат саны –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бірлік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3D60128" w14:textId="323FA1BA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Бөлім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басшысы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тұрақты қызмет атқаруда.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3F71779" w14:textId="4C4EDB4E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Бөлім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басшысының орынбаса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ры: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штат саны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бірлік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2025 жылдың ақпан айынан бастап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мансаптық көтерілумен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сектор меңгерушісі лауазымынан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бөлім басшысының орынбасары лауазымына тағайындалды.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94C62CA" w14:textId="6B545C68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 xml:space="preserve">Экономика және бюджеттік жоспарлау секторында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2 бірлік, сектор меңгерушісі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1 бірлік,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бас маман 1 бірлік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2768D17" w14:textId="2601E875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Бюджет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тің атқарылуы және талдауы жөніндегі бас маман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,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штат саны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1 бірлік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, тұрақты қызмет атқаруда.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90F7D8D" w14:textId="53AFBDEF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 xml:space="preserve">Коммуналдық мүлікті басқару жөніндегі бас маманы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, штат саны 1 бірлік, тұрақты қызмет атқаруд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а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2506E07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Бюджеттік және қаржылық есеп беру бойынша бас маман,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штат саны 1 бірлік, тұрақты қызмет атқаруда.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357F0E5" w14:textId="03F26A36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2) мүдделер қақты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ғысы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н реттеу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– ағымдағы жылдың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1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маусым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жағдайы бойынша мүдделер қақтығысы орын алған жоқ;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FC15AE2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3) 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мемлекеттік қызмет көрсету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бөлім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бойынша мемлекеттік қызмет көрсетілмейді;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7C86AD6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4) рұқсат беру функциялары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н іске асыру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бөлімде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рұқсат беру функциясы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іске асырылмайды;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5EB792AB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5)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 бақылау функцияларын іске асыру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бөлімде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бақылау функциялары іске асырылмайды.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3829EEF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Талдау нәтижесі бойынша құқық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бұзушылықтар анықталған жоқ;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518177C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6) 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бөлімнің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 ұйымдастырушылық-басқарушылық қызметінен т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уындайтын өзге де мәселелер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жоқ;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849AFAA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7) 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бөлімге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 қатысты мемлекеттік органдардың бұрын жүргізген тексеру нәтижелері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бөлімге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қатысты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тексерістер жүргізілген жоқ;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DE4C867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8) бұқаралық ақпарат құралдарында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ғы жарияланымдар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-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қызметкерлердің заңға қайшы әрекеттері мен теріс іс-қимылдарын әшкерлейтін материалдар жарияланған жоқ;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CE8E160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9) 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бөлімге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 келіп түскен жеке және заңды тұлғалардың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 өтініштері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бөлім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қызметкерлеріне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қатысты сыбайлас жемқорлық мәселелері бойынша жеке және заңды тұлғалар тарапынан өтініштер түскен жоқ;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D1ADE11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10) прокурорлық қадағалау актілері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прокурорлық кадағалау актілері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бойынша ескертулер болған жоқ;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AC602DF" w14:textId="51E1BDBD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11)</w:t>
      </w:r>
      <w:r>
        <w:rPr>
          <w:rFonts w:ascii="Times New Roman" w:hAnsi="Times New Roman" w:eastAsia="Times New Roman" w:cs="Times New Roman"/>
          <w:i/>
          <w:sz w:val="28"/>
          <w:szCs w:val="28"/>
          <w:lang w:val="kk-KZ" w:eastAsia="ru-RU"/>
        </w:rPr>
        <w:t xml:space="preserve"> сот актілері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–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бөлім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бойынша сыбайлас жемқорлық тәуекелдеріне қатысты сот актілері түскен жоқ.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D04AACF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FA0795A" w14:textId="77777777">
      <w:pPr>
        <w:pStyle w:val="913"/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Қорытынды: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7A5C5EF0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ab/>
        <w:t xml:space="preserve"> Талдау барысында бөлім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де анықталған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сыбайлас жемқорлық тәуекелдері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бойынша ҰСЫНЫМДАР: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4B31719" w14:textId="1BE32183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1</w:t>
      </w:r>
      <w:r>
        <w:rPr>
          <w:rFonts w:ascii="Times New Roman" w:hAnsi="Times New Roman" w:eastAsia="Times New Roman" w:cs="Times New Roman"/>
          <w:iCs/>
          <w:sz w:val="28"/>
          <w:szCs w:val="28"/>
          <w:lang w:val="kk-KZ"/>
        </w:rPr>
        <w:t xml:space="preserve">)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Қазақстан Республикасы Д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енсаулық сақтау және әлеуметтік даму министрінің 2015 жылғы 28 желтоқсандағы №1042 бұйрығымен бекітілген «Әлеуметтік қамсыздандыру саласының азаматтық қызметшілері лауазымдарының тізіліміндегі»  А блогы – басқарушы персоналда звено - А1, саты - 3, халықты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әлеуметтік қорғау жөніндегі іс-шараларды іске асыру бойынша мекеменің басшысын  лауазымдар атауына толықтыру ұсынылады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589E1F1" w14:textId="1199BA49">
      <w:pPr>
        <w:pStyle w:val="913"/>
        <w:pBdr/>
        <w:spacing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)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Көтерме жәрдемақы және тұрғын үй сатып алуға немесе салуға бюджеттік кредит түріндегі әлеуметтік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қолдау шаралары денсаулық сақтау, білім беру,әлеуметтік қамсыздандыру, мәдениет, спорт, агроөнеркәсіптік кешен саласындағы сұранысқа ие мамандықтардың және ауылдар, кенттер, ауылдық округтер әкімдері аппараттарының мемлекеттік қызметшілерінің тізбесін қалы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птастырған кезде сұранысқа ие бос орындарынан (вакансия) немесе бұрын (2010-2022 жылдары) жұмысқа орналасқан мамандарды қосуға/қоспауға  болатындығы туралы нақты көрсету арқылы толықтыру ұсынылады, яғни тізбе бекітілмес бұрын қызмет жасап жатырған мамандар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5C682E8B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iCs/>
          <w:sz w:val="28"/>
          <w:szCs w:val="28"/>
          <w:lang w:val="kk-KZ" w:eastAsia="ru-RU"/>
        </w:rPr>
      </w:r>
      <w:r>
        <w:rPr>
          <w:rFonts w:ascii="Times New Roman" w:hAnsi="Times New Roman" w:cs="Times New Roman"/>
          <w:iCs/>
          <w:sz w:val="28"/>
          <w:szCs w:val="28"/>
        </w:rPr>
      </w:r>
      <w:r>
        <w:rPr>
          <w:rFonts w:ascii="Times New Roman" w:hAnsi="Times New Roman" w:cs="Times New Roman"/>
          <w:iCs/>
          <w:sz w:val="28"/>
          <w:szCs w:val="28"/>
        </w:rPr>
      </w:r>
    </w:p>
    <w:p w14:paraId="23CE7DD0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Жұмыс тобы: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3BD5CF1" w14:textId="77777777">
      <w:pPr>
        <w:pStyle w:val="913"/>
        <w:pBdr/>
        <w:spacing/>
        <w:ind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Style w:val="91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>
        <w:trPr/>
        <w:tc>
          <w:tcPr>
            <w:tcBorders/>
            <w:tcW w:w="5097" w:type="dxa"/>
          </w:tcPr>
          <w:p w14:paraId="43001255" w14:textId="20AFAC19">
            <w:pPr>
              <w:pStyle w:val="91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Танатарова Салтанат Рахметжанқызы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бөлім басшысының орынбасары,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жұмыс тобының жетекшісі;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098" w:type="dxa"/>
            <w:vAlign w:val="center"/>
          </w:tcPr>
          <w:p w14:paraId="74CC31F3" w14:textId="018B8E46">
            <w:pPr>
              <w:pStyle w:val="91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97" w:type="dxa"/>
          </w:tcPr>
          <w:p w14:paraId="618E97CD" w14:textId="77777777">
            <w:pPr>
              <w:pStyle w:val="91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098" w:type="dxa"/>
            <w:vAlign w:val="center"/>
          </w:tcPr>
          <w:p w14:paraId="36628477" w14:textId="77777777">
            <w:pPr>
              <w:pStyle w:val="91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97" w:type="dxa"/>
          </w:tcPr>
          <w:p w14:paraId="52CD3832" w14:textId="216B888F">
            <w:pPr>
              <w:pStyle w:val="91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Сапи Дәуірбек Ғасырбекұлы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 xml:space="preserve">эко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 xml:space="preserve">номика және бюджеттік жоспарлау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 xml:space="preserve">секторының меңгерушісі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, жұмыс тобының мүшесі;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098" w:type="dxa"/>
            <w:vAlign w:val="center"/>
          </w:tcPr>
          <w:p w14:paraId="25F1ADD5" w14:textId="1FC80BBE">
            <w:pPr>
              <w:pStyle w:val="91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97" w:type="dxa"/>
          </w:tcPr>
          <w:p w14:paraId="72D471D8" w14:textId="77777777">
            <w:pPr>
              <w:pStyle w:val="91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098" w:type="dxa"/>
            <w:vAlign w:val="center"/>
          </w:tcPr>
          <w:p w14:paraId="5B205DCF" w14:textId="77777777">
            <w:pPr>
              <w:pStyle w:val="91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575"/>
        </w:trPr>
        <w:tc>
          <w:tcPr>
            <w:tcBorders/>
            <w:tcW w:w="5097" w:type="dxa"/>
          </w:tcPr>
          <w:p w14:paraId="0C968620" w14:textId="77777777">
            <w:pPr>
              <w:pStyle w:val="91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Қайырбаева Элеонора Жанұзаққызы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 w14:paraId="0F1DD96D" w14:textId="77777777">
            <w:pPr>
              <w:pStyle w:val="913"/>
              <w:pBdr/>
              <w:spacing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 xml:space="preserve">коммуналдық мүлікті басқару жөніндегі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 w14:paraId="674D7BD4" w14:textId="072ADBC1">
            <w:pPr>
              <w:pStyle w:val="91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 xml:space="preserve">бас маманы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, жұмыс тобының мүшесі;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098" w:type="dxa"/>
            <w:vAlign w:val="center"/>
          </w:tcPr>
          <w:p w14:paraId="22945DBE" w14:textId="58772FEB">
            <w:pPr>
              <w:pStyle w:val="91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97" w:type="dxa"/>
          </w:tcPr>
          <w:p w14:paraId="38FB6743" w14:textId="77777777">
            <w:pPr>
              <w:pStyle w:val="91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098" w:type="dxa"/>
            <w:vAlign w:val="center"/>
          </w:tcPr>
          <w:p w14:paraId="1FB5484A" w14:textId="77777777">
            <w:pPr>
              <w:pStyle w:val="91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97" w:type="dxa"/>
          </w:tcPr>
          <w:p w14:paraId="72E436BE" w14:textId="77777777">
            <w:pPr>
              <w:pStyle w:val="91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Мұхамедиярова Дина Ерсайынқызы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 w14:paraId="698D18FC" w14:textId="77777777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 xml:space="preserve">бюджеттің атқарылуы және талдауы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 w14:paraId="29750DA5" w14:textId="4A89DA5B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 xml:space="preserve">жөніндегі бас маман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жұмыс тобының мүшесі;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5098" w:type="dxa"/>
            <w:vAlign w:val="center"/>
          </w:tcPr>
          <w:p w14:paraId="0A9943DE" w14:textId="6F76378A">
            <w:pPr>
              <w:pStyle w:val="91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97" w:type="dxa"/>
          </w:tcPr>
          <w:p w14:paraId="61280F4E" w14:textId="77777777">
            <w:pPr>
              <w:pStyle w:val="91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098" w:type="dxa"/>
            <w:vAlign w:val="center"/>
          </w:tcPr>
          <w:p w14:paraId="58DFFF32" w14:textId="77777777">
            <w:pPr>
              <w:pStyle w:val="91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95"/>
        </w:trPr>
        <w:tc>
          <w:tcPr>
            <w:tcBorders/>
            <w:tcW w:w="5097" w:type="dxa"/>
          </w:tcPr>
          <w:p w14:paraId="48BD9DB3" w14:textId="15943494">
            <w:pPr>
              <w:pStyle w:val="913"/>
              <w:pBdr/>
              <w:spacing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Жұбанов Мейрамбек Асылбекұлы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 xml:space="preserve">экономика және бюджеттік жоспарлау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 xml:space="preserve">                 с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 xml:space="preserve">екторының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 xml:space="preserve"> бас маманы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жұмыс тобының мүшесі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.                                                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 w14:paraId="445E44EB" w14:textId="02927C77">
            <w:pPr>
              <w:pStyle w:val="91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098" w:type="dxa"/>
            <w:vAlign w:val="center"/>
          </w:tcPr>
          <w:p w14:paraId="08074781" w14:textId="3972E87D">
            <w:pPr>
              <w:pStyle w:val="91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 w14:paraId="084DC87F" w14:textId="05BFC2C6">
            <w:pPr>
              <w:pStyle w:val="91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 w14:paraId="670B97D5">
            <w:pPr>
              <w:pStyle w:val="913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 w14:paraId="601816E6">
            <w:pPr>
              <w:pStyle w:val="913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 w14:paraId="6F86B360" w14:textId="26EE33C6">
            <w:pPr>
              <w:pStyle w:val="913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 w14:paraId="3801A480" w14:textId="77777777">
      <w:pPr>
        <w:pStyle w:val="913"/>
        <w:pBdr/>
        <w:spacing/>
        <w:ind/>
        <w:jc w:val="both"/>
        <w:rPr>
          <w:rFonts w:asciiTheme="majorBidi" w:hAnsiTheme="majorBidi" w:cstheme="majorBidi"/>
          <w:sz w:val="28"/>
          <w:szCs w:val="28"/>
          <w:lang w:val="kk-KZ" w:eastAsia="ru-RU"/>
        </w:rPr>
      </w:pPr>
      <w:r>
        <w:rPr>
          <w:rFonts w:asciiTheme="majorBidi" w:hAnsiTheme="majorBidi" w:cstheme="majorBidi"/>
          <w:sz w:val="28"/>
          <w:szCs w:val="28"/>
          <w:lang w:val="kk-KZ" w:eastAsia="ru-RU"/>
        </w:rPr>
      </w:r>
      <w:r>
        <w:rPr>
          <w:rFonts w:asciiTheme="majorBidi" w:hAnsiTheme="majorBidi" w:cstheme="majorBidi"/>
          <w:sz w:val="28"/>
          <w:szCs w:val="28"/>
          <w:lang w:val="kk-KZ" w:eastAsia="ru-RU"/>
        </w:rPr>
      </w:r>
      <w:r>
        <w:rPr>
          <w:rFonts w:asciiTheme="majorBidi" w:hAnsiTheme="majorBidi" w:cstheme="majorBidi"/>
          <w:sz w:val="28"/>
          <w:szCs w:val="28"/>
          <w:lang w:val="kk-KZ" w:eastAsia="ru-RU"/>
        </w:rPr>
      </w:r>
    </w:p>
    <w:sectPr>
      <w:headerReference w:type="default" r:id="rId9"/>
      <w:footnotePr/>
      <w:endnotePr/>
      <w:type w:val="nextPage"/>
      <w:pgSz w:h="16838" w:orient="portrait" w:w="11906"/>
      <w:pgMar w:top="284" w:right="567" w:bottom="0" w:left="1134" w:header="709" w:footer="709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7A75D81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3C7F2275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15820ED4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6FD4AF0F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BED0EF2" w14:textId="1AA8172A">
    <w:pPr>
      <w:pStyle w:val="909"/>
      <w:pBdr/>
      <w:spacing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6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</w:r>
    <w:r>
      <w:rPr>
        <w:rFonts w:ascii="Times New Roman" w:hAnsi="Times New Roman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BA11BF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color w:val="333333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9">
    <w:name w:val="Table Grid Light"/>
    <w:basedOn w:val="89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Plain Table 1"/>
    <w:basedOn w:val="89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Plain Table 2"/>
    <w:basedOn w:val="89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Plain Table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Plain Table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Plain Table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1 Light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1 Light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1 Light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1 Light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2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2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2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2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3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3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3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3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"/>
    <w:basedOn w:val="89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1"/>
    <w:basedOn w:val="89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4 - Accent 2"/>
    <w:basedOn w:val="89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4 - Accent 3"/>
    <w:basedOn w:val="89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4 - Accent 4"/>
    <w:basedOn w:val="89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4 - Accent 5"/>
    <w:basedOn w:val="89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 - Accent 6"/>
    <w:basedOn w:val="89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5 Dark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5 Dark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5 Dark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5 Dark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6 Colorful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6 Colorful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6 Colorful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6 Colorful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7 Colorful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7 Colorful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7 Colorful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7 Colorful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1 Light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1 Light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1 Light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1 Light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2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2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2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2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3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3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3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3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4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4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4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4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5 Dark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5 Dark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5 Dark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5 Dark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6 Colorful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6 Colorful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6 Colorful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6 Colorful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7 Colorful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7 Colorful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7 Colorful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7 Colorful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1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ned - Accent 2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ned - Accent 3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ned - Accent 4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ned - Accent 5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 6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1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&amp; Lined - Accent 2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&amp; Lined - Accent 3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&amp; Lined - Accent 4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&amp; Lined - Accent 5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 6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4">
    <w:name w:val="Heading 2"/>
    <w:basedOn w:val="893"/>
    <w:next w:val="893"/>
    <w:link w:val="85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45">
    <w:name w:val="Heading 3"/>
    <w:basedOn w:val="893"/>
    <w:next w:val="893"/>
    <w:link w:val="85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6">
    <w:name w:val="Heading 4"/>
    <w:basedOn w:val="893"/>
    <w:next w:val="893"/>
    <w:link w:val="85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7">
    <w:name w:val="Heading 5"/>
    <w:basedOn w:val="893"/>
    <w:next w:val="893"/>
    <w:link w:val="85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8">
    <w:name w:val="Heading 6"/>
    <w:basedOn w:val="893"/>
    <w:next w:val="893"/>
    <w:link w:val="85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9">
    <w:name w:val="Heading 7"/>
    <w:basedOn w:val="893"/>
    <w:next w:val="893"/>
    <w:link w:val="85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0">
    <w:name w:val="Heading 8"/>
    <w:basedOn w:val="893"/>
    <w:next w:val="893"/>
    <w:link w:val="85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Heading 9"/>
    <w:basedOn w:val="893"/>
    <w:next w:val="893"/>
    <w:link w:val="86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2">
    <w:name w:val="Heading 1 Char"/>
    <w:basedOn w:val="895"/>
    <w:link w:val="8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3">
    <w:name w:val="Heading 2 Char"/>
    <w:basedOn w:val="895"/>
    <w:link w:val="84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4">
    <w:name w:val="Heading 3 Char"/>
    <w:basedOn w:val="895"/>
    <w:link w:val="84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5">
    <w:name w:val="Heading 4 Char"/>
    <w:basedOn w:val="895"/>
    <w:link w:val="84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6">
    <w:name w:val="Heading 5 Char"/>
    <w:basedOn w:val="895"/>
    <w:link w:val="84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7">
    <w:name w:val="Heading 6 Char"/>
    <w:basedOn w:val="895"/>
    <w:link w:val="84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8">
    <w:name w:val="Heading 7 Char"/>
    <w:basedOn w:val="895"/>
    <w:link w:val="84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9">
    <w:name w:val="Heading 8 Char"/>
    <w:basedOn w:val="895"/>
    <w:link w:val="85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0">
    <w:name w:val="Heading 9 Char"/>
    <w:basedOn w:val="895"/>
    <w:link w:val="85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1">
    <w:name w:val="Title"/>
    <w:basedOn w:val="893"/>
    <w:next w:val="893"/>
    <w:link w:val="86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2">
    <w:name w:val="Title Char"/>
    <w:basedOn w:val="895"/>
    <w:link w:val="86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63">
    <w:name w:val="Subtitle Char"/>
    <w:basedOn w:val="895"/>
    <w:link w:val="90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4">
    <w:name w:val="Quote"/>
    <w:basedOn w:val="893"/>
    <w:next w:val="893"/>
    <w:link w:val="86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5">
    <w:name w:val="Quote Char"/>
    <w:basedOn w:val="895"/>
    <w:link w:val="86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6">
    <w:name w:val="Intense Emphasis"/>
    <w:basedOn w:val="89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7">
    <w:name w:val="Intense Quote"/>
    <w:basedOn w:val="893"/>
    <w:next w:val="893"/>
    <w:link w:val="8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8">
    <w:name w:val="Intense Quote Char"/>
    <w:basedOn w:val="895"/>
    <w:link w:val="8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9">
    <w:name w:val="Intense Reference"/>
    <w:basedOn w:val="89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70">
    <w:name w:val="Subtle Emphasis"/>
    <w:basedOn w:val="89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1">
    <w:name w:val="Subtle Reference"/>
    <w:basedOn w:val="89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2">
    <w:name w:val="Book Title"/>
    <w:basedOn w:val="89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73">
    <w:name w:val="Header Char"/>
    <w:basedOn w:val="895"/>
    <w:link w:val="909"/>
    <w:uiPriority w:val="99"/>
    <w:pPr>
      <w:pBdr/>
      <w:spacing/>
      <w:ind/>
    </w:pPr>
  </w:style>
  <w:style w:type="character" w:styleId="874">
    <w:name w:val="Footer Char"/>
    <w:basedOn w:val="895"/>
    <w:link w:val="911"/>
    <w:uiPriority w:val="99"/>
    <w:pPr>
      <w:pBdr/>
      <w:spacing/>
      <w:ind/>
    </w:pPr>
  </w:style>
  <w:style w:type="paragraph" w:styleId="875">
    <w:name w:val="Caption"/>
    <w:basedOn w:val="893"/>
    <w:next w:val="89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876">
    <w:name w:val="Footnote Text Char"/>
    <w:basedOn w:val="895"/>
    <w:link w:val="904"/>
    <w:uiPriority w:val="99"/>
    <w:semiHidden/>
    <w:pPr>
      <w:pBdr/>
      <w:spacing/>
      <w:ind/>
    </w:pPr>
    <w:rPr>
      <w:sz w:val="20"/>
      <w:szCs w:val="20"/>
    </w:rPr>
  </w:style>
  <w:style w:type="paragraph" w:styleId="877">
    <w:name w:val="endnote text"/>
    <w:basedOn w:val="893"/>
    <w:link w:val="87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8">
    <w:name w:val="Endnote Text Char"/>
    <w:basedOn w:val="895"/>
    <w:link w:val="877"/>
    <w:uiPriority w:val="99"/>
    <w:semiHidden/>
    <w:pPr>
      <w:pBdr/>
      <w:spacing/>
      <w:ind/>
    </w:pPr>
    <w:rPr>
      <w:sz w:val="20"/>
      <w:szCs w:val="20"/>
    </w:rPr>
  </w:style>
  <w:style w:type="character" w:styleId="879">
    <w:name w:val="endnote reference"/>
    <w:basedOn w:val="895"/>
    <w:uiPriority w:val="99"/>
    <w:semiHidden/>
    <w:unhideWhenUsed/>
    <w:pPr>
      <w:pBdr/>
      <w:spacing/>
      <w:ind/>
    </w:pPr>
    <w:rPr>
      <w:vertAlign w:val="superscript"/>
    </w:rPr>
  </w:style>
  <w:style w:type="character" w:styleId="880">
    <w:name w:val="FollowedHyperlink"/>
    <w:basedOn w:val="89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1">
    <w:name w:val="toc 1"/>
    <w:basedOn w:val="893"/>
    <w:next w:val="893"/>
    <w:uiPriority w:val="39"/>
    <w:unhideWhenUsed/>
    <w:pPr>
      <w:pBdr/>
      <w:spacing w:after="100"/>
      <w:ind/>
    </w:pPr>
  </w:style>
  <w:style w:type="paragraph" w:styleId="882">
    <w:name w:val="toc 2"/>
    <w:basedOn w:val="893"/>
    <w:next w:val="893"/>
    <w:uiPriority w:val="39"/>
    <w:unhideWhenUsed/>
    <w:pPr>
      <w:pBdr/>
      <w:spacing w:after="100"/>
      <w:ind w:left="220"/>
    </w:pPr>
  </w:style>
  <w:style w:type="paragraph" w:styleId="883">
    <w:name w:val="toc 3"/>
    <w:basedOn w:val="893"/>
    <w:next w:val="893"/>
    <w:uiPriority w:val="39"/>
    <w:unhideWhenUsed/>
    <w:pPr>
      <w:pBdr/>
      <w:spacing w:after="100"/>
      <w:ind w:left="440"/>
    </w:pPr>
  </w:style>
  <w:style w:type="paragraph" w:styleId="884">
    <w:name w:val="toc 4"/>
    <w:basedOn w:val="893"/>
    <w:next w:val="893"/>
    <w:uiPriority w:val="39"/>
    <w:unhideWhenUsed/>
    <w:pPr>
      <w:pBdr/>
      <w:spacing w:after="100"/>
      <w:ind w:left="660"/>
    </w:pPr>
  </w:style>
  <w:style w:type="paragraph" w:styleId="885">
    <w:name w:val="toc 5"/>
    <w:basedOn w:val="893"/>
    <w:next w:val="893"/>
    <w:uiPriority w:val="39"/>
    <w:unhideWhenUsed/>
    <w:pPr>
      <w:pBdr/>
      <w:spacing w:after="100"/>
      <w:ind w:left="880"/>
    </w:pPr>
  </w:style>
  <w:style w:type="paragraph" w:styleId="886">
    <w:name w:val="toc 6"/>
    <w:basedOn w:val="893"/>
    <w:next w:val="893"/>
    <w:uiPriority w:val="39"/>
    <w:unhideWhenUsed/>
    <w:pPr>
      <w:pBdr/>
      <w:spacing w:after="100"/>
      <w:ind w:left="1100"/>
    </w:pPr>
  </w:style>
  <w:style w:type="paragraph" w:styleId="887">
    <w:name w:val="toc 7"/>
    <w:basedOn w:val="893"/>
    <w:next w:val="893"/>
    <w:uiPriority w:val="39"/>
    <w:unhideWhenUsed/>
    <w:pPr>
      <w:pBdr/>
      <w:spacing w:after="100"/>
      <w:ind w:left="1320"/>
    </w:pPr>
  </w:style>
  <w:style w:type="paragraph" w:styleId="888">
    <w:name w:val="toc 8"/>
    <w:basedOn w:val="893"/>
    <w:next w:val="893"/>
    <w:uiPriority w:val="39"/>
    <w:unhideWhenUsed/>
    <w:pPr>
      <w:pBdr/>
      <w:spacing w:after="100"/>
      <w:ind w:left="1540"/>
    </w:pPr>
  </w:style>
  <w:style w:type="paragraph" w:styleId="889">
    <w:name w:val="toc 9"/>
    <w:basedOn w:val="893"/>
    <w:next w:val="893"/>
    <w:uiPriority w:val="39"/>
    <w:unhideWhenUsed/>
    <w:pPr>
      <w:pBdr/>
      <w:spacing w:after="100"/>
      <w:ind w:left="1760"/>
    </w:pPr>
  </w:style>
  <w:style w:type="character" w:styleId="890">
    <w:name w:val="Placeholder Text"/>
    <w:basedOn w:val="895"/>
    <w:uiPriority w:val="99"/>
    <w:semiHidden/>
    <w:pPr>
      <w:pBdr/>
      <w:spacing/>
      <w:ind/>
    </w:pPr>
    <w:rPr>
      <w:color w:val="666666"/>
    </w:rPr>
  </w:style>
  <w:style w:type="paragraph" w:styleId="891">
    <w:name w:val="TOC Heading"/>
    <w:uiPriority w:val="39"/>
    <w:unhideWhenUsed/>
    <w:pPr>
      <w:pBdr/>
      <w:spacing/>
      <w:ind/>
    </w:pPr>
  </w:style>
  <w:style w:type="paragraph" w:styleId="892">
    <w:name w:val="table of figures"/>
    <w:basedOn w:val="893"/>
    <w:next w:val="893"/>
    <w:uiPriority w:val="99"/>
    <w:unhideWhenUsed/>
    <w:pPr>
      <w:pBdr/>
      <w:spacing w:after="0" w:afterAutospacing="0"/>
      <w:ind/>
    </w:pPr>
  </w:style>
  <w:style w:type="paragraph" w:styleId="893" w:default="1">
    <w:name w:val="Normal"/>
    <w:qFormat/>
    <w:pPr>
      <w:pBdr/>
      <w:spacing w:after="200" w:line="276" w:lineRule="auto"/>
      <w:ind/>
    </w:pPr>
    <w:rPr>
      <w:sz w:val="22"/>
      <w:szCs w:val="22"/>
      <w:lang w:eastAsia="en-US"/>
    </w:rPr>
  </w:style>
  <w:style w:type="paragraph" w:styleId="894">
    <w:name w:val="Heading 1"/>
    <w:basedOn w:val="893"/>
    <w:link w:val="908"/>
    <w:uiPriority w:val="9"/>
    <w:qFormat/>
    <w:pPr>
      <w:pBdr/>
      <w:spacing w:after="100" w:afterAutospacing="1" w:before="100" w:beforeAutospacing="1" w:line="240" w:lineRule="auto"/>
      <w:ind/>
      <w:outlineLvl w:val="0"/>
    </w:pPr>
    <w:rPr>
      <w:rFonts w:ascii="Times New Roman" w:hAnsi="Times New Roman" w:eastAsia="Times New Roman"/>
      <w:b/>
      <w:bCs/>
      <w:sz w:val="48"/>
      <w:szCs w:val="48"/>
    </w:rPr>
  </w:style>
  <w:style w:type="character" w:styleId="895" w:default="1">
    <w:name w:val="Default Paragraph Font"/>
    <w:uiPriority w:val="1"/>
    <w:semiHidden/>
    <w:unhideWhenUsed/>
    <w:pPr>
      <w:pBdr/>
      <w:spacing/>
      <w:ind/>
    </w:pPr>
  </w:style>
  <w:style w:type="table" w:styleId="89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7" w:default="1">
    <w:name w:val="No List"/>
    <w:uiPriority w:val="99"/>
    <w:semiHidden/>
    <w:unhideWhenUsed/>
    <w:pPr>
      <w:pBdr/>
      <w:spacing/>
      <w:ind/>
    </w:pPr>
  </w:style>
  <w:style w:type="paragraph" w:styleId="898" w:customStyle="1">
    <w:name w:val="Обычный (веб)1"/>
    <w:basedOn w:val="893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899">
    <w:name w:val="Strong"/>
    <w:uiPriority w:val="22"/>
    <w:qFormat/>
    <w:pPr>
      <w:pBdr/>
      <w:spacing/>
      <w:ind/>
    </w:pPr>
    <w:rPr>
      <w:b/>
      <w:bCs/>
    </w:rPr>
  </w:style>
  <w:style w:type="paragraph" w:styleId="900" w:customStyle="1">
    <w:name w:val="Название"/>
    <w:basedOn w:val="893"/>
    <w:next w:val="893"/>
    <w:link w:val="901"/>
    <w:uiPriority w:val="10"/>
    <w:qFormat/>
    <w:pPr>
      <w:pBdr/>
      <w:spacing w:after="60" w:before="240"/>
      <w:ind/>
      <w:jc w:val="center"/>
      <w:outlineLvl w:val="0"/>
    </w:pPr>
    <w:rPr>
      <w:rFonts w:ascii="Cambria" w:hAnsi="Cambria" w:eastAsia="Times New Roman"/>
      <w:b/>
      <w:bCs/>
      <w:sz w:val="32"/>
      <w:szCs w:val="32"/>
    </w:rPr>
  </w:style>
  <w:style w:type="character" w:styleId="901" w:customStyle="1">
    <w:name w:val="Название Знак"/>
    <w:link w:val="900"/>
    <w:uiPriority w:val="10"/>
    <w:pPr>
      <w:pBdr/>
      <w:spacing/>
      <w:ind/>
    </w:pPr>
    <w:rPr>
      <w:rFonts w:ascii="Cambria" w:hAnsi="Cambria" w:eastAsia="Times New Roman" w:cs="Times New Roman"/>
      <w:b/>
      <w:bCs/>
      <w:sz w:val="32"/>
      <w:szCs w:val="32"/>
      <w:lang w:eastAsia="en-US"/>
    </w:rPr>
  </w:style>
  <w:style w:type="paragraph" w:styleId="902">
    <w:name w:val="Subtitle"/>
    <w:basedOn w:val="893"/>
    <w:next w:val="893"/>
    <w:link w:val="903"/>
    <w:uiPriority w:val="11"/>
    <w:qFormat/>
    <w:pPr>
      <w:pBdr/>
      <w:spacing w:after="60"/>
      <w:ind/>
      <w:jc w:val="center"/>
      <w:outlineLvl w:val="1"/>
    </w:pPr>
    <w:rPr>
      <w:rFonts w:ascii="Cambria" w:hAnsi="Cambria" w:eastAsia="Times New Roman"/>
      <w:sz w:val="24"/>
      <w:szCs w:val="24"/>
    </w:rPr>
  </w:style>
  <w:style w:type="character" w:styleId="903" w:customStyle="1">
    <w:name w:val="Подзаголовок Знак"/>
    <w:link w:val="902"/>
    <w:uiPriority w:val="11"/>
    <w:pPr>
      <w:pBdr/>
      <w:spacing/>
      <w:ind/>
    </w:pPr>
    <w:rPr>
      <w:rFonts w:ascii="Cambria" w:hAnsi="Cambria" w:eastAsia="Times New Roman" w:cs="Times New Roman"/>
      <w:sz w:val="24"/>
      <w:szCs w:val="24"/>
      <w:lang w:eastAsia="en-US"/>
    </w:rPr>
  </w:style>
  <w:style w:type="paragraph" w:styleId="904">
    <w:name w:val="footnote text"/>
    <w:basedOn w:val="893"/>
    <w:link w:val="905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05" w:customStyle="1">
    <w:name w:val="Текст сноски Знак"/>
    <w:link w:val="904"/>
    <w:uiPriority w:val="99"/>
    <w:semiHidden/>
    <w:pPr>
      <w:pBdr/>
      <w:spacing/>
      <w:ind/>
    </w:pPr>
    <w:rPr>
      <w:lang w:eastAsia="en-US"/>
    </w:rPr>
  </w:style>
  <w:style w:type="character" w:styleId="906">
    <w:name w:val="foot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7">
    <w:name w:val="List Paragraph"/>
    <w:basedOn w:val="893"/>
    <w:uiPriority w:val="34"/>
    <w:qFormat/>
    <w:pPr>
      <w:pBdr/>
      <w:spacing/>
      <w:ind w:left="720"/>
      <w:contextualSpacing w:val="true"/>
    </w:pPr>
  </w:style>
  <w:style w:type="character" w:styleId="908" w:customStyle="1">
    <w:name w:val="Заголовок 1 Знак"/>
    <w:link w:val="894"/>
    <w:uiPriority w:val="9"/>
    <w:pPr>
      <w:pBdr/>
      <w:spacing/>
      <w:ind/>
    </w:pPr>
    <w:rPr>
      <w:rFonts w:ascii="Times New Roman" w:hAnsi="Times New Roman" w:eastAsia="Times New Roman"/>
      <w:b/>
      <w:bCs/>
      <w:sz w:val="48"/>
      <w:szCs w:val="48"/>
    </w:rPr>
  </w:style>
  <w:style w:type="paragraph" w:styleId="909">
    <w:name w:val="Header"/>
    <w:basedOn w:val="893"/>
    <w:link w:val="910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10" w:customStyle="1">
    <w:name w:val="Верхний колонтитул Знак"/>
    <w:link w:val="909"/>
    <w:uiPriority w:val="99"/>
    <w:pPr>
      <w:pBdr/>
      <w:spacing/>
      <w:ind/>
    </w:pPr>
    <w:rPr>
      <w:sz w:val="22"/>
      <w:szCs w:val="22"/>
      <w:lang w:eastAsia="en-US"/>
    </w:rPr>
  </w:style>
  <w:style w:type="paragraph" w:styleId="911">
    <w:name w:val="Footer"/>
    <w:basedOn w:val="893"/>
    <w:link w:val="912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12" w:customStyle="1">
    <w:name w:val="Нижний колонтитул Знак"/>
    <w:link w:val="911"/>
    <w:uiPriority w:val="99"/>
    <w:pPr>
      <w:pBdr/>
      <w:spacing/>
      <w:ind/>
    </w:pPr>
    <w:rPr>
      <w:sz w:val="22"/>
      <w:szCs w:val="22"/>
      <w:lang w:eastAsia="en-US"/>
    </w:rPr>
  </w:style>
  <w:style w:type="paragraph" w:styleId="913">
    <w:name w:val="No Spacing"/>
    <w:link w:val="915"/>
    <w:uiPriority w:val="1"/>
    <w:qFormat/>
    <w:pPr>
      <w:pBdr/>
      <w:spacing/>
      <w:ind/>
    </w:pPr>
    <w:rPr>
      <w:sz w:val="22"/>
      <w:szCs w:val="22"/>
      <w:lang w:eastAsia="en-US"/>
    </w:rPr>
  </w:style>
  <w:style w:type="table" w:styleId="914">
    <w:name w:val="Table Grid"/>
    <w:basedOn w:val="896"/>
    <w:uiPriority w:val="59"/>
    <w:pPr>
      <w:pBdr/>
      <w:spacing/>
      <w:ind/>
    </w:pPr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15" w:customStyle="1">
    <w:name w:val="Без интервала Знак"/>
    <w:link w:val="913"/>
    <w:uiPriority w:val="1"/>
    <w:pPr>
      <w:pBdr/>
      <w:spacing/>
      <w:ind/>
    </w:pPr>
    <w:rPr>
      <w:sz w:val="22"/>
      <w:szCs w:val="22"/>
      <w:lang w:val="ru-RU" w:eastAsia="en-US" w:bidi="ar-SA"/>
    </w:rPr>
  </w:style>
  <w:style w:type="character" w:styleId="916">
    <w:name w:val="Emphasis"/>
    <w:uiPriority w:val="20"/>
    <w:qFormat/>
    <w:pPr>
      <w:pBdr/>
      <w:spacing/>
      <w:ind/>
    </w:pPr>
    <w:rPr>
      <w:i/>
      <w:iCs/>
    </w:rPr>
  </w:style>
  <w:style w:type="paragraph" w:styleId="917">
    <w:name w:val="Balloon Text"/>
    <w:basedOn w:val="893"/>
    <w:link w:val="918"/>
    <w:uiPriority w:val="99"/>
    <w:semiHidden/>
    <w:unhideWhenUsed/>
    <w:pPr>
      <w:pBdr/>
      <w:spacing w:after="0" w:line="240" w:lineRule="auto"/>
      <w:ind/>
    </w:pPr>
    <w:rPr>
      <w:rFonts w:ascii="Tahoma" w:hAnsi="Tahoma"/>
      <w:sz w:val="16"/>
      <w:szCs w:val="16"/>
    </w:rPr>
  </w:style>
  <w:style w:type="character" w:styleId="918" w:customStyle="1">
    <w:name w:val="Текст выноски Знак"/>
    <w:link w:val="917"/>
    <w:uiPriority w:val="99"/>
    <w:semiHidden/>
    <w:pPr>
      <w:pBdr/>
      <w:spacing/>
      <w:ind/>
    </w:pPr>
    <w:rPr>
      <w:rFonts w:ascii="Tahoma" w:hAnsi="Tahoma" w:cs="Tahoma"/>
      <w:sz w:val="16"/>
      <w:szCs w:val="16"/>
      <w:lang w:eastAsia="en-US"/>
    </w:rPr>
  </w:style>
  <w:style w:type="character" w:styleId="919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41B00D0A-6C94-466F-9098-254947206645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Grizli777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Pro</dc:creator>
  <cp:keywords/>
  <cp:revision>55</cp:revision>
  <dcterms:created xsi:type="dcterms:W3CDTF">2025-07-21T05:48:00Z</dcterms:created>
  <dcterms:modified xsi:type="dcterms:W3CDTF">2026-08-18T06:00:42Z</dcterms:modified>
</cp:coreProperties>
</file>