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42B0C" w14:textId="77777777" w:rsidR="003B565D" w:rsidRPr="006A1456" w:rsidRDefault="00CA1941" w:rsidP="002670FF">
      <w:pPr>
        <w:jc w:val="center"/>
        <w:rPr>
          <w:color w:val="3399FF"/>
        </w:rPr>
      </w:pPr>
      <w:r w:rsidRPr="006A1456">
        <w:rPr>
          <w:color w:val="3399FF"/>
        </w:rPr>
        <w:t>Астана қаласы                                                                                                                                               город Астана</w:t>
      </w:r>
    </w:p>
    <w:p w14:paraId="1FE43B29" w14:textId="77777777" w:rsidR="003B565D" w:rsidRPr="006A1456" w:rsidRDefault="003B565D" w:rsidP="002670FF">
      <w:pPr>
        <w:tabs>
          <w:tab w:val="right" w:pos="14224"/>
        </w:tabs>
        <w:jc w:val="center"/>
        <w:rPr>
          <w:b/>
          <w:sz w:val="28"/>
          <w:szCs w:val="28"/>
        </w:rPr>
      </w:pPr>
    </w:p>
    <w:p w14:paraId="11BE5888" w14:textId="77777777" w:rsidR="003B565D" w:rsidRPr="006A1456" w:rsidRDefault="003B565D" w:rsidP="002670FF">
      <w:pPr>
        <w:tabs>
          <w:tab w:val="right" w:pos="14224"/>
        </w:tabs>
        <w:jc w:val="center"/>
        <w:rPr>
          <w:b/>
          <w:sz w:val="28"/>
          <w:szCs w:val="28"/>
        </w:rPr>
      </w:pPr>
    </w:p>
    <w:p w14:paraId="7255005E" w14:textId="77777777" w:rsidR="00A8624E" w:rsidRPr="00114A74" w:rsidRDefault="00A8624E" w:rsidP="00A8624E">
      <w:pPr>
        <w:tabs>
          <w:tab w:val="right" w:pos="14224"/>
        </w:tabs>
        <w:jc w:val="center"/>
        <w:rPr>
          <w:b/>
          <w:sz w:val="28"/>
          <w:szCs w:val="28"/>
        </w:rPr>
      </w:pPr>
      <w:r w:rsidRPr="00114A74">
        <w:rPr>
          <w:b/>
          <w:sz w:val="28"/>
          <w:szCs w:val="28"/>
        </w:rPr>
        <w:t xml:space="preserve">О внесении изменений и дополнений в приказ Министра финансов </w:t>
      </w:r>
    </w:p>
    <w:p w14:paraId="41FC08F0" w14:textId="77777777" w:rsidR="00A8624E" w:rsidRPr="00114A74" w:rsidRDefault="00A8624E" w:rsidP="00A8624E">
      <w:pPr>
        <w:tabs>
          <w:tab w:val="right" w:pos="14224"/>
        </w:tabs>
        <w:jc w:val="center"/>
        <w:rPr>
          <w:rStyle w:val="status1"/>
          <w:vanish w:val="0"/>
          <w:sz w:val="28"/>
        </w:rPr>
      </w:pPr>
      <w:r w:rsidRPr="00114A74">
        <w:rPr>
          <w:b/>
          <w:sz w:val="28"/>
          <w:szCs w:val="28"/>
        </w:rPr>
        <w:t>Республики Казахстан от 27 июня 2025 года № 328</w:t>
      </w:r>
      <w:r w:rsidRPr="00114A74">
        <w:rPr>
          <w:b/>
          <w:sz w:val="28"/>
          <w:szCs w:val="28"/>
        </w:rPr>
        <w:br/>
        <w:t>«Об утверждении процедур казначейского исполнения бюджета и их кассового обслуживания, процедур казначейского учета и мониторинга»</w:t>
      </w:r>
    </w:p>
    <w:p w14:paraId="7CEFC383" w14:textId="77777777" w:rsidR="00A8624E" w:rsidRPr="00114A74" w:rsidRDefault="00A8624E" w:rsidP="00A8624E">
      <w:pPr>
        <w:pStyle w:val="afc"/>
        <w:spacing w:before="0" w:beforeAutospacing="0" w:after="0" w:afterAutospacing="0"/>
        <w:ind w:firstLine="709"/>
        <w:jc w:val="both"/>
        <w:rPr>
          <w:b/>
          <w:sz w:val="28"/>
          <w:szCs w:val="28"/>
        </w:rPr>
      </w:pPr>
    </w:p>
    <w:p w14:paraId="152C811D" w14:textId="77777777" w:rsidR="00A8624E" w:rsidRPr="00114A74" w:rsidRDefault="00A8624E" w:rsidP="00A8624E">
      <w:pPr>
        <w:pStyle w:val="afc"/>
        <w:spacing w:before="0" w:beforeAutospacing="0" w:after="0" w:afterAutospacing="0"/>
        <w:ind w:firstLine="709"/>
        <w:jc w:val="both"/>
        <w:rPr>
          <w:b/>
          <w:sz w:val="28"/>
          <w:szCs w:val="28"/>
        </w:rPr>
      </w:pPr>
    </w:p>
    <w:p w14:paraId="6761E736" w14:textId="77777777" w:rsidR="00A8624E" w:rsidRPr="00114A74" w:rsidRDefault="00A8624E" w:rsidP="00A8624E">
      <w:pPr>
        <w:pStyle w:val="afc"/>
        <w:spacing w:before="0" w:beforeAutospacing="0" w:after="0" w:afterAutospacing="0"/>
        <w:ind w:firstLine="709"/>
        <w:jc w:val="both"/>
        <w:rPr>
          <w:b/>
        </w:rPr>
      </w:pPr>
      <w:r w:rsidRPr="00114A74">
        <w:rPr>
          <w:b/>
          <w:sz w:val="28"/>
          <w:szCs w:val="28"/>
        </w:rPr>
        <w:t>ПРИКАЗЫВАЮ:</w:t>
      </w:r>
      <w:bookmarkStart w:id="0" w:name="z6"/>
      <w:bookmarkEnd w:id="0"/>
    </w:p>
    <w:p w14:paraId="31EFECD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1. Внести в </w:t>
      </w:r>
      <w:hyperlink r:id="rId8" w:anchor="z0" w:tooltip="http://adilet.zan.kz/rus/docs/V14E0009934#z0" w:history="1">
        <w:r w:rsidRPr="00114A74">
          <w:rPr>
            <w:rStyle w:val="af9"/>
            <w:color w:val="auto"/>
            <w:sz w:val="28"/>
            <w:szCs w:val="28"/>
            <w:u w:val="none"/>
          </w:rPr>
          <w:t>приказ</w:t>
        </w:r>
      </w:hyperlink>
      <w:r w:rsidRPr="00114A74">
        <w:rPr>
          <w:sz w:val="28"/>
          <w:szCs w:val="28"/>
        </w:rPr>
        <w:t xml:space="preserve"> Министра финансов Республики Казахстан от 27 июня 2025 года № 328 «Об утверждении процедур казначейского исполнения бюджета и их кассового обслуживания, процедур казначейского учета и мониторинга» следующие изменения и дополнения:</w:t>
      </w:r>
      <w:bookmarkStart w:id="1" w:name="z5"/>
      <w:bookmarkEnd w:id="1"/>
    </w:p>
    <w:p w14:paraId="5C5EC9DA" w14:textId="77777777" w:rsidR="00A8624E" w:rsidRPr="00A667EA" w:rsidRDefault="00A8624E" w:rsidP="00A8624E">
      <w:pPr>
        <w:pStyle w:val="afc"/>
        <w:spacing w:before="0" w:beforeAutospacing="0" w:after="0" w:afterAutospacing="0"/>
        <w:ind w:firstLine="709"/>
        <w:jc w:val="both"/>
        <w:rPr>
          <w:sz w:val="28"/>
          <w:szCs w:val="28"/>
        </w:rPr>
      </w:pPr>
      <w:r w:rsidRPr="00114A74">
        <w:rPr>
          <w:sz w:val="28"/>
          <w:szCs w:val="28"/>
        </w:rPr>
        <w:t>в Процедурах казначейского исполнения бюджета и их кассового обслуживания, процедурах казначейского учета и мониторинга, утвержденных указанным приказом:</w:t>
      </w:r>
    </w:p>
    <w:p w14:paraId="3B729BC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дополнить пунктом 2-1 следующего содержания:</w:t>
      </w:r>
    </w:p>
    <w:p w14:paraId="36CF8E4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«2-1. Исполнение бюджета по расходам в форме цифрового теңге осуществляется в соответствии с перечнем, утверждаемым Правительством Республики Казахстан, согласно пункту 1 статьи 101 Бюджетного кодекса.</w:t>
      </w:r>
    </w:p>
    <w:p w14:paraId="53929B0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Операции с использованием цифрового теңге в процессе исполнения республиканского и местных бюджетов осуществляются в случаях и порядке, установленных законодательством Республики Казахстан о платежах и платежных системах, а также главами 6 и 7 настоящих Процедур.»;</w:t>
      </w:r>
    </w:p>
    <w:p w14:paraId="3A5235D5"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59 изложить в следующей редакции:</w:t>
      </w:r>
    </w:p>
    <w:p w14:paraId="7EE8017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«59. Администраторы республиканских бюджетных программ на основании проведенного бюджетного мониторинга не чаще одного раза в квартал до двадцать пятого числа первого месяца квартала, в четвертом квартале – не позднее 1 октября текущего финансового года в случаях, предусмотренных подпунктом 2) пункта 2 статьи 98 Бюджетного кодекса вносят предложения по перераспределению средств между бюджетными программами на текущий финансовый год с обязательным рассмотрением на Республиканской бюджетной комиссии без изменения структуры бюджета в центральный уполномоченный орган по бюджетному планированию.»;</w:t>
      </w:r>
    </w:p>
    <w:p w14:paraId="258E4C2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пункт 183 изложить в следующей редакции:</w:t>
      </w:r>
    </w:p>
    <w:p w14:paraId="5F0CB7C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«183. Государственное учреждение заключает договор и/или дополнительное соглашение в рамках одной бюджетной программы в пределах индивидуального плана финансирования по обязательствам, за исключением случаев:</w:t>
      </w:r>
    </w:p>
    <w:p w14:paraId="05F43DC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выделения средств из резервов Правительства Республики Казахстан или местного исполнительного органа области, района (города областного значения);</w:t>
      </w:r>
    </w:p>
    <w:p w14:paraId="05F3541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изменения источника финансирования по гражданско-правовым сделкам в рамках реализации проектов, ранее профинансированных за счет средств Фонда поддержки инфраструктуры образования и/или Специального государственного фонда и/или Фонда инфраструктурного развития. При этом, регистрации в органах государственного казначейства подлежат дополнительные соглашения по гражданско-правовым сделкам в рамках реализации проектов, ранее профинансированных за счет средств Фонда поддержки инфраструктуры образования и/или Специального государственного фонда, и/или Фонда инфраструктурного развития без регистрации основного договора;</w:t>
      </w:r>
    </w:p>
    <w:p w14:paraId="62ECAFF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 взаимоотношений местных бюджетов одного уровня друг с другом в случаях, предусмотренных пунктом 3 статьи 76 Бюджетного кодекса по соответствующей бюджетной программе.</w:t>
      </w:r>
    </w:p>
    <w:p w14:paraId="2D26B15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 К заявке на регистрацию дополнительного соглашения прилагается пояснительная записка в соответствии с пунктом 209 настоящих Процедур в которой дополнительно указывается сумма оплаченных обязательств по договору, ранее профинансированному за счет средств Фонда поддержки инфраструктуры образования и/или Специального государственного фонда, и/или Фонда инфраструктурного развития.</w:t>
      </w:r>
    </w:p>
    <w:p w14:paraId="406EACC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В случае выделения средств из Специального государственного фонда и/или Фонда инфраструктурного развития в рамках реализации проектов, ранее профинансированных за счет средств республиканского и/или местного бюджетов, дополнительное соглашение заключается без регистрации в органах государственного казначейства.</w:t>
      </w:r>
    </w:p>
    <w:p w14:paraId="70E6208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заключении государственным учреждением договора с одним получателем денег по нескольким бюджетным программам (подпрограммам) или спецификам экономической классификации расходов в договоре указывается общая сумма с разбивкой ее по каждой бюджетной программе (подпрограмме) или каждому коду бюджетной классификации расходов.</w:t>
      </w:r>
    </w:p>
    <w:p w14:paraId="477AF8F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При заключении договора, реализуемого за счет целевых трансфертов на развитие из вышестоящего бюджета, государственное учреждение обеспечивает обязательное указание бюджетных подпрограмм с ежегодными суммами со финансирования из местного бюджета в размере, утвержденном в областном, </w:t>
      </w:r>
      <w:r w:rsidRPr="00114A74">
        <w:rPr>
          <w:sz w:val="28"/>
          <w:szCs w:val="28"/>
        </w:rPr>
        <w:lastRenderedPageBreak/>
        <w:t>районном (города областного значения) бюджете для реализации местных бюджетных программ развития.»;</w:t>
      </w:r>
    </w:p>
    <w:p w14:paraId="53AEFE3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185 изложить в следующей редакции:</w:t>
      </w:r>
    </w:p>
    <w:p w14:paraId="7B5B6AE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«185. По специфике экономической классификации расходов 159 «Оплата прочих услуг и работ» допускается авансовая (предварительная) оплата от суммы договора на текущий финансовый год в размере не более:</w:t>
      </w:r>
    </w:p>
    <w:p w14:paraId="7D221C5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пятидесяти процентов для оплаты расходов, предусматривающих оказание услуг организациями первичной медико-санитарной помощи на селе;</w:t>
      </w:r>
    </w:p>
    <w:p w14:paraId="20A5A3B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пятидесяти процентов для оплаты расходов по созданию и вводу в эксплуатацию космических систем дистанционного зондирования Земли и расходов по созданию космического ракетного комплекса «Байтерек» на базе ракеты космического назначения среднего класса нового поколения для запусков беспилотных космических аппаратов, в рамках выполнения государственного задания;</w:t>
      </w:r>
    </w:p>
    <w:p w14:paraId="0D85D42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тридцати процентов для оплаты расходов, не входящих в перечень расходов, предусмотренных настоящим пунктом.</w:t>
      </w:r>
    </w:p>
    <w:p w14:paraId="6227E87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Авансовая (предварительная) оплата по специфике экономической классификации расходов 155 «Оплата услуг в рамках государственного социального заказа» в размере не более пятидесяти процентов от суммы договора на текущий финансовый год разрешается только неправительственным организациям при выполнении ими государственного социального заказа.»;</w:t>
      </w:r>
    </w:p>
    <w:p w14:paraId="300E7F2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210 изложить в следующей редакции:</w:t>
      </w:r>
    </w:p>
    <w:p w14:paraId="3730545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«210. В случае отсутствия получателя денег в интегрированной цифровой системе казначейства к заявке на регистрацию гражданско-правовой сделки, кроме предусмотренных пунктом 209 настоящих Процедур документов, государственным учреждением, предоставляется на бумажном носителе или электронным образом по ЦС «Казначейство-клиент» заявка на ввод получателя денег в Справочник получателей денег согласно приложениям 64 и 74 к настоящим Процедурам с приложением (прикреплением сканированных образов, подписанных электронной цифровой подписью руководителя и главного бухгалтера государственного учреждения) следующих документов получателя денег:</w:t>
      </w:r>
    </w:p>
    <w:p w14:paraId="5420FD7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для юридического лица:</w:t>
      </w:r>
    </w:p>
    <w:p w14:paraId="10A80F2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копия свидетельства/справки (с портала электронного правительства) о регистрации (перерегистрации) юридического лица/копия регистрационного свидетельства о регистрации нерезидента в качестве налогоплательщика;</w:t>
      </w:r>
    </w:p>
    <w:p w14:paraId="1A5B087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справка банка о наличии банковского счета с указанием его номера.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 справка о наличии цифрового счета;</w:t>
      </w:r>
    </w:p>
    <w:p w14:paraId="316186C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для физического лица:</w:t>
      </w:r>
    </w:p>
    <w:p w14:paraId="057BE18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Копия уведомления о начале деятельности в качестве индивидуального предпринимателя/подтверждение с веб-портала «Электронного правительства» либо с веб-портала «Е-лицензирование», или лицензии, выданной уполномоченным органом на право занятия деятельностью в качестве частного нотариуса, адвоката, частного судебного исполнителя или подтверждение с веб-портала «Электронного правительства», либо с веб-портала «Е-лицензирование»</w:t>
      </w:r>
      <w:r w:rsidRPr="00114A74">
        <w:rPr>
          <w:sz w:val="28"/>
          <w:szCs w:val="28"/>
          <w:lang w:val="kk-KZ"/>
        </w:rPr>
        <w:t>, за исключением физических лиц, не являющихся субъектами предпринимательства</w:t>
      </w:r>
      <w:r w:rsidRPr="00114A74">
        <w:rPr>
          <w:sz w:val="28"/>
          <w:szCs w:val="28"/>
        </w:rPr>
        <w:t>;</w:t>
      </w:r>
    </w:p>
    <w:p w14:paraId="7C86AC3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справка банка о наличии банковского счета с указанием его номера.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 справка о наличии цифрового счета;</w:t>
      </w:r>
    </w:p>
    <w:p w14:paraId="558A779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 для банка-посредника (при проведении платежей в национальной валюте за пределы Республики Казахстан через банк-посредник):</w:t>
      </w:r>
    </w:p>
    <w:p w14:paraId="3C1B27E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документы, официально подтверждающие реквизиты банка-посредника;</w:t>
      </w:r>
    </w:p>
    <w:p w14:paraId="78D5FA3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4) для получателя денег в иностранной валюте:</w:t>
      </w:r>
    </w:p>
    <w:p w14:paraId="43EE010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документы, официально подтверждающие реквизиты бенефициара, банка бенефициара, банка-посредника (при его наличии;</w:t>
      </w:r>
    </w:p>
    <w:p w14:paraId="1CA94D2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письмо-подтверждение государственного учреждения с указанием полных реквизитов получателя денег.</w:t>
      </w:r>
    </w:p>
    <w:p w14:paraId="2602413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оформлении заявки о возвращении гарантийного взноса участникам аукциона по продаже арестованного и конфискованного имущества в ЦС «Казначейство-клиент» вышеуказанные документы не прилагаются, прилагается копия платежного поручения, подтверждающего факт поступления суммы от участника аукциона.</w:t>
      </w:r>
    </w:p>
    <w:p w14:paraId="3F8D9A1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В случае изменения (отсутствия) реквизитов получателя денег, в том числе реквизитов цифрового счета, в интегрированной цифровой системе казначейства, государственным учреждением предоставляется на бумажном носителе или электронным образом по ЦС «Казначейство-клиент» заявка на внесение изменений реквизитов получателя денег согласно приложениям 67 и 76 к настоящим Процедурам, с приложением (прикреплением сканированных образов, подписанных электронной цифровой подписью руководителя и главного бухгалтера государственного учреждения) соответствующих документов, указанных в подпунктах 1), 2), 3) и 4) настоящего пункта, подтверждающих реквизиты, по которым вносятся изменения.</w:t>
      </w:r>
    </w:p>
    <w:p w14:paraId="365DA23A" w14:textId="77777777" w:rsidR="00A8624E" w:rsidRDefault="00A8624E" w:rsidP="00A8624E">
      <w:pPr>
        <w:pStyle w:val="afc"/>
        <w:keepLines/>
        <w:widowControl w:val="0"/>
        <w:spacing w:before="0" w:beforeAutospacing="0" w:after="0" w:afterAutospacing="0"/>
        <w:ind w:firstLine="709"/>
        <w:jc w:val="both"/>
        <w:rPr>
          <w:sz w:val="28"/>
          <w:szCs w:val="28"/>
        </w:rPr>
      </w:pPr>
      <w:r w:rsidRPr="00114A74">
        <w:rPr>
          <w:sz w:val="28"/>
          <w:szCs w:val="28"/>
        </w:rPr>
        <w:t>При заполнении заявки согласно приложениям 64, 67, 74 и 76 к настоящим Процедурам для физического лица в поле «Наименование получателя денег» указывается полностью фамилия, имя, отчество (при наличии) физического лица и (или) при наличии наименование согласно уведомления о начале деятельности в качестве индивидуального предпринимателя/подтверждение с веб-портала «Электронного правительства» либо с веб-портала «Е-лицензирование».</w:t>
      </w:r>
    </w:p>
    <w:p w14:paraId="41254930" w14:textId="77777777" w:rsidR="00A8624E" w:rsidRPr="00114A74" w:rsidRDefault="00A8624E" w:rsidP="00A8624E">
      <w:pPr>
        <w:pStyle w:val="afc"/>
        <w:keepLines/>
        <w:widowControl w:val="0"/>
        <w:spacing w:before="0" w:beforeAutospacing="0" w:after="0" w:afterAutospacing="0"/>
        <w:ind w:firstLine="709"/>
        <w:jc w:val="both"/>
        <w:rPr>
          <w:sz w:val="28"/>
          <w:szCs w:val="28"/>
        </w:rPr>
      </w:pPr>
      <w:r w:rsidRPr="00114A74">
        <w:rPr>
          <w:sz w:val="28"/>
          <w:szCs w:val="28"/>
        </w:rPr>
        <w:lastRenderedPageBreak/>
        <w:t>При реорганизации получателя денег заполняется заявка по форме согласно приложениям 65 и 66 к настоящим Процедурам с прикреплением подтверждающих документов.</w:t>
      </w:r>
    </w:p>
    <w:p w14:paraId="4E75802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Ответственность за достоверность, правильность оформления и составления заявки на ввод получателя денег и внесение изменений реквизитов получателя денег несет государственное учреждение.</w:t>
      </w:r>
    </w:p>
    <w:p w14:paraId="0CC2C14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Срок действия подтверждающих документов с портала электронного правительства не более десяти календарных дней.»;</w:t>
      </w:r>
    </w:p>
    <w:p w14:paraId="267D512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в пункте 213:</w:t>
      </w:r>
    </w:p>
    <w:p w14:paraId="309E2965"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 5) изложить в следующей редакции:</w:t>
      </w:r>
    </w:p>
    <w:p w14:paraId="3EA6C95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«5) в поле «Наименование государственного учреждения» указывается полное наименование государственного учреждения, с указанием организационно-правовой формы, соответствующее свидетельству/справке о государственной регистрации (перерегистрации);»;</w:t>
      </w:r>
    </w:p>
    <w:p w14:paraId="1F8679D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 8) изложить в следующей редакции:</w:t>
      </w:r>
    </w:p>
    <w:p w14:paraId="04FD6DF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«8) в поле «Наименование, индивидуальный идентификационный номер/бизнес-идентификационный номер, индивидуальный идентификационный код получателя денег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указывается индивидуальный идентификационный код цифрового счета получателя денег), наименование и банковский идентификационный код банка получателя денег» указываются полное наименование для юридического лица и полностью фамилия, имя, отчество (при наличии) физического лица и (или) при наличии, наименование индивидуального предпринимателя согласно уведомлению о начале деятельности в качестве индивидуального предпринимателя/ подтверждению с веб-портала «Электронного правительства» либо с веб-портала «Е-лицензирование» или лицензии, выданной уполномоченным органом на право занятия деятельностью в качестве частного нотариуса, адвоката, частного судебного исполнителя или подтверждению с веб-портала «Электронного правительства», либо с веб-портала «Е-лицензирование», индивидуальный идентификационный номер (бизнес-идентификационный номер) получателя денег и его банковские реквизиты (индивидуальный идентификационный код, наименование и банковский идентификационный код обслуживающего его банка); допускается сокращение наименования организационно-правовой формы и наименования государственного учреждения, получателя денег и обслуживающего банка, не затрудняющее работу органа государственного казначейства, государственного учреждения, получателя денег и обслуживающего банка. В случае регистрации договора, заключенного с нерезидентом Республики Казахстан в иностранной валюте, в данном поле указываются реквизиты нерезидента и Национального Банка. При регистрации </w:t>
      </w:r>
      <w:r w:rsidRPr="00114A74">
        <w:rPr>
          <w:sz w:val="28"/>
          <w:szCs w:val="28"/>
        </w:rPr>
        <w:lastRenderedPageBreak/>
        <w:t>договора, заключенного с нерезидентом, и предусматривающего дальнейшую оплату в национальной валюте за пределы Республики Казахстан, в данном поле указываются реквизиты банка-посредника;</w:t>
      </w:r>
    </w:p>
    <w:p w14:paraId="0970B1C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в ЦС «Казначейство-клиент» поле «Наименование, индивидуальный идентификационный номер (бизнес-идентификационный номер), индивидуальный идентификационный код получателя денег, наименование и банковский идентификационный код банка получателя денег» выбирается из справочника получателей денег;»;</w:t>
      </w:r>
    </w:p>
    <w:p w14:paraId="43606A8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218 изложить в следующей редакции:</w:t>
      </w:r>
    </w:p>
    <w:p w14:paraId="64E4352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«218. Орган государственного казначейства осуществляет проверку договора (дополнительного соглашения), предоставленного на регистрацию в органы государственного казначейства на бумажном носителе или электронным образом по ЦС «Казначейство-клиент» на:</w:t>
      </w:r>
    </w:p>
    <w:p w14:paraId="21D71CA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правильность указания наименования государственного учреждения;</w:t>
      </w:r>
    </w:p>
    <w:p w14:paraId="5472776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наличие и правильность указания кода и наименования бюджетной программы, подпрограммы, специфики согласно единой бюджетной классификацией Республики Казахстан и кода видов товаров (работ, услуг) при регистрации договора, заключенного за счет денег от реализации товаров (работ, услуг), остающихся в распоряжении государственного учреждения;</w:t>
      </w:r>
    </w:p>
    <w:p w14:paraId="465B6A4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 соответствие предмета договора направлению расходов в соответствии со структурой специфики экономической классификации расходов;</w:t>
      </w:r>
    </w:p>
    <w:p w14:paraId="3C08368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4) не превышение процента авансовой оплаты над размером, установленным настоящими Процедурами;</w:t>
      </w:r>
    </w:p>
    <w:p w14:paraId="222096A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5) соответствие суммы прописью сумме цифрами;</w:t>
      </w:r>
    </w:p>
    <w:p w14:paraId="573FAA8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6) соответствие подписей и оттиска печатей на договоре (дополнительном соглашении) на бумажном носителе документу с образцами подписей и оттиска печатей, при этом подписи проставляются светостойкими чернилами. Оттиск печати государственного учреждения и получателя денег проставляется ясно и читаемо. Не допускается подписание фломастером и авторучкой, заправленными улетучивающимися чернилами и использование государственным учреждением и получателем денег средств факсимильного копирования подписи. При проставлении оттиска гербовой печати, запрещается использовать мастику красного (за исключением государственного учреждения «Администрация Президента Республики Казахстан»), черного и зеленого цветов, оттиск печати проставляется четко и ясно. При предоставлении электронного образа по ЦС «Казначейство-клиент», проверяется читаемость оттиска печати государственного учреждения и получателя денег;</w:t>
      </w:r>
    </w:p>
    <w:p w14:paraId="407DE98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7) не превышение суммы договора над суммой непринятых обязательств;</w:t>
      </w:r>
    </w:p>
    <w:p w14:paraId="39752D92" w14:textId="7E5C2B3F" w:rsidR="00A8624E" w:rsidRDefault="00A8624E" w:rsidP="00A8624E">
      <w:pPr>
        <w:pStyle w:val="afc"/>
        <w:spacing w:before="0" w:beforeAutospacing="0" w:after="0" w:afterAutospacing="0"/>
        <w:ind w:firstLine="709"/>
        <w:jc w:val="both"/>
        <w:rPr>
          <w:sz w:val="28"/>
          <w:szCs w:val="28"/>
        </w:rPr>
      </w:pPr>
      <w:r w:rsidRPr="00114A74">
        <w:rPr>
          <w:sz w:val="28"/>
          <w:szCs w:val="28"/>
        </w:rPr>
        <w:t>8) предоставление к регистрации договоров в рамках одной бюджетной программы за исключением случаев, предусмотренных настоящими Процедурами;</w:t>
      </w:r>
    </w:p>
    <w:p w14:paraId="30F40F6A" w14:textId="1E003558" w:rsidR="00E439EF" w:rsidRDefault="00E439EF" w:rsidP="00E439EF">
      <w:pPr>
        <w:rPr>
          <w:sz w:val="28"/>
          <w:szCs w:val="28"/>
        </w:rPr>
      </w:pPr>
    </w:p>
    <w:p w14:paraId="090B30A9" w14:textId="0D568602" w:rsidR="00E439EF" w:rsidRPr="00E439EF" w:rsidRDefault="00E439EF" w:rsidP="00E439EF">
      <w:pPr>
        <w:tabs>
          <w:tab w:val="left" w:pos="1005"/>
        </w:tabs>
      </w:pPr>
      <w:r>
        <w:tab/>
      </w:r>
    </w:p>
    <w:p w14:paraId="5F621D1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9) наличие условной разбивки по соответствующим финансовым годам общей суммы договора, срок действия которого превышает текущий финансовый год;</w:t>
      </w:r>
    </w:p>
    <w:p w14:paraId="5203008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10) отсутствие каких-либо корректировок либо исправлений условий договора (дополнительного соглашения) от руки;</w:t>
      </w:r>
    </w:p>
    <w:p w14:paraId="5837261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11) наличие в условиях договора (дополнительного соглашения на изменение суммы договора) обязательного указания суммы налога на добавленную стоимость по приобретаемым товарам, услугам и работам, если получатель денег является плательщиком налога на добавленную стоимость, либо отсутствие налога на добавленную стоимость, если получатель денег не является плательщиком налога на добавленную стоимость;</w:t>
      </w:r>
    </w:p>
    <w:p w14:paraId="56BCEFEF"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12) наличие в договоре, условия вступления в силу договора после его обязательной регистрации в органе государственного казначейства;</w:t>
      </w:r>
    </w:p>
    <w:p w14:paraId="294D8AC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13) не превышение суммы договора, связанного со строительством, либо реконструкцией зданий, сооружений, дорог, капитальным ремонтом помещений, сооружений, дорог и других объектов над суммой, предусмотренной в положительном заключении комплексной вневедомственной экспертизы по проектно-сметной документации или положительном заключении комплексной вневедомственной экспертизы по технико-экономическому обоснованию;</w:t>
      </w:r>
    </w:p>
    <w:p w14:paraId="1ED1BDC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14) по договору, связанного со строительством, либо реконструкцией зданий, сооружений, дорог, капитальным ремонтом помещений, сооружений, дорог и других объектов предоставление копии или сканированного образа с положительного заключения комплексной вневедомственной экспертизы по проектно-сметной документации или положительного заключении комплексной вневедомственной экспертизы по технико-экономическому обоснованию в период срока их действия;</w:t>
      </w:r>
    </w:p>
    <w:p w14:paraId="6F6B1C3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15) по договору, связанного со строительством, либо реконструкцией зданий, сооружений, дорог, капитальным ремонтом помещений, сооружений, дорог и других объектов соответствие суммы экспертизы и приказа об утверждении проектно-сметной документации.</w:t>
      </w:r>
    </w:p>
    <w:p w14:paraId="7B26536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16) наличие в договоре на выполнение научно-исследовательских работ, реализуемого за счет базового, грантового, программно-целевого финансирования научной и (или) научно-технической деятельности, обязательного условия осуществления окончательной оплаты после получения исполнителем положительного решения Национального научного совета;</w:t>
      </w:r>
    </w:p>
    <w:p w14:paraId="085A862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17) соответствие предмета договора в иностранной валюте разрешенным направлениям расходов согласно отчету по форме 8-08 «Перечень счетов в иностранной валюте»;</w:t>
      </w:r>
    </w:p>
    <w:p w14:paraId="13D8BFF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18) по договорам на приобретение товаров (работ и услуг), на которые требования по заключению договора о государственных закупках посредством веб-портала государственных закупок не распространяются, необходимо наличие в преамбуле договора обязательного указания ссылки на статью </w:t>
      </w:r>
      <w:r w:rsidRPr="00114A74">
        <w:rPr>
          <w:sz w:val="28"/>
          <w:szCs w:val="28"/>
        </w:rPr>
        <w:lastRenderedPageBreak/>
        <w:t>(подпункт, пункт) закона Республики Казахстан, согласно которому заключен договор;</w:t>
      </w:r>
    </w:p>
    <w:p w14:paraId="7D4912A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19) наличие реквизитов цифрового счета при заключении договора (дополнительного соглашения)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w:t>
      </w:r>
    </w:p>
    <w:p w14:paraId="775CE1F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220 изложить в следующей редакции:</w:t>
      </w:r>
    </w:p>
    <w:p w14:paraId="41567A9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«220. Орган государственного казначейства осуществляет проверку заявки на:</w:t>
      </w:r>
    </w:p>
    <w:p w14:paraId="2DAA621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установленной форме;</w:t>
      </w:r>
    </w:p>
    <w:p w14:paraId="7C825875"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реквизитов заявки реквизитам договора;</w:t>
      </w:r>
    </w:p>
    <w:p w14:paraId="2F88789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описания расхода направлению расходов в соответствии со структурой специфики экономической классификации расходов;</w:t>
      </w:r>
    </w:p>
    <w:p w14:paraId="2187FF7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наименования и кода государственного учреждения его наименованию и коду, предусмотренному в Справочнике государственных учреждений;</w:t>
      </w:r>
    </w:p>
    <w:p w14:paraId="79606FA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реквизитов получателя денег реквизитам получателя денег, предусмотренным в Справочнике получателей денег;</w:t>
      </w:r>
    </w:p>
    <w:p w14:paraId="03A8BB2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подписей и оттиска печати на заявке документу с образцами подписей и оттиска печатей на бумажном носителе.</w:t>
      </w:r>
    </w:p>
    <w:p w14:paraId="7B1FA9E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предоставлении электронного образа по ЦС «Казначейство-клиент» проверяется на:</w:t>
      </w:r>
    </w:p>
    <w:p w14:paraId="08C585E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наличие документов, предусмотренных пунктами 206, 207, 208, 209, 211 и 217 настоящих Процедур;</w:t>
      </w:r>
    </w:p>
    <w:p w14:paraId="1CAF460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соответствие суммы прописью сумме цифрами;</w:t>
      </w:r>
    </w:p>
    <w:p w14:paraId="0B1EB3E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одновременное предоставление всех заявок при заключении договора в рамках одной бюджетной программы по нескольким бюджетным подпрограммам или по нескольким спецификам экономической классификации расходов бюджета;</w:t>
      </w:r>
    </w:p>
    <w:p w14:paraId="33E9006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наличие в форме просмотра заявки в ЦС «Казначейство-клиент» заполнения поля «Вид Заявки» с указанием последнего уведомления о регистрации договора согласно пояснительной записке.</w:t>
      </w:r>
    </w:p>
    <w:p w14:paraId="0CC08A6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Наличие в форме просмотра заявок в ЦС «Казначейство-клиент» признака «расторжение» согласно пояснительной записке (при расторжении договора заключенного посредством веб-портала государственных закупок).</w:t>
      </w:r>
    </w:p>
    <w:p w14:paraId="518AE40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заключении договора (дополнительного соглашения)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осуществляется проверка на наличие реквизитов цифрового счета.»;</w:t>
      </w:r>
    </w:p>
    <w:p w14:paraId="585B442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 4) пункт 230 изложить в следующей редакции:</w:t>
      </w:r>
    </w:p>
    <w:p w14:paraId="4053457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 xml:space="preserve">«4) своевременность и полноту выполнения обязательств по осуществлению платежей в пользу получателей денег. </w:t>
      </w:r>
    </w:p>
    <w:p w14:paraId="559BEABF"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перечисление денежных средств осуществляется на цифровые счета получателей денег;»;</w:t>
      </w:r>
    </w:p>
    <w:p w14:paraId="5989946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подпункты 1) и 2) части третьей пункта 234 изложить в следующей редакции:</w:t>
      </w:r>
    </w:p>
    <w:p w14:paraId="0E0F064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для юридического лица:</w:t>
      </w:r>
    </w:p>
    <w:p w14:paraId="71711AA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копия свидетельства/справки (с портала электронного правительства) о регистрации (перерегистрации) юридического лица/копия регистрационного свидетельства о регистрации нерезидента в качестве налогоплательщика;</w:t>
      </w:r>
    </w:p>
    <w:p w14:paraId="1B1937D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справка банка о наличии банковского счета с указанием его номера.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 справка о наличии цифрового счета;</w:t>
      </w:r>
    </w:p>
    <w:p w14:paraId="3180EB0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для физического лица:</w:t>
      </w:r>
    </w:p>
    <w:p w14:paraId="39C5724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копия уведомления о начале деятельности в качестве индивидуального предпринимателя или лицензии, выданной уполномоченным органом на право занятия деятельностью в качестве частного нотариуса, адвоката, частного судебного исполнителя. Копии данных документов предоставляются посредством сформированного уведомления на веб-портале «электронного правительства» и/или веб-портале «Е-лицензирование»;</w:t>
      </w:r>
    </w:p>
    <w:p w14:paraId="66BD64C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справка банка о наличии банковского счета с указанием его номера. 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 справка о наличии цифрового счета;»;</w:t>
      </w:r>
    </w:p>
    <w:p w14:paraId="0AD1255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236 изложить в следующей редакции:</w:t>
      </w:r>
    </w:p>
    <w:p w14:paraId="1491CFF9"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«236. Счет к оплате на бумажном носителе, поступивший до 16.00 (шестнадцать) часов, исполняется в течение двух рабочих дней со дня, следующего за днем его приема органом государственного казначейства. В случае несоответствия требованиям, предусмотренным частью четвертой настоящего пункта, счет к оплате подлежит возврату без исполнения в течение двух рабочих дней со дня, следующего за днем его приема на основании письма, подписанного руководителем органа государственного казначейства или лицом, им уполномоченным, за исключением случаев отсутствия либо недостаточности денег на соответствующих контрольных счетах наличности для исполнения счетов к оплате.</w:t>
      </w:r>
    </w:p>
    <w:p w14:paraId="38E44FB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Счета к оплате, поступившие в органы государственного казначейства от государственных учреждений на бумажном носителе после 16.00 (шестнадцать) часов, считаются принятыми на следующий рабочий день.</w:t>
      </w:r>
    </w:p>
    <w:p w14:paraId="29D3B5B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Счет к оплате, поступивший электронным образом по ЦС «Казначейство-клиент», исполняется либо возвращается без исполнения не позднее следующего рабочего дня.</w:t>
      </w:r>
    </w:p>
    <w:p w14:paraId="39EE0B5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Счет к оплате на бумажном носителе и счет к оплате, поступивший электронным образом по ЦС «Казначейство-клиент», возвращаются государственному учреждению без исполнения (отклоняется) в случаях:</w:t>
      </w:r>
    </w:p>
    <w:p w14:paraId="7C35B96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несоответствия счета к оплате по форме и содержанию требованиям, установленным настоящими Процедурами;</w:t>
      </w:r>
    </w:p>
    <w:p w14:paraId="3415C7F5"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несоответствия подтверждающих и иных предусмотренных настоящими Процедурами документов по содержанию требованиям, установленным настоящими Процедурами;</w:t>
      </w:r>
    </w:p>
    <w:p w14:paraId="42A4D67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 превышения ограничения, установленного настоящими Процедурами, по перечислению сумм для пополнения текущего счета (корпоративной платежной карточки) государственного учреждения;</w:t>
      </w:r>
    </w:p>
    <w:p w14:paraId="48C3C87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4) несоответствия данных представленного электронного сообщения в формате платежей МТ-002, МТ-003, МТ-004, МТ-005, МТ-007 следующим данным счета к оплате:</w:t>
      </w:r>
    </w:p>
    <w:p w14:paraId="19EDD95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наименование государственного учреждения и наименование получателя денег, за исключением расхождений, связанных с указанием полных и сокращенных наименований;</w:t>
      </w:r>
    </w:p>
    <w:p w14:paraId="54B7B83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сумма счета к оплате и общая сумма электронных сообщений в формате платежей МТ-002, МТ-003, МТ-004, МТ-005, МТ-007;</w:t>
      </w:r>
    </w:p>
    <w:p w14:paraId="27231F7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направление расходов, указанное в назначении платежа;</w:t>
      </w:r>
    </w:p>
    <w:p w14:paraId="097B4AB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5) предоставления с исправлениями, в том числе от руки;</w:t>
      </w:r>
    </w:p>
    <w:p w14:paraId="59EDF53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6) предоставления без приложения или с приложением не заверенных полистно подписью руководителя государственного учреждения или лица, им уполномоченного и оттиском гербовой печати государственного учреждения (без прикрепления сканированного образа или с прикреплением сканированного образа, не подписанного электронной цифровой подписью руководителя и главного бухгалтера государственного учреждения) предусмотренных настоящими Процедурами подтверждающих документов, в том числе на электронных носителях;</w:t>
      </w:r>
    </w:p>
    <w:p w14:paraId="18E53BA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7) отсутствия подписей и (или) оттиска печати на требуемых полях;</w:t>
      </w:r>
    </w:p>
    <w:p w14:paraId="2D2EA5D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8) несоответствия подписей и (или) оттиска печати документу с образцами подписей и оттиска печати при предоставлении счета к оплате на бумажном носителе;</w:t>
      </w:r>
    </w:p>
    <w:p w14:paraId="719C6AE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9) нечеткого (неясного) проставления оттиска печати на требуемых полях на всех экземплярах документа;</w:t>
      </w:r>
    </w:p>
    <w:p w14:paraId="18BE75F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10) несоответствия суммы цифрами сумме прописью;</w:t>
      </w:r>
    </w:p>
    <w:p w14:paraId="5DC142C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11) несоответствия, указанных в счете к оплате реквизитов, подлежащих программной проверке, реквизитам, введенным в интегрированную цифровую систему казначейства;</w:t>
      </w:r>
    </w:p>
    <w:p w14:paraId="5A2C8EC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12) несоответствия назначения платежа направлению расходов в соответствии со Структурой специфики экономической классификации расходов и с классификацией поступлений бюджета;</w:t>
      </w:r>
    </w:p>
    <w:p w14:paraId="7A6E867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13) несоответствия реквизитов счета к оплате реквизитам подтверждающих документов, приложенных к счету к оплате, за исключением банковских реквизитов (при приложении (прикреплении сканированного образа) документов в случаях, установленных настоящими Процедурами);</w:t>
      </w:r>
    </w:p>
    <w:p w14:paraId="7D296E1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14) превышения суммы платежа сумме неиспользованного остатка индивидуального плана финансирования по платежам в соответствующем периоде (с нарастающим итогом), а также превышения суммы платежа сумме подтверждающих документов;</w:t>
      </w:r>
    </w:p>
    <w:p w14:paraId="3970D00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15) превышения процента авансовой оплаты над размером, предусмотренным настоящими Процедурами;</w:t>
      </w:r>
    </w:p>
    <w:p w14:paraId="37E88F0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16) несоответствия реквизитов первого экземпляра счета к оплате реквизитам второго экземпляра счета к оплате при предоставлении счета к оплате на бумажном носителе;</w:t>
      </w:r>
    </w:p>
    <w:p w14:paraId="6FC2EEA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17) предоставления в срок, превышающий срок действия счета к оплате;</w:t>
      </w:r>
    </w:p>
    <w:p w14:paraId="24498B7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18) несоответствия количества предоставленных счетов к оплате количеству, указанному в реестре счетов к оплате;</w:t>
      </w:r>
    </w:p>
    <w:p w14:paraId="3477A97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19) выявления ошибок в формате платежей согласно приложениям 140, 141, 142, 143 и 144 к настоящим Процедурам;</w:t>
      </w:r>
    </w:p>
    <w:p w14:paraId="6DAC5F1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20) несоответствия судебных актов, предоставляемых со счетами к оплате, при проведении платежей государственными учреждениями по исполнению судебных актов со счета временного размещения денег данным счета к оплате;</w:t>
      </w:r>
    </w:p>
    <w:p w14:paraId="08C9E089"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21) неверного выбора типа электронного образа счета к оплате по зарегистрированной гражданско-правовой сделке (несогласование счета к оплате с уведомлением о регистрации договора);</w:t>
      </w:r>
    </w:p>
    <w:p w14:paraId="43B7AB2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22) предоставления счета к оплате для осуществления платежей и переводов денег в пользу получателя денег без зарегистрированной гражданско-правовой сделки по спецификам экономической классификации расходов, по которым регистрация заключенных гражданско-правовых сделок является обязательной в соответствии с перечнем специфик экономической классификации расходов, в том числе видов расходов, по которым регистрация заключенных гражданско-правовых сделок является обязательной, определяемым центральным уполномоченным органом по исполнению бюджета;</w:t>
      </w:r>
    </w:p>
    <w:p w14:paraId="782CF62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23) представления электронного счета-фактуры без интеграции с цифровой системой электронных счетов-фактур, за исключением случая, предусмотренного частью четвертой пункта 251 настоящих Процедур;</w:t>
      </w:r>
    </w:p>
    <w:p w14:paraId="6FEBA528"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24) наличия непогашенного аванса прошлых лет при проведении авансовых платежей в текущем финансовом году;</w:t>
      </w:r>
    </w:p>
    <w:p w14:paraId="3E2BE6E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25) отсутствия в Справочнике получателей денег реквизитов цифрового счета получателя денег.</w:t>
      </w:r>
    </w:p>
    <w:p w14:paraId="3545A04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Орган государственного казначейства при проведении платежей и переводов денег осуществляет текущий контроль на соответствие вышеперечисленным случаям и дополнительно на пропорциональное удержание государственным учреждением ранее оплаченного аванса и удержание гарантийного взноса в размере 5 (пяти) процентов от суммы Договора, предусмотренных в заявках на регистрацию гражданско-правовой сделки государственного учреждения согласно приложениям 78, 79, 80 и 81 к настоящим Процедурам.</w:t>
      </w:r>
    </w:p>
    <w:p w14:paraId="4B23A44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обнаружении несоответствия данных в счете к оплате, поступившего электронным образом по ЦС «Казначейство-клиент», требованиям настоящих Процедур и Руководства пользователя в период приема и дальнейшей обработки, счет к оплате возвращается государственному учреждению электронным образом с указанием всех причин отклонения со ссылкой на соответствующие пункты настоящих Процедур и Руководства пользователя.</w:t>
      </w:r>
    </w:p>
    <w:p w14:paraId="31613C3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обнаружении несоответствия счета к оплате на бумажном носителе требованиям настоящих Процедур в период приема, счет к оплате возвращается без оформления письма с отметкой о возврате в первом экземпляре реестра счетов к оплате – за подписью уполномоченного лица государственного учреждения, во втором экземпляре – за подписью ответственного исполнителя органа государственного казначейства. При обнаружении несоответствия после приема, в ходе проверки, счет к оплате возвращается с письменным обоснованием за подписью руководителя органа государственного казначейства или лица, им уполномоченного.</w:t>
      </w:r>
    </w:p>
    <w:p w14:paraId="7A50B5D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Секретно.»;</w:t>
      </w:r>
    </w:p>
    <w:p w14:paraId="055CF67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 13) пункта 238 изложить в следующей редакции:</w:t>
      </w:r>
    </w:p>
    <w:p w14:paraId="5A67E25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«13) в поле «Индивидуальный идентификационный код» указывается номер банковского счета получателя денег. </w:t>
      </w:r>
    </w:p>
    <w:p w14:paraId="5E63C6ED"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 расходам, исполнение бюджета по которым осуществляется в форме цифрового теңге в соответствии с перечнем, утверждаемым Правительством Республики Казахстан, согласно пункту 1 статьи 101 Бюджетного кодекса, указывается индивидуальный идентификационный код цифрового счета получателя денег;»;</w:t>
      </w:r>
    </w:p>
    <w:p w14:paraId="34D3545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подпункт 5) пункта 387 изложить в следующей редакции:</w:t>
      </w:r>
    </w:p>
    <w:p w14:paraId="2A56F96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«5) своевременность и полноту выполнения обязательств по осуществлению платежей в пользу получателя денег. По расходам, осуществляемым в форме цифрового теңге в соответствии с перечнем, утверждаемым Правительством Республики Казахстан, согласно пункту 1 статьи 101 Бюджетного кодекса, субъект квазигосударственного сектора обеспечивает </w:t>
      </w:r>
      <w:r w:rsidRPr="00114A74">
        <w:rPr>
          <w:sz w:val="28"/>
          <w:szCs w:val="28"/>
        </w:rPr>
        <w:lastRenderedPageBreak/>
        <w:t>своевременность и полноту выполнения обязательств по осуществлению платежей в пользу получателя денег на цифровые счета получателей денег;»;</w:t>
      </w:r>
    </w:p>
    <w:p w14:paraId="65A9B01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392 изложить в следующей редакции:</w:t>
      </w:r>
    </w:p>
    <w:p w14:paraId="39D44E0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«392. При отсутствии получателя денег в интегрированной цифровой системе казначейства субъектом квазигосударственного сектора, оператором финансовой поддержки, автономной организацией образования, фондом социального медицинского страхования, единым оператором в сфере государственных закупок представляется на бумажном носителе или электронным образом по ЦС «Казначейство-клиент» заявка на ввод получателя денег в справочник получателей денег согласно приложению 64 к настоящим Процедурам.</w:t>
      </w:r>
    </w:p>
    <w:p w14:paraId="20C116F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 расходам, осуществляемым в форме цифрового теңге в соответствии с перечнем, утверждаемым Правительством Республики Казахстан, согласно пункту 1 статьи 101 Бюджетного кодекса, субъект квазигосударственного сектора дополнительно к заявке на ввод получателя денег в справочник получателей денег согласно приложению 64 к настоящим Процедурам предоставляет справку о наличии цифрового счета.</w:t>
      </w:r>
    </w:p>
    <w:p w14:paraId="2A9AC7B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отсутствии и/или изменении реквизитов получателя денег в интегрированной цифровой системе казначейства субъектом квазигосударственного сектора, оператором финансовой поддержки, автономной организацией образования, фондом социального медицинского страхования, единым оператором в сфере государственных закупок представляется на бумажном носителе или электронным образом по ЦС «Казначейство-клиент» заявка на внесение изменений реквизитов получателя денег в справочник получателей денег согласно приложению 67 к настоящим Процедурам.</w:t>
      </w:r>
    </w:p>
    <w:p w14:paraId="0EEC83F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 расходам, осуществляемым в форме цифрового теңге в соответствии с перечнем, утверждаемым Правительством Республики Казахстан, согласно пункту 1 статьи 101 Бюджетного кодекса, субъект квазигосударственного сектора дополнительно к заявке на внесение изменений реквизитов получателя денег в справочник получателей денег согласно приложению 67 к настоящим Процедурам предоставляет справку о наличии цифрового счета.</w:t>
      </w:r>
    </w:p>
    <w:p w14:paraId="22901F7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Субъект квазигосударственного сектора, оператор финансовой поддержки, автономная организация образования, фонд социального медицинского страхования, единый оператор в сфере государственных закупок обеспечивают достоверность, правильность оформления и составления заявки на ввод получателя денег и на внесение изменений реквизитов получателя денег.»;</w:t>
      </w:r>
    </w:p>
    <w:p w14:paraId="0E148FB9"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пункт 420 изложить в следующей редакции:</w:t>
      </w:r>
    </w:p>
    <w:p w14:paraId="45DA5E1C"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«420. Платежи и (или) переводы денег генерального подрядчика при реализации бюджетного инвестиционного проекта, связанного со строительством, проводятся в пределах остатков денег, находящихся на контрольном счете наличности закупок, путем формирования генеральным </w:t>
      </w:r>
      <w:r w:rsidRPr="00114A74">
        <w:rPr>
          <w:sz w:val="28"/>
          <w:szCs w:val="28"/>
        </w:rPr>
        <w:lastRenderedPageBreak/>
        <w:t>подрядчиком платежного поручения по форме, установленной постановлением № 208, при соблюдении следующих условий:</w:t>
      </w:r>
    </w:p>
    <w:p w14:paraId="655930F6"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1) основанием для формирования генеральным подрядчиком платежного поручения является платежный сертификат (при обслуживании по ЦС «Казначейство-клиент» предоставляется сканированный образ с оригинала), электронный счет-фактура, интегрированный из цифровой системы электронных счетов-фактур в ЦС «Казначейство-клиент»;</w:t>
      </w:r>
    </w:p>
    <w:p w14:paraId="29B8309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2) оплата генеральным подрядчиком накладных расходов с контрольного счета наличности закупок, открытого в государственном казначействе, на его счета, открытые в банках второго уровня, не допускается, за исключением оплаты накладных расходов по договорам о государственных закупках, зарегистрированным в органах государственного казначейства до 1 января 2025 года.</w:t>
      </w:r>
    </w:p>
    <w:p w14:paraId="1A2C3DC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По договорам о государственных закупках, зарегистрированным в органах государственного казначейства до 1 января 2025 года, оплата генеральным подрядчиком накладных расходов с контрольного счета наличности закупок, открытого в государственном казначействе, осуществляется в соответствии с законодательством Республики Казахстан об архитектурной, градостроительной и строительной деятельности на основании платежного поручения и платежного сертификата на его счета, открытые в банках второго уровня;</w:t>
      </w:r>
    </w:p>
    <w:p w14:paraId="2E4A2AD2"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3) возмещение текущих затрат, произведенных за счет собственных средств генерального подрядчика, с контрольного счета наличности закупок, открытого в государственном казначействе, на счета генерального подрядчика, открытые в банках второго уровня, не допускается, за исключением случаев возмещения текущих затрат по договорам о государственных закупках, зарегистрированным в органах государственного казначейства до 1 января 2025 года.</w:t>
      </w:r>
    </w:p>
    <w:p w14:paraId="6E5990FB"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Формирование генеральным подрядчиком платежного поручения при возмещении текущих затрат, произведенных за счет собственных средств, по договору о государственных закупках, зарегистрированному в органе государственного казначейства до 1 января 2025 года, осуществляется на основании платежного сертификата (при обслуживании по ЦС «Казначейство-клиент» предоставляется сканированный образ с оригинала) с указанием произведенных затрат, подлежащих возмещению.</w:t>
      </w:r>
    </w:p>
    <w:p w14:paraId="7D1BCD1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этом, возмещение текущих затрат, произведенных за счет собственных средств, с контрольного счета наличности закупок на счета генерального подрядчика в банке второго уровня допускается только при отсутствии условий авансового платежа в договоре о государственных закупках, заключенном между заказчиком и генеральным подрядчиком;</w:t>
      </w:r>
    </w:p>
    <w:p w14:paraId="2E97D861"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 xml:space="preserve">4) для проведения платежей по перечислению заработной платы и других денежных выплат работникам, а также других выплат физическим лицам на их текущие или сберегательные счета, открытые в банке второго уровня, </w:t>
      </w:r>
      <w:r w:rsidRPr="00114A74">
        <w:rPr>
          <w:sz w:val="28"/>
          <w:szCs w:val="28"/>
        </w:rPr>
        <w:lastRenderedPageBreak/>
        <w:t>обязательных пенсионных взносов, обязательных пенсионных взносов работодателей, обязательных профессиональных взносов, добровольных пенсионных взносов и социальных отчислений, отчислений и (или) взносов на обязательное социальное медицинское страхование, платежей по договорам накопительного вида страхования по ЦС «Казначейство-клиент» к электронному образу платежного поручения прикрепляются платежный сертификат и списки получателей денег в электронном формате платежей в соответствии с приложениям 140, 141, 142, 143 и 144 к настоящим Процедурам и подписываются электронной цифровой подписью генерального подрядчика и бухгалтера;</w:t>
      </w:r>
    </w:p>
    <w:p w14:paraId="1254BFCE"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5) уплата налогов и других обязательных платежей в бюджет генеральным подрядчиком осуществляется на основании платежного поручения и платежного сертификата;</w:t>
      </w:r>
    </w:p>
    <w:p w14:paraId="584F0F03"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6) перечисление генеральным подрядчиком (основным участником консорциума) авансовой (предварительной) оплаты с контрольного счета наличности закупок, открытого в государственном казначействе, на счета субподрядчиков (участников консорциума) и (или) поставщиков, открытые в банках второго уровня, осуществляется на основании платежного сертификата;</w:t>
      </w:r>
    </w:p>
    <w:p w14:paraId="6BFFC360"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7) при проведении авансовых платежей с контрольного счета наличности закупок генеральный подрядчик дополнительно предоставляет копии всех договоров с контрагентами (поставщик, субподрядчик), заключенных в рамках договора (дополнительного соглашения), подлежащего казначейскому сопровождению.</w:t>
      </w:r>
    </w:p>
    <w:p w14:paraId="4DF7192F"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Генеральный подрядчик осуществляет перечисление авансовых платежей с контрольного счета наличности закупок контрагентам (поставщик, субподрядчик) в размере, предусмотренном договором, заключенном между генеральным подрядчиком и контрагентом (поставщик, субподрядчик).</w:t>
      </w:r>
    </w:p>
    <w:p w14:paraId="1B8DFBB7"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При этом, запрещается проведение платежей и (или) переводов денег генерального подрядчика с контрольного счета наличности закупок в пользу контрагентов (поставщик, субподрядчик), которые не вошли в перечень контрагентов;</w:t>
      </w:r>
    </w:p>
    <w:p w14:paraId="30FE5494"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8) генеральный подрядчик обеспечивает предоставление в орган государственного казначейства платежного поручения с приложением документов, указанных в настоящем пункте;</w:t>
      </w:r>
    </w:p>
    <w:p w14:paraId="27FF74F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9) при заполнении платежного поручения генеральным подрядчиком в поле «Назначение платежа» указываются назначение платежа, номер и дата договора, заключенного между заказчиком и генеральным подрядчиком, наименование, номер и дата подтверждающих документов.</w:t>
      </w:r>
    </w:p>
    <w:p w14:paraId="0E37720A"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t>Органы государственного казначейства осуществляют контроль при проведении платежей и (или) переводов денег генерального подрядчика с контрольного счета наличности закупок на соответствие требованиям, установленным настоящим пунктом.».</w:t>
      </w:r>
    </w:p>
    <w:p w14:paraId="001EAD99" w14:textId="77777777" w:rsidR="00A8624E" w:rsidRPr="00114A74" w:rsidRDefault="00A8624E" w:rsidP="00A8624E">
      <w:pPr>
        <w:pStyle w:val="afc"/>
        <w:spacing w:before="0" w:beforeAutospacing="0" w:after="0" w:afterAutospacing="0"/>
        <w:ind w:firstLine="709"/>
        <w:jc w:val="both"/>
        <w:rPr>
          <w:sz w:val="28"/>
          <w:szCs w:val="28"/>
        </w:rPr>
      </w:pPr>
      <w:r w:rsidRPr="00114A74">
        <w:rPr>
          <w:sz w:val="28"/>
          <w:szCs w:val="28"/>
        </w:rPr>
        <w:lastRenderedPageBreak/>
        <w:t>2.</w:t>
      </w:r>
      <w:bookmarkStart w:id="2" w:name="z46"/>
      <w:bookmarkEnd w:id="2"/>
      <w:r w:rsidRPr="00114A74">
        <w:rPr>
          <w:sz w:val="28"/>
          <w:szCs w:val="28"/>
        </w:rPr>
        <w:t xml:space="preserve"> Департаменту методологии бюджетного процесса Министерства финансов Республики Казахстан в установленном законодательством Республики Казахстан порядке обеспечить:</w:t>
      </w:r>
    </w:p>
    <w:p w14:paraId="33F67065" w14:textId="77777777" w:rsidR="00A8624E" w:rsidRPr="00114A74" w:rsidRDefault="00A8624E" w:rsidP="00A8624E">
      <w:pPr>
        <w:pStyle w:val="afc"/>
        <w:pBdr>
          <w:bottom w:val="single" w:sz="4" w:space="31" w:color="FFFFFF"/>
        </w:pBdr>
        <w:tabs>
          <w:tab w:val="left" w:pos="0"/>
          <w:tab w:val="left" w:pos="1134"/>
        </w:tabs>
        <w:spacing w:before="0" w:beforeAutospacing="0" w:after="0" w:afterAutospacing="0"/>
        <w:ind w:firstLine="709"/>
        <w:jc w:val="both"/>
        <w:rPr>
          <w:sz w:val="28"/>
          <w:szCs w:val="28"/>
        </w:rPr>
      </w:pPr>
      <w:r w:rsidRPr="00114A74">
        <w:rPr>
          <w:sz w:val="28"/>
          <w:szCs w:val="28"/>
        </w:rPr>
        <w:t>1) направление копии настоящего приказа на казахском и русском языках в Республиканское государственное предприятие на праве хозяйственного ведения «Институт законодательства и правовой информации Республики Казахстан» Министерства юстиции Республики Казахстан для официального опубликования и включения в Эталонный контрольный банк нормативных правовых актов Республики Казахстан;</w:t>
      </w:r>
    </w:p>
    <w:p w14:paraId="104293CF" w14:textId="77777777" w:rsidR="00A8624E" w:rsidRPr="00114A74" w:rsidRDefault="00A8624E" w:rsidP="00A8624E">
      <w:pPr>
        <w:pStyle w:val="afc"/>
        <w:pBdr>
          <w:bottom w:val="single" w:sz="4" w:space="31" w:color="FFFFFF"/>
        </w:pBdr>
        <w:tabs>
          <w:tab w:val="left" w:pos="0"/>
          <w:tab w:val="left" w:pos="1134"/>
        </w:tabs>
        <w:spacing w:before="0" w:beforeAutospacing="0" w:after="0" w:afterAutospacing="0"/>
        <w:ind w:firstLine="709"/>
        <w:jc w:val="both"/>
        <w:rPr>
          <w:sz w:val="28"/>
          <w:szCs w:val="28"/>
        </w:rPr>
      </w:pPr>
      <w:r w:rsidRPr="00114A74">
        <w:rPr>
          <w:sz w:val="28"/>
          <w:szCs w:val="28"/>
        </w:rPr>
        <w:t>2) размещение настоящего приказа на интернет-ресурсе Министерства финансов Республики Казахстан после дня его первого официального опубликования.</w:t>
      </w:r>
    </w:p>
    <w:p w14:paraId="652D2824" w14:textId="77777777" w:rsidR="00A8624E" w:rsidRPr="00114A74" w:rsidRDefault="00A8624E" w:rsidP="00A8624E">
      <w:pPr>
        <w:pStyle w:val="afc"/>
        <w:pBdr>
          <w:bottom w:val="single" w:sz="4" w:space="31" w:color="FFFFFF"/>
        </w:pBdr>
        <w:tabs>
          <w:tab w:val="left" w:pos="0"/>
          <w:tab w:val="left" w:pos="1134"/>
        </w:tabs>
        <w:spacing w:before="0" w:beforeAutospacing="0" w:after="0" w:afterAutospacing="0"/>
        <w:ind w:firstLine="708"/>
        <w:jc w:val="both"/>
        <w:rPr>
          <w:sz w:val="28"/>
          <w:szCs w:val="28"/>
        </w:rPr>
      </w:pPr>
      <w:r w:rsidRPr="00114A74">
        <w:rPr>
          <w:sz w:val="28"/>
          <w:szCs w:val="28"/>
        </w:rPr>
        <w:t>3) после подписания настоящего приказа представление в Департамент юридической службы Министерства финансов Республики Казахстан сведений об исполнении мероприятий, предусмотренных подпунктами 1) и 2) настоящего пункта.</w:t>
      </w:r>
    </w:p>
    <w:p w14:paraId="1069D2E9" w14:textId="77777777" w:rsidR="00A8624E" w:rsidRPr="00114A74" w:rsidRDefault="00A8624E" w:rsidP="00A8624E">
      <w:pPr>
        <w:pStyle w:val="af3"/>
        <w:pBdr>
          <w:bottom w:val="single" w:sz="4" w:space="31" w:color="FFFFFF"/>
        </w:pBdr>
        <w:tabs>
          <w:tab w:val="left" w:pos="0"/>
        </w:tabs>
        <w:ind w:firstLine="709"/>
        <w:rPr>
          <w:sz w:val="28"/>
          <w:szCs w:val="28"/>
          <w:lang w:val="ru-RU"/>
        </w:rPr>
      </w:pPr>
      <w:r w:rsidRPr="00114A74">
        <w:rPr>
          <w:sz w:val="28"/>
          <w:szCs w:val="28"/>
          <w:lang w:val="ru-RU"/>
        </w:rPr>
        <w:t>3. Настоящий приказ вводится в действие по истечении десяти календарных дней после дня его первого официального опубликования.</w:t>
      </w:r>
    </w:p>
    <w:tbl>
      <w:tblPr>
        <w:tblStyle w:val="af8"/>
        <w:tblW w:w="893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126"/>
        <w:gridCol w:w="3152"/>
      </w:tblGrid>
      <w:tr w:rsidR="00A8624E" w14:paraId="40D57DE8" w14:textId="77777777" w:rsidTr="007F58E7">
        <w:tc>
          <w:tcPr>
            <w:tcW w:w="3652" w:type="dxa"/>
          </w:tcPr>
          <w:p w14:paraId="46CCE25A" w14:textId="77777777" w:rsidR="00A8624E" w:rsidRPr="00114A74" w:rsidRDefault="00A8624E" w:rsidP="007F58E7">
            <w:pPr>
              <w:rPr>
                <w:b/>
                <w:sz w:val="28"/>
                <w:szCs w:val="28"/>
              </w:rPr>
            </w:pPr>
            <w:r w:rsidRPr="00114A74">
              <w:rPr>
                <w:b/>
                <w:sz w:val="28"/>
                <w:szCs w:val="28"/>
              </w:rPr>
              <w:t>Министр финансов</w:t>
            </w:r>
          </w:p>
          <w:p w14:paraId="3D1468E4" w14:textId="77777777" w:rsidR="00A8624E" w:rsidRPr="00114A74" w:rsidRDefault="00A8624E" w:rsidP="007F58E7">
            <w:pPr>
              <w:rPr>
                <w:b/>
                <w:sz w:val="28"/>
                <w:szCs w:val="28"/>
                <w:lang w:val="kk-KZ"/>
              </w:rPr>
            </w:pPr>
            <w:r w:rsidRPr="00114A74">
              <w:rPr>
                <w:b/>
                <w:sz w:val="28"/>
                <w:szCs w:val="28"/>
              </w:rPr>
              <w:t>Республики Казахстан</w:t>
            </w:r>
          </w:p>
        </w:tc>
        <w:tc>
          <w:tcPr>
            <w:tcW w:w="2126" w:type="dxa"/>
          </w:tcPr>
          <w:p w14:paraId="5308D6A2" w14:textId="77777777" w:rsidR="00A8624E" w:rsidRPr="00114A74" w:rsidRDefault="00A8624E" w:rsidP="007F58E7">
            <w:pPr>
              <w:rPr>
                <w:b/>
                <w:sz w:val="28"/>
                <w:szCs w:val="28"/>
              </w:rPr>
            </w:pPr>
          </w:p>
        </w:tc>
        <w:tc>
          <w:tcPr>
            <w:tcW w:w="3152" w:type="dxa"/>
          </w:tcPr>
          <w:p w14:paraId="151EDC98" w14:textId="77777777" w:rsidR="00A8624E" w:rsidRPr="00114A74" w:rsidRDefault="00A8624E" w:rsidP="007F58E7">
            <w:pPr>
              <w:rPr>
                <w:b/>
                <w:sz w:val="28"/>
                <w:szCs w:val="28"/>
              </w:rPr>
            </w:pPr>
          </w:p>
          <w:p w14:paraId="5C018198" w14:textId="77777777" w:rsidR="00A8624E" w:rsidRDefault="00A8624E" w:rsidP="007F58E7">
            <w:pPr>
              <w:rPr>
                <w:b/>
                <w:sz w:val="28"/>
                <w:szCs w:val="28"/>
                <w:lang w:val="kk-KZ"/>
              </w:rPr>
            </w:pPr>
            <w:r w:rsidRPr="00114A74">
              <w:rPr>
                <w:b/>
                <w:sz w:val="28"/>
                <w:szCs w:val="28"/>
                <w:lang w:val="kk-KZ"/>
              </w:rPr>
              <w:t xml:space="preserve">                   М. Такиев</w:t>
            </w:r>
          </w:p>
        </w:tc>
      </w:tr>
    </w:tbl>
    <w:p w14:paraId="594C1761" w14:textId="77777777" w:rsidR="00A8624E" w:rsidRDefault="00A8624E" w:rsidP="00A8624E"/>
    <w:p w14:paraId="47A32EDE" w14:textId="77777777" w:rsidR="003B565D" w:rsidRDefault="003B565D" w:rsidP="00A8624E">
      <w:pPr>
        <w:tabs>
          <w:tab w:val="right" w:pos="14224"/>
        </w:tabs>
        <w:jc w:val="center"/>
      </w:pPr>
    </w:p>
    <w:sectPr w:rsidR="003B565D" w:rsidSect="001560D3">
      <w:headerReference w:type="even" r:id="rId9"/>
      <w:headerReference w:type="default" r:id="rId10"/>
      <w:headerReference w:type="first" r:id="rId11"/>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14E2" w14:textId="77777777" w:rsidR="00F64E13" w:rsidRDefault="00F64E13">
      <w:r>
        <w:separator/>
      </w:r>
    </w:p>
  </w:endnote>
  <w:endnote w:type="continuationSeparator" w:id="0">
    <w:p w14:paraId="3E324387" w14:textId="77777777" w:rsidR="00F64E13" w:rsidRDefault="00F64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kazakh">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5312B" w14:textId="77777777" w:rsidR="00F64E13" w:rsidRDefault="00F64E13">
      <w:r>
        <w:separator/>
      </w:r>
    </w:p>
  </w:footnote>
  <w:footnote w:type="continuationSeparator" w:id="0">
    <w:p w14:paraId="3D2F1F99" w14:textId="77777777" w:rsidR="00F64E13" w:rsidRDefault="00F64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7EFB8" w14:textId="77777777" w:rsidR="007F0FF6" w:rsidRDefault="007F0FF6">
    <w:pPr>
      <w:pStyle w:val="a8"/>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14:paraId="023436EC" w14:textId="77777777" w:rsidR="007F0FF6" w:rsidRDefault="007F0FF6">
    <w:pPr>
      <w:pStyle w:val="a8"/>
    </w:pPr>
  </w:p>
  <w:p w14:paraId="282B9D61" w14:textId="77777777" w:rsidR="007F0FF6" w:rsidRDefault="007F0FF6"/>
  <w:p w14:paraId="2C415B13" w14:textId="77777777" w:rsidR="007F0FF6" w:rsidRDefault="007F0F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BBFB2" w14:textId="40D8EC6C" w:rsidR="007F0FF6" w:rsidRDefault="007F0FF6">
    <w:pPr>
      <w:pStyle w:val="a8"/>
      <w:framePr w:wrap="around" w:vAnchor="text" w:hAnchor="margin" w:xAlign="center" w:y="1"/>
      <w:rPr>
        <w:rStyle w:val="afe"/>
        <w:sz w:val="28"/>
        <w:szCs w:val="28"/>
      </w:rPr>
    </w:pPr>
    <w:r>
      <w:rPr>
        <w:rStyle w:val="afe"/>
        <w:sz w:val="28"/>
        <w:szCs w:val="28"/>
      </w:rPr>
      <w:fldChar w:fldCharType="begin"/>
    </w:r>
    <w:r>
      <w:rPr>
        <w:rStyle w:val="afe"/>
        <w:sz w:val="28"/>
        <w:szCs w:val="28"/>
      </w:rPr>
      <w:instrText xml:space="preserve">PAGE  </w:instrText>
    </w:r>
    <w:r>
      <w:rPr>
        <w:rStyle w:val="afe"/>
        <w:sz w:val="28"/>
        <w:szCs w:val="28"/>
      </w:rPr>
      <w:fldChar w:fldCharType="separate"/>
    </w:r>
    <w:r w:rsidR="00167A95">
      <w:rPr>
        <w:rStyle w:val="afe"/>
        <w:noProof/>
        <w:sz w:val="28"/>
        <w:szCs w:val="28"/>
      </w:rPr>
      <w:t>37</w:t>
    </w:r>
    <w:r>
      <w:rPr>
        <w:rStyle w:val="afe"/>
        <w:sz w:val="28"/>
        <w:szCs w:val="28"/>
      </w:rPr>
      <w:fldChar w:fldCharType="end"/>
    </w:r>
  </w:p>
  <w:p w14:paraId="2625D666" w14:textId="77777777" w:rsidR="007F0FF6" w:rsidRDefault="007F0FF6">
    <w:pPr>
      <w:pStyle w:val="a8"/>
      <w:rPr>
        <w:sz w:val="28"/>
        <w:szCs w:val="28"/>
      </w:rPr>
    </w:pPr>
  </w:p>
  <w:p w14:paraId="149ECC84" w14:textId="77777777" w:rsidR="007F0FF6" w:rsidRDefault="007F0FF6"/>
  <w:p w14:paraId="2B18A60B" w14:textId="77777777" w:rsidR="007F0FF6" w:rsidRDefault="007F0F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51" w:type="dxa"/>
      <w:tblInd w:w="-431" w:type="dxa"/>
      <w:tblLayout w:type="fixed"/>
      <w:tblLook w:val="01E0" w:firstRow="1" w:lastRow="1" w:firstColumn="1" w:lastColumn="1" w:noHBand="0" w:noVBand="0"/>
    </w:tblPr>
    <w:tblGrid>
      <w:gridCol w:w="4362"/>
      <w:gridCol w:w="2126"/>
      <w:gridCol w:w="4263"/>
    </w:tblGrid>
    <w:tr w:rsidR="007F0FF6" w14:paraId="7E169912" w14:textId="77777777">
      <w:trPr>
        <w:trHeight w:val="1348"/>
      </w:trPr>
      <w:tc>
        <w:tcPr>
          <w:tcW w:w="4362" w:type="dxa"/>
          <w:shd w:val="clear" w:color="auto" w:fill="auto"/>
        </w:tcPr>
        <w:p w14:paraId="74A450EB" w14:textId="77777777" w:rsidR="007F0FF6" w:rsidRDefault="007F0FF6">
          <w:pPr>
            <w:spacing w:line="288" w:lineRule="auto"/>
            <w:ind w:right="459"/>
            <w:jc w:val="center"/>
            <w:rPr>
              <w:b/>
              <w:bCs/>
              <w:color w:val="3399FF"/>
              <w:lang w:val="kk-KZ"/>
            </w:rPr>
          </w:pPr>
          <w:r>
            <w:rPr>
              <w:b/>
              <w:bCs/>
              <w:color w:val="3399FF"/>
            </w:rPr>
            <w:t>ҚАЗАҚСТАН</w:t>
          </w:r>
        </w:p>
        <w:p w14:paraId="5EC13849" w14:textId="77777777" w:rsidR="007F0FF6" w:rsidRDefault="007F0FF6">
          <w:pPr>
            <w:spacing w:line="288" w:lineRule="auto"/>
            <w:ind w:right="459"/>
            <w:jc w:val="center"/>
            <w:rPr>
              <w:b/>
              <w:bCs/>
              <w:color w:val="3399FF"/>
              <w:lang w:val="kk-KZ"/>
            </w:rPr>
          </w:pPr>
          <w:r>
            <w:rPr>
              <w:b/>
              <w:bCs/>
              <w:color w:val="3399FF"/>
              <w:lang w:val="kk-KZ"/>
            </w:rPr>
            <w:t>РЕСПУБЛИКАСЫНЫҢ</w:t>
          </w:r>
        </w:p>
        <w:p w14:paraId="35993E88" w14:textId="77777777" w:rsidR="007F0FF6" w:rsidRDefault="007F0FF6">
          <w:pPr>
            <w:spacing w:line="288" w:lineRule="auto"/>
            <w:ind w:right="459"/>
            <w:jc w:val="center"/>
            <w:rPr>
              <w:b/>
              <w:color w:val="3A7298"/>
              <w:sz w:val="32"/>
              <w:szCs w:val="32"/>
              <w:lang w:val="kk-KZ"/>
            </w:rPr>
          </w:pPr>
          <w:r>
            <w:rPr>
              <w:b/>
              <w:bCs/>
              <w:color w:val="3399FF"/>
              <w:lang w:val="kk-KZ"/>
            </w:rPr>
            <w:t>ҚАРЖЫ МИНИСТРЛІГІ</w:t>
          </w:r>
        </w:p>
      </w:tc>
      <w:tc>
        <w:tcPr>
          <w:tcW w:w="2126" w:type="dxa"/>
          <w:shd w:val="clear" w:color="auto" w:fill="auto"/>
        </w:tcPr>
        <w:p w14:paraId="5300C477" w14:textId="77777777" w:rsidR="007F0FF6" w:rsidRDefault="007F0FF6">
          <w:pPr>
            <w:jc w:val="center"/>
            <w:rPr>
              <w:sz w:val="22"/>
              <w:szCs w:val="22"/>
              <w:lang w:val="kk-KZ"/>
            </w:rPr>
          </w:pPr>
          <w:r>
            <w:rPr>
              <w:noProof/>
              <w:sz w:val="22"/>
              <w:szCs w:val="22"/>
            </w:rPr>
            <mc:AlternateContent>
              <mc:Choice Requires="wpg">
                <w:drawing>
                  <wp:inline distT="0" distB="0" distL="0" distR="0" wp14:anchorId="5120D38C" wp14:editId="736084B0">
                    <wp:extent cx="972820" cy="97282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stretch/>
                          </pic:blipFill>
                          <pic:spPr bwMode="auto">
                            <a:xfrm>
                              <a:off x="0" y="0"/>
                              <a:ext cx="972819" cy="97281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76.6pt;height:76.6pt;" stroked="f">
                    <v:path textboxrect="0,0,0,0"/>
                    <v:imagedata r:id="rId2" o:title=""/>
                  </v:shape>
                </w:pict>
              </mc:Fallback>
            </mc:AlternateContent>
          </w:r>
        </w:p>
      </w:tc>
      <w:tc>
        <w:tcPr>
          <w:tcW w:w="4263" w:type="dxa"/>
          <w:shd w:val="clear" w:color="auto" w:fill="auto"/>
        </w:tcPr>
        <w:p w14:paraId="5F7DF9FF" w14:textId="77777777" w:rsidR="007F0FF6" w:rsidRDefault="007F0FF6">
          <w:pPr>
            <w:spacing w:line="288" w:lineRule="auto"/>
            <w:jc w:val="center"/>
            <w:rPr>
              <w:b/>
              <w:bCs/>
              <w:color w:val="3399FF"/>
              <w:lang w:val="kk-KZ"/>
            </w:rPr>
          </w:pPr>
          <w:r>
            <w:rPr>
              <w:b/>
              <w:bCs/>
              <w:color w:val="3399FF"/>
              <w:lang w:val="kk-KZ"/>
            </w:rPr>
            <w:t>МИНИСТЕРСТВО</w:t>
          </w:r>
        </w:p>
        <w:p w14:paraId="7EEC93A2" w14:textId="77777777" w:rsidR="007F0FF6" w:rsidRDefault="007F0FF6">
          <w:pPr>
            <w:spacing w:line="288" w:lineRule="auto"/>
            <w:jc w:val="center"/>
            <w:rPr>
              <w:b/>
              <w:bCs/>
              <w:color w:val="3399FF"/>
              <w:lang w:val="kk-KZ"/>
            </w:rPr>
          </w:pPr>
          <w:r>
            <w:rPr>
              <w:b/>
              <w:bCs/>
              <w:color w:val="3399FF"/>
              <w:lang w:val="kk-KZ"/>
            </w:rPr>
            <w:t>ФИНАНСОВ</w:t>
          </w:r>
        </w:p>
        <w:p w14:paraId="54E8B28C" w14:textId="77777777" w:rsidR="007F0FF6" w:rsidRDefault="007F0FF6">
          <w:pPr>
            <w:spacing w:line="288" w:lineRule="auto"/>
            <w:jc w:val="center"/>
            <w:rPr>
              <w:b/>
              <w:color w:val="3A7298"/>
              <w:sz w:val="29"/>
              <w:szCs w:val="29"/>
              <w:lang w:val="kk-KZ"/>
            </w:rPr>
          </w:pPr>
          <w:r>
            <w:rPr>
              <w:b/>
              <w:bCs/>
              <w:color w:val="3399FF"/>
              <w:lang w:val="kk-KZ"/>
            </w:rPr>
            <w:t xml:space="preserve"> РЕСПУБЛИКИ КАЗАХСТАН</w:t>
          </w:r>
        </w:p>
      </w:tc>
    </w:tr>
    <w:tr w:rsidR="007F0FF6" w14:paraId="03BFBCD6" w14:textId="77777777">
      <w:trPr>
        <w:trHeight w:val="591"/>
      </w:trPr>
      <w:tc>
        <w:tcPr>
          <w:tcW w:w="3936" w:type="dxa"/>
          <w:shd w:val="clear" w:color="auto" w:fill="auto"/>
        </w:tcPr>
        <w:p w14:paraId="43FB3D2D" w14:textId="77777777" w:rsidR="007F0FF6" w:rsidRDefault="007F0FF6">
          <w:pPr>
            <w:widowControl w:val="0"/>
            <w:ind w:right="459"/>
            <w:jc w:val="center"/>
            <w:rPr>
              <w:b/>
              <w:bCs/>
              <w:color w:val="3399FF"/>
              <w:sz w:val="22"/>
              <w:szCs w:val="22"/>
            </w:rPr>
          </w:pPr>
        </w:p>
        <w:p w14:paraId="1866C815" w14:textId="77777777" w:rsidR="007F0FF6" w:rsidRDefault="007F0FF6">
          <w:pPr>
            <w:widowControl w:val="0"/>
            <w:ind w:right="459"/>
            <w:jc w:val="center"/>
            <w:rPr>
              <w:b/>
              <w:bCs/>
              <w:color w:val="3399FF"/>
              <w:sz w:val="22"/>
              <w:szCs w:val="22"/>
            </w:rPr>
          </w:pPr>
          <w:r>
            <w:rPr>
              <w:b/>
              <w:bCs/>
              <w:color w:val="3399FF"/>
              <w:sz w:val="22"/>
              <w:szCs w:val="22"/>
            </w:rPr>
            <w:t>БҰЙРЫҚ</w:t>
          </w:r>
        </w:p>
      </w:tc>
      <w:tc>
        <w:tcPr>
          <w:tcW w:w="2126" w:type="dxa"/>
          <w:shd w:val="clear" w:color="auto" w:fill="auto"/>
        </w:tcPr>
        <w:p w14:paraId="3A169436" w14:textId="77777777" w:rsidR="007F0FF6" w:rsidRDefault="007F0FF6">
          <w:pPr>
            <w:jc w:val="center"/>
            <w:rPr>
              <w:sz w:val="22"/>
              <w:szCs w:val="22"/>
              <w:lang w:val="kk-KZ"/>
            </w:rPr>
          </w:pPr>
        </w:p>
      </w:tc>
      <w:tc>
        <w:tcPr>
          <w:tcW w:w="4263" w:type="dxa"/>
          <w:shd w:val="clear" w:color="auto" w:fill="auto"/>
        </w:tcPr>
        <w:p w14:paraId="0F40B981" w14:textId="77777777" w:rsidR="007F0FF6" w:rsidRDefault="007F0FF6">
          <w:pPr>
            <w:spacing w:line="288" w:lineRule="auto"/>
            <w:jc w:val="center"/>
            <w:rPr>
              <w:b/>
              <w:bCs/>
              <w:color w:val="3399FF"/>
              <w:sz w:val="22"/>
              <w:szCs w:val="22"/>
            </w:rPr>
          </w:pPr>
          <w:r>
            <w:rPr>
              <w:noProof/>
              <w:color w:val="3399FF"/>
              <w:sz w:val="22"/>
              <w:szCs w:val="22"/>
            </w:rPr>
            <mc:AlternateContent>
              <mc:Choice Requires="wpg">
                <w:drawing>
                  <wp:anchor distT="0" distB="0" distL="114300" distR="114300" simplePos="0" relativeHeight="251656192" behindDoc="0" locked="0" layoutInCell="1" allowOverlap="1" wp14:anchorId="58CF442E" wp14:editId="22777673">
                    <wp:simplePos x="0" y="0"/>
                    <wp:positionH relativeFrom="column">
                      <wp:posOffset>-3936365</wp:posOffset>
                    </wp:positionH>
                    <wp:positionV relativeFrom="page">
                      <wp:posOffset>70485</wp:posOffset>
                    </wp:positionV>
                    <wp:extent cx="6411595" cy="0"/>
                    <wp:effectExtent l="12700" t="8890" r="14604" b="10160"/>
                    <wp:wrapNone/>
                    <wp:docPr id="2" name="Line 26"/>
                    <wp:cNvGraphicFramePr/>
                    <a:graphic xmlns:a="http://schemas.openxmlformats.org/drawingml/2006/main">
                      <a:graphicData uri="http://schemas.microsoft.com/office/word/2010/wordprocessingShape">
                        <wps:wsp>
                          <wps:cNvCnPr/>
                          <wps:spPr bwMode="auto">
                            <a:xfrm flipV="1">
                              <a:off x="0" y="0"/>
                              <a:ext cx="6411595" cy="0"/>
                            </a:xfrm>
                            <a:prstGeom prst="line">
                              <a:avLst/>
                            </a:prstGeom>
                            <a:noFill/>
                            <a:ln w="15875">
                              <a:solidFill>
                                <a:srgbClr val="3399FF"/>
                              </a:solidFill>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1" o:spid="_x0000_s1" o:spt="20" style="position:absolute;mso-wrap-distance-left:9.0pt;mso-wrap-distance-top:0.0pt;mso-wrap-distance-right:9.0pt;mso-wrap-distance-bottom:0.0pt;z-index:251656192;o:allowoverlap:true;o:allowincell:true;mso-position-horizontal-relative:text;margin-left:-309.9pt;mso-position-horizontal:absolute;mso-position-vertical-relative:page;margin-top:5.5pt;mso-position-vertical:absolute;width:504.8pt;height:0.0pt;flip:y;" coordsize="100000,100000" path="" filled="f" strokecolor="#3399FF" strokeweight="1.25pt">
                    <v:path textboxrect="0,0,0,0"/>
                  </v:shape>
                </w:pict>
              </mc:Fallback>
            </mc:AlternateContent>
          </w:r>
        </w:p>
        <w:p w14:paraId="41195431" w14:textId="77777777" w:rsidR="007F0FF6" w:rsidRDefault="007F0FF6">
          <w:pPr>
            <w:spacing w:line="288" w:lineRule="auto"/>
            <w:jc w:val="center"/>
            <w:rPr>
              <w:b/>
              <w:bCs/>
              <w:color w:val="3399FF"/>
              <w:lang w:val="kk-KZ"/>
            </w:rPr>
          </w:pPr>
          <w:r>
            <w:rPr>
              <w:b/>
              <w:bCs/>
              <w:color w:val="3399FF"/>
              <w:sz w:val="22"/>
              <w:szCs w:val="22"/>
            </w:rPr>
            <w:t>ПРИКАЗ</w:t>
          </w:r>
        </w:p>
      </w:tc>
    </w:tr>
  </w:tbl>
  <w:p w14:paraId="6DBC19D5" w14:textId="77777777" w:rsidR="007F0FF6" w:rsidRDefault="007F0FF6">
    <w:pPr>
      <w:pStyle w:val="a8"/>
      <w:rPr>
        <w:color w:val="3A7298"/>
        <w:sz w:val="22"/>
        <w:szCs w:val="22"/>
        <w:lang w:val="kk-KZ"/>
      </w:rPr>
    </w:pPr>
  </w:p>
  <w:p w14:paraId="17FA2728" w14:textId="77777777" w:rsidR="00A8624E" w:rsidRDefault="00A8624E" w:rsidP="004443AD">
    <w:pPr>
      <w:pStyle w:val="a8"/>
      <w:ind w:right="565" w:firstLine="567"/>
      <w:rPr>
        <w:b/>
        <w:bCs/>
        <w:color w:val="3399FF"/>
        <w:sz w:val="22"/>
        <w:szCs w:val="22"/>
        <w:lang w:eastAsia="ru-RU"/>
      </w:rPr>
    </w:pPr>
  </w:p>
  <w:p w14:paraId="6437F424" w14:textId="6A70A44E" w:rsidR="007F0FF6" w:rsidRDefault="007F0FF6" w:rsidP="004443AD">
    <w:pPr>
      <w:pStyle w:val="a8"/>
      <w:ind w:right="565" w:firstLine="567"/>
      <w:rPr>
        <w:color w:val="3A7298"/>
        <w:sz w:val="22"/>
        <w:szCs w:val="22"/>
      </w:rPr>
    </w:pPr>
    <w:r w:rsidRPr="00160D11">
      <w:rPr>
        <w:b/>
        <w:bCs/>
        <w:color w:val="3399FF"/>
        <w:sz w:val="22"/>
        <w:szCs w:val="22"/>
        <w:lang w:eastAsia="ru-RU"/>
      </w:rPr>
      <w:t xml:space="preserve">№ </w:t>
    </w:r>
    <w:r w:rsidR="00A8624E">
      <w:rPr>
        <w:b/>
        <w:bCs/>
        <w:color w:val="3399FF"/>
        <w:sz w:val="22"/>
        <w:szCs w:val="22"/>
        <w:lang w:val="kk-KZ" w:eastAsia="ru-RU"/>
      </w:rPr>
      <w:t>720</w:t>
    </w:r>
    <w:r>
      <w:rPr>
        <w:b/>
        <w:bCs/>
        <w:color w:val="3399FF"/>
        <w:sz w:val="22"/>
        <w:szCs w:val="22"/>
        <w:lang w:eastAsia="ru-RU"/>
      </w:rPr>
      <w:t xml:space="preserve">                                                                                           </w:t>
    </w:r>
    <w:r w:rsidR="00102EA3">
      <w:rPr>
        <w:b/>
        <w:bCs/>
        <w:color w:val="3399FF"/>
        <w:sz w:val="22"/>
        <w:szCs w:val="22"/>
        <w:lang w:eastAsia="ru-RU"/>
      </w:rPr>
      <w:t xml:space="preserve">  </w:t>
    </w:r>
    <w:r>
      <w:rPr>
        <w:b/>
        <w:bCs/>
        <w:color w:val="3399FF"/>
        <w:sz w:val="22"/>
        <w:szCs w:val="22"/>
        <w:lang w:eastAsia="ru-RU"/>
      </w:rPr>
      <w:t xml:space="preserve">  от </w:t>
    </w:r>
    <w:r w:rsidR="00A8624E">
      <w:rPr>
        <w:b/>
        <w:bCs/>
        <w:color w:val="3399FF"/>
        <w:sz w:val="22"/>
        <w:szCs w:val="22"/>
        <w:lang w:val="kk-KZ" w:eastAsia="ru-RU"/>
      </w:rPr>
      <w:t>27</w:t>
    </w:r>
    <w:r>
      <w:rPr>
        <w:b/>
        <w:bCs/>
        <w:color w:val="3399FF"/>
        <w:sz w:val="22"/>
        <w:szCs w:val="22"/>
        <w:lang w:eastAsia="ru-RU"/>
      </w:rPr>
      <w:t xml:space="preserve"> </w:t>
    </w:r>
    <w:r w:rsidR="00A8624E">
      <w:rPr>
        <w:b/>
        <w:bCs/>
        <w:color w:val="3399FF"/>
        <w:sz w:val="22"/>
        <w:szCs w:val="22"/>
        <w:lang w:val="kk-KZ" w:eastAsia="ru-RU"/>
      </w:rPr>
      <w:t xml:space="preserve">октября </w:t>
    </w:r>
    <w:r>
      <w:rPr>
        <w:b/>
        <w:bCs/>
        <w:color w:val="3399FF"/>
        <w:sz w:val="22"/>
        <w:szCs w:val="22"/>
        <w:lang w:eastAsia="ru-RU"/>
      </w:rPr>
      <w:t>2026 года</w:t>
    </w:r>
  </w:p>
  <w:p w14:paraId="519DFB58" w14:textId="77777777" w:rsidR="007F0FF6" w:rsidRDefault="007F0FF6">
    <w:pPr>
      <w:rPr>
        <w:color w:val="3A7234"/>
        <w:sz w:val="14"/>
        <w:szCs w:val="14"/>
        <w:lang w:val="kk-KZ"/>
      </w:rPr>
    </w:pPr>
  </w:p>
  <w:p w14:paraId="0669644C" w14:textId="77777777" w:rsidR="007F0FF6" w:rsidRDefault="007F0F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32D26"/>
    <w:multiLevelType w:val="hybridMultilevel"/>
    <w:tmpl w:val="A88802B8"/>
    <w:lvl w:ilvl="0" w:tplc="9C5018E8">
      <w:start w:val="1"/>
      <w:numFmt w:val="decimal"/>
      <w:lvlText w:val="%1."/>
      <w:lvlJc w:val="left"/>
      <w:pPr>
        <w:ind w:left="1065" w:hanging="360"/>
      </w:pPr>
      <w:rPr>
        <w:rFonts w:hint="default"/>
      </w:rPr>
    </w:lvl>
    <w:lvl w:ilvl="1" w:tplc="C61A6A06">
      <w:start w:val="1"/>
      <w:numFmt w:val="lowerLetter"/>
      <w:lvlText w:val="%2."/>
      <w:lvlJc w:val="left"/>
      <w:pPr>
        <w:ind w:left="1785" w:hanging="360"/>
      </w:pPr>
    </w:lvl>
    <w:lvl w:ilvl="2" w:tplc="E3BA11BA">
      <w:start w:val="1"/>
      <w:numFmt w:val="lowerRoman"/>
      <w:lvlText w:val="%3."/>
      <w:lvlJc w:val="right"/>
      <w:pPr>
        <w:ind w:left="2505" w:hanging="180"/>
      </w:pPr>
    </w:lvl>
    <w:lvl w:ilvl="3" w:tplc="85966F6A">
      <w:start w:val="1"/>
      <w:numFmt w:val="decimal"/>
      <w:lvlText w:val="%4."/>
      <w:lvlJc w:val="left"/>
      <w:pPr>
        <w:ind w:left="3225" w:hanging="360"/>
      </w:pPr>
    </w:lvl>
    <w:lvl w:ilvl="4" w:tplc="CAEC44AA">
      <w:start w:val="1"/>
      <w:numFmt w:val="lowerLetter"/>
      <w:lvlText w:val="%5."/>
      <w:lvlJc w:val="left"/>
      <w:pPr>
        <w:ind w:left="3945" w:hanging="360"/>
      </w:pPr>
    </w:lvl>
    <w:lvl w:ilvl="5" w:tplc="994EB46A">
      <w:start w:val="1"/>
      <w:numFmt w:val="lowerRoman"/>
      <w:lvlText w:val="%6."/>
      <w:lvlJc w:val="right"/>
      <w:pPr>
        <w:ind w:left="4665" w:hanging="180"/>
      </w:pPr>
    </w:lvl>
    <w:lvl w:ilvl="6" w:tplc="F34A115A">
      <w:start w:val="1"/>
      <w:numFmt w:val="decimal"/>
      <w:lvlText w:val="%7."/>
      <w:lvlJc w:val="left"/>
      <w:pPr>
        <w:ind w:left="5385" w:hanging="360"/>
      </w:pPr>
    </w:lvl>
    <w:lvl w:ilvl="7" w:tplc="15549300">
      <w:start w:val="1"/>
      <w:numFmt w:val="lowerLetter"/>
      <w:lvlText w:val="%8."/>
      <w:lvlJc w:val="left"/>
      <w:pPr>
        <w:ind w:left="6105" w:hanging="360"/>
      </w:pPr>
    </w:lvl>
    <w:lvl w:ilvl="8" w:tplc="FD24DF72">
      <w:start w:val="1"/>
      <w:numFmt w:val="lowerRoman"/>
      <w:lvlText w:val="%9."/>
      <w:lvlJc w:val="right"/>
      <w:pPr>
        <w:ind w:left="6825" w:hanging="180"/>
      </w:pPr>
    </w:lvl>
  </w:abstractNum>
  <w:abstractNum w:abstractNumId="1" w15:restartNumberingAfterBreak="0">
    <w:nsid w:val="66854031"/>
    <w:multiLevelType w:val="hybridMultilevel"/>
    <w:tmpl w:val="A1B63D2E"/>
    <w:lvl w:ilvl="0" w:tplc="5DD091D0">
      <w:start w:val="1"/>
      <w:numFmt w:val="decimal"/>
      <w:lvlText w:val="%1."/>
      <w:lvlJc w:val="left"/>
      <w:pPr>
        <w:tabs>
          <w:tab w:val="num" w:pos="1669"/>
        </w:tabs>
        <w:ind w:left="1669" w:hanging="360"/>
      </w:pPr>
    </w:lvl>
    <w:lvl w:ilvl="1" w:tplc="85F46D24">
      <w:start w:val="1"/>
      <w:numFmt w:val="lowerLetter"/>
      <w:lvlText w:val="%2."/>
      <w:lvlJc w:val="left"/>
      <w:pPr>
        <w:tabs>
          <w:tab w:val="num" w:pos="2389"/>
        </w:tabs>
        <w:ind w:left="2389" w:hanging="360"/>
      </w:pPr>
    </w:lvl>
    <w:lvl w:ilvl="2" w:tplc="61C41DAE">
      <w:start w:val="1"/>
      <w:numFmt w:val="lowerRoman"/>
      <w:lvlText w:val="%3."/>
      <w:lvlJc w:val="right"/>
      <w:pPr>
        <w:tabs>
          <w:tab w:val="num" w:pos="3109"/>
        </w:tabs>
        <w:ind w:left="3109" w:hanging="180"/>
      </w:pPr>
    </w:lvl>
    <w:lvl w:ilvl="3" w:tplc="01149E7C">
      <w:start w:val="1"/>
      <w:numFmt w:val="decimal"/>
      <w:lvlText w:val="%4."/>
      <w:lvlJc w:val="left"/>
      <w:pPr>
        <w:tabs>
          <w:tab w:val="num" w:pos="3829"/>
        </w:tabs>
        <w:ind w:left="3829" w:hanging="360"/>
      </w:pPr>
    </w:lvl>
    <w:lvl w:ilvl="4" w:tplc="89ECC02C">
      <w:start w:val="1"/>
      <w:numFmt w:val="lowerLetter"/>
      <w:lvlText w:val="%5."/>
      <w:lvlJc w:val="left"/>
      <w:pPr>
        <w:tabs>
          <w:tab w:val="num" w:pos="4549"/>
        </w:tabs>
        <w:ind w:left="4549" w:hanging="360"/>
      </w:pPr>
    </w:lvl>
    <w:lvl w:ilvl="5" w:tplc="EBEC4A0C">
      <w:start w:val="1"/>
      <w:numFmt w:val="lowerRoman"/>
      <w:lvlText w:val="%6."/>
      <w:lvlJc w:val="right"/>
      <w:pPr>
        <w:tabs>
          <w:tab w:val="num" w:pos="5269"/>
        </w:tabs>
        <w:ind w:left="5269" w:hanging="180"/>
      </w:pPr>
    </w:lvl>
    <w:lvl w:ilvl="6" w:tplc="4226FC60">
      <w:start w:val="1"/>
      <w:numFmt w:val="decimal"/>
      <w:lvlText w:val="%7."/>
      <w:lvlJc w:val="left"/>
      <w:pPr>
        <w:tabs>
          <w:tab w:val="num" w:pos="5989"/>
        </w:tabs>
        <w:ind w:left="5989" w:hanging="360"/>
      </w:pPr>
    </w:lvl>
    <w:lvl w:ilvl="7" w:tplc="B5505954">
      <w:start w:val="1"/>
      <w:numFmt w:val="lowerLetter"/>
      <w:lvlText w:val="%8."/>
      <w:lvlJc w:val="left"/>
      <w:pPr>
        <w:tabs>
          <w:tab w:val="num" w:pos="6709"/>
        </w:tabs>
        <w:ind w:left="6709" w:hanging="360"/>
      </w:pPr>
    </w:lvl>
    <w:lvl w:ilvl="8" w:tplc="872E58D0">
      <w:start w:val="1"/>
      <w:numFmt w:val="lowerRoman"/>
      <w:lvlText w:val="%9."/>
      <w:lvlJc w:val="right"/>
      <w:pPr>
        <w:tabs>
          <w:tab w:val="num" w:pos="7429"/>
        </w:tabs>
        <w:ind w:left="7429" w:hanging="180"/>
      </w:pPr>
    </w:lvl>
  </w:abstractNum>
  <w:abstractNum w:abstractNumId="2" w15:restartNumberingAfterBreak="0">
    <w:nsid w:val="75546BF7"/>
    <w:multiLevelType w:val="hybridMultilevel"/>
    <w:tmpl w:val="7592C5A6"/>
    <w:lvl w:ilvl="0" w:tplc="2B662F1A">
      <w:start w:val="40"/>
      <w:numFmt w:val="decimal"/>
      <w:lvlText w:val="%1)"/>
      <w:lvlJc w:val="left"/>
      <w:pPr>
        <w:tabs>
          <w:tab w:val="num" w:pos="1720"/>
        </w:tabs>
        <w:ind w:left="1720" w:hanging="1020"/>
      </w:pPr>
      <w:rPr>
        <w:rFonts w:hint="default"/>
      </w:rPr>
    </w:lvl>
    <w:lvl w:ilvl="1" w:tplc="619E6F86">
      <w:start w:val="1"/>
      <w:numFmt w:val="lowerLetter"/>
      <w:lvlText w:val="%2."/>
      <w:lvlJc w:val="left"/>
      <w:pPr>
        <w:tabs>
          <w:tab w:val="num" w:pos="1780"/>
        </w:tabs>
        <w:ind w:left="1780" w:hanging="360"/>
      </w:pPr>
    </w:lvl>
    <w:lvl w:ilvl="2" w:tplc="E130A368">
      <w:start w:val="1"/>
      <w:numFmt w:val="lowerRoman"/>
      <w:lvlText w:val="%3."/>
      <w:lvlJc w:val="right"/>
      <w:pPr>
        <w:tabs>
          <w:tab w:val="num" w:pos="2500"/>
        </w:tabs>
        <w:ind w:left="2500" w:hanging="180"/>
      </w:pPr>
    </w:lvl>
    <w:lvl w:ilvl="3" w:tplc="75AA97E4">
      <w:start w:val="1"/>
      <w:numFmt w:val="decimal"/>
      <w:lvlText w:val="%4."/>
      <w:lvlJc w:val="left"/>
      <w:pPr>
        <w:tabs>
          <w:tab w:val="num" w:pos="3220"/>
        </w:tabs>
        <w:ind w:left="3220" w:hanging="360"/>
      </w:pPr>
    </w:lvl>
    <w:lvl w:ilvl="4" w:tplc="99AA8DF6">
      <w:start w:val="1"/>
      <w:numFmt w:val="lowerLetter"/>
      <w:lvlText w:val="%5."/>
      <w:lvlJc w:val="left"/>
      <w:pPr>
        <w:tabs>
          <w:tab w:val="num" w:pos="3940"/>
        </w:tabs>
        <w:ind w:left="3940" w:hanging="360"/>
      </w:pPr>
    </w:lvl>
    <w:lvl w:ilvl="5" w:tplc="BDBC826E">
      <w:start w:val="1"/>
      <w:numFmt w:val="lowerRoman"/>
      <w:lvlText w:val="%6."/>
      <w:lvlJc w:val="right"/>
      <w:pPr>
        <w:tabs>
          <w:tab w:val="num" w:pos="4660"/>
        </w:tabs>
        <w:ind w:left="4660" w:hanging="180"/>
      </w:pPr>
    </w:lvl>
    <w:lvl w:ilvl="6" w:tplc="48820AB4">
      <w:start w:val="1"/>
      <w:numFmt w:val="decimal"/>
      <w:lvlText w:val="%7."/>
      <w:lvlJc w:val="left"/>
      <w:pPr>
        <w:tabs>
          <w:tab w:val="num" w:pos="5380"/>
        </w:tabs>
        <w:ind w:left="5380" w:hanging="360"/>
      </w:pPr>
    </w:lvl>
    <w:lvl w:ilvl="7" w:tplc="E878C114">
      <w:start w:val="1"/>
      <w:numFmt w:val="lowerLetter"/>
      <w:lvlText w:val="%8."/>
      <w:lvlJc w:val="left"/>
      <w:pPr>
        <w:tabs>
          <w:tab w:val="num" w:pos="6100"/>
        </w:tabs>
        <w:ind w:left="6100" w:hanging="360"/>
      </w:pPr>
    </w:lvl>
    <w:lvl w:ilvl="8" w:tplc="A71EB926">
      <w:start w:val="1"/>
      <w:numFmt w:val="lowerRoman"/>
      <w:lvlText w:val="%9."/>
      <w:lvlJc w:val="right"/>
      <w:pPr>
        <w:tabs>
          <w:tab w:val="num" w:pos="6820"/>
        </w:tabs>
        <w:ind w:left="682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65D"/>
    <w:rsid w:val="000278FA"/>
    <w:rsid w:val="00051DE7"/>
    <w:rsid w:val="00055A43"/>
    <w:rsid w:val="00102EA3"/>
    <w:rsid w:val="00106F44"/>
    <w:rsid w:val="001560D3"/>
    <w:rsid w:val="00160D11"/>
    <w:rsid w:val="00167A95"/>
    <w:rsid w:val="001A2E49"/>
    <w:rsid w:val="002670FF"/>
    <w:rsid w:val="002C56BF"/>
    <w:rsid w:val="00304E4D"/>
    <w:rsid w:val="00320D14"/>
    <w:rsid w:val="003B565D"/>
    <w:rsid w:val="004443AD"/>
    <w:rsid w:val="004F0BA2"/>
    <w:rsid w:val="0050127F"/>
    <w:rsid w:val="00514B26"/>
    <w:rsid w:val="00556353"/>
    <w:rsid w:val="005C6896"/>
    <w:rsid w:val="006618A2"/>
    <w:rsid w:val="0066703D"/>
    <w:rsid w:val="00683EBE"/>
    <w:rsid w:val="006A1456"/>
    <w:rsid w:val="006F0E54"/>
    <w:rsid w:val="00720804"/>
    <w:rsid w:val="007F0FF6"/>
    <w:rsid w:val="008125A4"/>
    <w:rsid w:val="00834844"/>
    <w:rsid w:val="00937941"/>
    <w:rsid w:val="009A28A0"/>
    <w:rsid w:val="009A3A4E"/>
    <w:rsid w:val="00A214A2"/>
    <w:rsid w:val="00A214C2"/>
    <w:rsid w:val="00A8624E"/>
    <w:rsid w:val="00AD1C4D"/>
    <w:rsid w:val="00AD2C90"/>
    <w:rsid w:val="00AF5E34"/>
    <w:rsid w:val="00B6243B"/>
    <w:rsid w:val="00BA4C52"/>
    <w:rsid w:val="00BC13AB"/>
    <w:rsid w:val="00C1407F"/>
    <w:rsid w:val="00C62CEA"/>
    <w:rsid w:val="00C83811"/>
    <w:rsid w:val="00C90583"/>
    <w:rsid w:val="00CA1941"/>
    <w:rsid w:val="00CC5E3B"/>
    <w:rsid w:val="00CD53DE"/>
    <w:rsid w:val="00D474EC"/>
    <w:rsid w:val="00DD0228"/>
    <w:rsid w:val="00DF339B"/>
    <w:rsid w:val="00DF3F1E"/>
    <w:rsid w:val="00E2503D"/>
    <w:rsid w:val="00E439EF"/>
    <w:rsid w:val="00E772C2"/>
    <w:rsid w:val="00EB1323"/>
    <w:rsid w:val="00EF3A50"/>
    <w:rsid w:val="00F0107A"/>
    <w:rsid w:val="00F64E13"/>
    <w:rsid w:val="00FB0EF4"/>
    <w:rsid w:val="00FE36E3"/>
    <w:rsid w:val="00FF0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018E5"/>
  <w15:docId w15:val="{8E7C03C7-ABEC-4865-8E26-24E8D963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jc w:val="both"/>
      <w:outlineLvl w:val="1"/>
    </w:pPr>
    <w:rPr>
      <w:rFonts w:ascii="times/kazakh" w:hAnsi="times/kazakh"/>
      <w:b/>
      <w:sz w:val="26"/>
      <w:lang w:eastAsia="ko-KR"/>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a7">
    <w:name w:val="Верхний колонтитул Знак"/>
    <w:basedOn w:val="a0"/>
    <w:link w:val="a8"/>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customStyle="1" w:styleId="af2">
    <w:name w:val="Знак"/>
    <w:basedOn w:val="a"/>
    <w:pPr>
      <w:spacing w:after="160" w:line="240" w:lineRule="exact"/>
    </w:pPr>
    <w:rPr>
      <w:rFonts w:eastAsia="SimSun"/>
      <w:b/>
      <w:sz w:val="28"/>
      <w:szCs w:val="24"/>
      <w:lang w:val="en-US" w:eastAsia="en-US"/>
    </w:rPr>
  </w:style>
  <w:style w:type="paragraph" w:styleId="af3">
    <w:name w:val="Body Text Indent"/>
    <w:basedOn w:val="a"/>
    <w:link w:val="af4"/>
    <w:uiPriority w:val="99"/>
    <w:pPr>
      <w:ind w:firstLine="1122"/>
      <w:jc w:val="both"/>
    </w:pPr>
    <w:rPr>
      <w:sz w:val="24"/>
      <w:szCs w:val="24"/>
      <w:lang w:val="kk-KZ"/>
    </w:rPr>
  </w:style>
  <w:style w:type="paragraph" w:styleId="a4">
    <w:name w:val="Title"/>
    <w:basedOn w:val="a"/>
    <w:link w:val="a3"/>
    <w:qFormat/>
    <w:pPr>
      <w:jc w:val="center"/>
    </w:pPr>
    <w:rPr>
      <w:sz w:val="28"/>
      <w:szCs w:val="24"/>
    </w:rPr>
  </w:style>
  <w:style w:type="paragraph" w:styleId="af5">
    <w:name w:val="Subtitle"/>
    <w:basedOn w:val="a"/>
    <w:link w:val="af6"/>
    <w:qFormat/>
    <w:pPr>
      <w:ind w:firstLine="709"/>
      <w:jc w:val="both"/>
    </w:pPr>
    <w:rPr>
      <w:sz w:val="28"/>
      <w:szCs w:val="24"/>
    </w:rPr>
  </w:style>
  <w:style w:type="paragraph" w:styleId="af7">
    <w:name w:val="No Spacing"/>
    <w:qFormat/>
    <w:rPr>
      <w:sz w:val="24"/>
      <w:szCs w:val="24"/>
    </w:rPr>
  </w:style>
  <w:style w:type="paragraph" w:customStyle="1" w:styleId="015">
    <w:name w:val="Стиль Слева:  0 см Выступ:  15 см"/>
    <w:basedOn w:val="a"/>
    <w:pPr>
      <w:widowControl w:val="0"/>
      <w:spacing w:before="120"/>
      <w:ind w:left="851" w:hanging="851"/>
      <w:jc w:val="both"/>
    </w:pPr>
    <w:rPr>
      <w:rFonts w:ascii="Arial" w:hAnsi="Arial"/>
      <w:sz w:val="24"/>
    </w:rPr>
  </w:style>
  <w:style w:type="character" w:customStyle="1" w:styleId="af6">
    <w:name w:val="Подзаголовок Знак"/>
    <w:link w:val="af5"/>
    <w:rPr>
      <w:sz w:val="28"/>
      <w:szCs w:val="24"/>
      <w:lang w:val="ru-RU" w:eastAsia="ru-RU" w:bidi="ar-SA"/>
    </w:rPr>
  </w:style>
  <w:style w:type="table" w:styleId="af8">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header"/>
    <w:basedOn w:val="a"/>
    <w:link w:val="a7"/>
    <w:pPr>
      <w:tabs>
        <w:tab w:val="center" w:pos="4677"/>
        <w:tab w:val="right" w:pos="9355"/>
      </w:tabs>
    </w:pPr>
    <w:rPr>
      <w:sz w:val="24"/>
      <w:szCs w:val="24"/>
      <w:lang w:eastAsia="ar-SA"/>
    </w:rPr>
  </w:style>
  <w:style w:type="character" w:customStyle="1" w:styleId="s0">
    <w:name w:val="s0"/>
    <w:rPr>
      <w:rFonts w:ascii="Times New Roman" w:hAnsi="Times New Roman" w:cs="Times New Roman" w:hint="default"/>
      <w:b w:val="0"/>
      <w:bCs w:val="0"/>
      <w:i w:val="0"/>
      <w:iCs w:val="0"/>
      <w:strike w:val="0"/>
      <w:color w:val="000000"/>
      <w:sz w:val="20"/>
      <w:szCs w:val="20"/>
      <w:u w:val="none"/>
    </w:rPr>
  </w:style>
  <w:style w:type="paragraph" w:customStyle="1" w:styleId="13">
    <w:name w:val="Знак Знак Знак1 Знак"/>
    <w:basedOn w:val="a"/>
    <w:pPr>
      <w:spacing w:after="160" w:line="240" w:lineRule="exact"/>
    </w:pPr>
    <w:rPr>
      <w:sz w:val="28"/>
      <w:lang w:val="en-US" w:eastAsia="en-US"/>
    </w:rPr>
  </w:style>
  <w:style w:type="paragraph" w:customStyle="1" w:styleId="43">
    <w:name w:val="Знак4"/>
    <w:basedOn w:val="a"/>
    <w:pPr>
      <w:spacing w:after="160" w:line="240" w:lineRule="exact"/>
    </w:pPr>
    <w:rPr>
      <w:rFonts w:eastAsia="SimSun"/>
      <w:b/>
      <w:sz w:val="28"/>
      <w:szCs w:val="24"/>
      <w:lang w:val="en-US" w:eastAsia="en-US"/>
    </w:rPr>
  </w:style>
  <w:style w:type="character" w:customStyle="1" w:styleId="s1">
    <w:name w:val="s1"/>
    <w:rPr>
      <w:rFonts w:ascii="Times New Roman" w:hAnsi="Times New Roman" w:cs="Times New Roman" w:hint="default"/>
      <w:b/>
      <w:bCs/>
      <w:i w:val="0"/>
      <w:iCs w:val="0"/>
      <w:strike w:val="0"/>
      <w:color w:val="000000"/>
      <w:sz w:val="20"/>
      <w:szCs w:val="20"/>
      <w:u w:val="none"/>
    </w:rPr>
  </w:style>
  <w:style w:type="paragraph" w:styleId="25">
    <w:name w:val="Body Text Indent 2"/>
    <w:basedOn w:val="a"/>
    <w:pPr>
      <w:spacing w:after="120" w:line="480" w:lineRule="auto"/>
      <w:ind w:left="283"/>
    </w:pPr>
  </w:style>
  <w:style w:type="character" w:styleId="af9">
    <w:name w:val="Hyperlink"/>
    <w:rPr>
      <w:rFonts w:ascii="Times New Roman" w:hAnsi="Times New Roman" w:cs="Times New Roman" w:hint="default"/>
      <w:color w:val="333399"/>
      <w:u w:val="single"/>
    </w:rPr>
  </w:style>
  <w:style w:type="paragraph" w:customStyle="1" w:styleId="afa">
    <w:name w:val="Знак Знак Знак"/>
    <w:basedOn w:val="a"/>
    <w:pPr>
      <w:spacing w:after="160" w:line="240" w:lineRule="exact"/>
    </w:pPr>
    <w:rPr>
      <w:rFonts w:eastAsia="SimSun"/>
      <w:b/>
      <w:sz w:val="28"/>
      <w:szCs w:val="24"/>
      <w:lang w:val="en-US" w:eastAsia="en-US"/>
    </w:rPr>
  </w:style>
  <w:style w:type="paragraph" w:styleId="afb">
    <w:name w:val="List Paragraph"/>
    <w:basedOn w:val="a"/>
    <w:qFormat/>
    <w:pPr>
      <w:spacing w:after="200" w:line="276" w:lineRule="auto"/>
      <w:ind w:left="720"/>
      <w:contextualSpacing/>
    </w:pPr>
    <w:rPr>
      <w:rFonts w:ascii="Calibri" w:eastAsia="Calibri" w:hAnsi="Calibri"/>
      <w:sz w:val="22"/>
      <w:szCs w:val="22"/>
      <w:lang w:eastAsia="en-US"/>
    </w:rPr>
  </w:style>
  <w:style w:type="paragraph" w:styleId="afc">
    <w:name w:val="Normal (Web)"/>
    <w:basedOn w:val="a"/>
    <w:link w:val="afd"/>
    <w:uiPriority w:val="99"/>
    <w:qFormat/>
    <w:pPr>
      <w:spacing w:before="100" w:beforeAutospacing="1" w:after="100" w:afterAutospacing="1"/>
    </w:pPr>
    <w:rPr>
      <w:sz w:val="24"/>
      <w:szCs w:val="24"/>
    </w:rPr>
  </w:style>
  <w:style w:type="character" w:styleId="afe">
    <w:name w:val="page number"/>
    <w:basedOn w:val="a0"/>
  </w:style>
  <w:style w:type="character" w:styleId="aff">
    <w:name w:val="Strong"/>
    <w:qFormat/>
    <w:rPr>
      <w:b/>
      <w:bCs/>
    </w:rPr>
  </w:style>
  <w:style w:type="paragraph" w:styleId="aff0">
    <w:name w:val="footer"/>
    <w:basedOn w:val="a"/>
    <w:link w:val="aff1"/>
    <w:pPr>
      <w:tabs>
        <w:tab w:val="center" w:pos="4677"/>
        <w:tab w:val="right" w:pos="9355"/>
      </w:tabs>
    </w:pPr>
  </w:style>
  <w:style w:type="character" w:customStyle="1" w:styleId="aff1">
    <w:name w:val="Нижний колонтитул Знак"/>
    <w:basedOn w:val="a0"/>
    <w:link w:val="aff0"/>
  </w:style>
  <w:style w:type="paragraph" w:customStyle="1" w:styleId="33">
    <w:name w:val="Знак3"/>
    <w:basedOn w:val="a"/>
    <w:pPr>
      <w:spacing w:after="160" w:line="240" w:lineRule="exact"/>
    </w:pPr>
    <w:rPr>
      <w:rFonts w:eastAsia="SimSun"/>
      <w:b/>
      <w:sz w:val="28"/>
      <w:szCs w:val="24"/>
      <w:lang w:val="en-US" w:eastAsia="en-US"/>
    </w:rPr>
  </w:style>
  <w:style w:type="paragraph" w:customStyle="1" w:styleId="26">
    <w:name w:val="Знак2"/>
    <w:basedOn w:val="a"/>
    <w:pPr>
      <w:spacing w:after="160" w:line="240" w:lineRule="exact"/>
    </w:pPr>
    <w:rPr>
      <w:rFonts w:eastAsia="SimSun"/>
      <w:b/>
      <w:sz w:val="28"/>
      <w:szCs w:val="24"/>
      <w:lang w:val="en-US" w:eastAsia="en-US"/>
    </w:rPr>
  </w:style>
  <w:style w:type="paragraph" w:customStyle="1" w:styleId="14">
    <w:name w:val="Знак1"/>
    <w:basedOn w:val="a"/>
    <w:pPr>
      <w:spacing w:after="160" w:line="240" w:lineRule="exact"/>
    </w:pPr>
    <w:rPr>
      <w:rFonts w:eastAsia="SimSun"/>
      <w:b/>
      <w:sz w:val="28"/>
      <w:szCs w:val="24"/>
      <w:lang w:val="en-US" w:eastAsia="en-US"/>
    </w:rPr>
  </w:style>
  <w:style w:type="character" w:customStyle="1" w:styleId="status1">
    <w:name w:val="status1"/>
    <w:rPr>
      <w:vanish/>
      <w:sz w:val="17"/>
      <w:szCs w:val="17"/>
      <w:shd w:val="clear" w:color="auto" w:fill="DDDDDD"/>
    </w:rPr>
  </w:style>
  <w:style w:type="character" w:customStyle="1" w:styleId="afd">
    <w:name w:val="Обычный (Интернет) Знак"/>
    <w:link w:val="afc"/>
    <w:uiPriority w:val="99"/>
    <w:rPr>
      <w:sz w:val="24"/>
      <w:szCs w:val="24"/>
    </w:rPr>
  </w:style>
  <w:style w:type="character" w:customStyle="1" w:styleId="af4">
    <w:name w:val="Основной текст с отступом Знак"/>
    <w:basedOn w:val="a0"/>
    <w:link w:val="af3"/>
    <w:uiPriority w:val="99"/>
    <w:rPr>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93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zan.kz/rus/docs/V14E00099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64A8888A-013A-42C3-9269-099D9EFDDB3C}"/>
</file>

<file path=docProps/app.xml><?xml version="1.0" encoding="utf-8"?>
<Properties xmlns="http://schemas.openxmlformats.org/officeDocument/2006/extended-properties" xmlns:vt="http://schemas.openxmlformats.org/officeDocument/2006/docPropsVTypes">
  <Template>Normal</Template>
  <TotalTime>46</TotalTime>
  <Pages>1</Pages>
  <Words>5822</Words>
  <Characters>33186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38931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subject/>
  <dc:creator>user</dc:creator>
  <cp:keywords/>
  <dc:description/>
  <cp:lastModifiedBy>Ильязова Танзиля Шаукатовна</cp:lastModifiedBy>
  <cp:revision>23</cp:revision>
  <dcterms:created xsi:type="dcterms:W3CDTF">2026-10-09T07:38:00Z</dcterms:created>
  <dcterms:modified xsi:type="dcterms:W3CDTF">2026-11-02T05:12:00Z</dcterms:modified>
</cp:coreProperties>
</file>