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8E3" w:rsidRPr="00900757" w:rsidRDefault="009838E3" w:rsidP="009838E3">
      <w:pPr>
        <w:pStyle w:val="a5"/>
        <w:jc w:val="center"/>
        <w:rPr>
          <w:rFonts w:ascii="Times New Roman" w:hAnsi="Times New Roman"/>
          <w:b/>
          <w:sz w:val="24"/>
          <w:szCs w:val="24"/>
          <w:lang w:val="en-US"/>
        </w:rPr>
      </w:pPr>
      <w:bookmarkStart w:id="0" w:name="_GoBack"/>
      <w:bookmarkEnd w:id="0"/>
    </w:p>
    <w:p w:rsidR="00825D8B" w:rsidRDefault="00825D8B" w:rsidP="00825D8B">
      <w:pPr>
        <w:pStyle w:val="a5"/>
        <w:jc w:val="center"/>
        <w:rPr>
          <w:rFonts w:ascii="Times New Roman" w:hAnsi="Times New Roman"/>
          <w:b/>
          <w:sz w:val="28"/>
          <w:szCs w:val="28"/>
        </w:rPr>
      </w:pPr>
      <w:r>
        <w:rPr>
          <w:rFonts w:ascii="Times New Roman" w:hAnsi="Times New Roman"/>
          <w:b/>
          <w:sz w:val="28"/>
          <w:szCs w:val="28"/>
        </w:rPr>
        <w:t>Информационное сообщение</w:t>
      </w:r>
    </w:p>
    <w:p w:rsidR="00825D8B" w:rsidRDefault="00825D8B" w:rsidP="00825D8B">
      <w:pPr>
        <w:pStyle w:val="a5"/>
        <w:jc w:val="center"/>
        <w:rPr>
          <w:rFonts w:ascii="Times New Roman" w:hAnsi="Times New Roman"/>
          <w:b/>
          <w:sz w:val="24"/>
          <w:szCs w:val="24"/>
        </w:rPr>
      </w:pPr>
    </w:p>
    <w:p w:rsidR="00825D8B" w:rsidRDefault="00825D8B" w:rsidP="00825D8B">
      <w:pPr>
        <w:pStyle w:val="a5"/>
        <w:jc w:val="center"/>
        <w:rPr>
          <w:rFonts w:ascii="Times New Roman" w:hAnsi="Times New Roman"/>
          <w:b/>
          <w:sz w:val="24"/>
          <w:szCs w:val="24"/>
        </w:rPr>
      </w:pPr>
      <w:r>
        <w:rPr>
          <w:rFonts w:ascii="Times New Roman" w:hAnsi="Times New Roman"/>
          <w:b/>
          <w:color w:val="333333"/>
          <w:sz w:val="24"/>
          <w:szCs w:val="24"/>
          <w:shd w:val="clear" w:color="auto" w:fill="FFFFFF"/>
        </w:rPr>
        <w:t>О необходимости заключения трудовых и гражданско-правовых договоров гражданами при осуществлении трудовой деятельности в странах ЕАЭС</w:t>
      </w:r>
    </w:p>
    <w:p w:rsidR="00825D8B" w:rsidRDefault="00825D8B" w:rsidP="00825D8B">
      <w:pPr>
        <w:spacing w:after="0" w:line="240" w:lineRule="auto"/>
        <w:ind w:firstLine="851"/>
        <w:jc w:val="both"/>
        <w:rPr>
          <w:rFonts w:ascii="Times New Roman" w:hAnsi="Times New Roman"/>
          <w:sz w:val="24"/>
          <w:szCs w:val="24"/>
        </w:rPr>
      </w:pPr>
    </w:p>
    <w:p w:rsidR="00825D8B" w:rsidRDefault="00825D8B" w:rsidP="00825D8B">
      <w:pPr>
        <w:pStyle w:val="a5"/>
        <w:jc w:val="both"/>
        <w:rPr>
          <w:rFonts w:ascii="Times New Roman" w:hAnsi="Times New Roman"/>
          <w:b/>
          <w:sz w:val="24"/>
          <w:szCs w:val="24"/>
        </w:rPr>
      </w:pPr>
      <w:r>
        <w:rPr>
          <w:rFonts w:ascii="Times New Roman" w:hAnsi="Times New Roman"/>
          <w:b/>
          <w:sz w:val="24"/>
          <w:szCs w:val="24"/>
        </w:rPr>
        <w:t>История</w:t>
      </w:r>
    </w:p>
    <w:p w:rsidR="00825D8B" w:rsidRDefault="00825D8B" w:rsidP="00825D8B">
      <w:pPr>
        <w:pStyle w:val="af5"/>
        <w:jc w:val="both"/>
        <w:rPr>
          <w:rFonts w:ascii="Times New Roman" w:hAnsi="Times New Roman"/>
          <w:sz w:val="24"/>
          <w:szCs w:val="24"/>
        </w:rPr>
      </w:pPr>
      <w:r>
        <w:rPr>
          <w:rFonts w:ascii="Times New Roman" w:hAnsi="Times New Roman"/>
          <w:sz w:val="24"/>
          <w:szCs w:val="24"/>
        </w:rPr>
        <w:t xml:space="preserve">           С 01.01.2021г. вступило в </w:t>
      </w:r>
      <w:r>
        <w:rPr>
          <w:rFonts w:ascii="Times New Roman" w:eastAsia="Calibri" w:hAnsi="Times New Roman" w:cs="Times New Roman"/>
          <w:sz w:val="24"/>
          <w:szCs w:val="24"/>
        </w:rPr>
        <w:t xml:space="preserve">силу Соглашение о пенсионном обеспечении трудящихся государств-членов Евразийского экономического союза от 20.12.2019г. (далее – Соглашение), в соответствии с которым </w:t>
      </w:r>
      <w:r>
        <w:rPr>
          <w:rFonts w:ascii="Times New Roman" w:hAnsi="Times New Roman"/>
          <w:sz w:val="24"/>
          <w:szCs w:val="24"/>
        </w:rPr>
        <w:t xml:space="preserve">граждане государств-членов ЕАЭС, осуществляющие трудовую деятельность в странах ЕАЭС, формируют, сохраняют и реализовывают свои пенсионные права наравне с гражданами страны ЕАЭС, в которой они трудоустраиваются. Каждое государство-член ЕАЭС назначает пенсию по своему законодательству за стаж работы, приобретенный трудящимся на его территории после 01.01.2021 г. </w:t>
      </w:r>
    </w:p>
    <w:p w:rsidR="00825D8B" w:rsidRDefault="00825D8B" w:rsidP="00825D8B">
      <w:pPr>
        <w:spacing w:after="0" w:line="240" w:lineRule="auto"/>
        <w:ind w:firstLine="709"/>
        <w:jc w:val="both"/>
        <w:rPr>
          <w:rFonts w:ascii="Times New Roman" w:hAnsi="Times New Roman"/>
          <w:sz w:val="24"/>
          <w:szCs w:val="24"/>
        </w:rPr>
      </w:pPr>
      <w:r>
        <w:rPr>
          <w:rFonts w:ascii="Times New Roman" w:eastAsia="Times New Roman" w:hAnsi="Times New Roman"/>
          <w:sz w:val="24"/>
          <w:szCs w:val="24"/>
          <w:lang w:eastAsia="ru-RU"/>
        </w:rPr>
        <w:t>Напомним, что</w:t>
      </w:r>
      <w:r>
        <w:rPr>
          <w:rFonts w:ascii="Times New Roman" w:hAnsi="Times New Roman"/>
          <w:sz w:val="24"/>
          <w:szCs w:val="24"/>
        </w:rPr>
        <w:t xml:space="preserve"> на сегодняшний день</w:t>
      </w:r>
      <w:r>
        <w:rPr>
          <w:rFonts w:ascii="Times New Roman" w:eastAsia="Times New Roman" w:hAnsi="Times New Roman"/>
          <w:sz w:val="24"/>
          <w:szCs w:val="24"/>
          <w:lang w:eastAsia="ru-RU"/>
        </w:rPr>
        <w:t xml:space="preserve"> в состав ЕАЭС входят Республика Армения, Республика Беларусь, Республика Казахстан, Кыргызская Республика и Российская Федерация.</w:t>
      </w:r>
      <w:r>
        <w:rPr>
          <w:rFonts w:ascii="Times New Roman" w:hAnsi="Times New Roman"/>
          <w:sz w:val="24"/>
          <w:szCs w:val="24"/>
        </w:rPr>
        <w:t xml:space="preserve"> </w:t>
      </w:r>
    </w:p>
    <w:p w:rsidR="00825D8B" w:rsidRDefault="00825D8B" w:rsidP="00825D8B">
      <w:pPr>
        <w:spacing w:after="0" w:line="240" w:lineRule="auto"/>
        <w:ind w:firstLine="709"/>
        <w:jc w:val="both"/>
        <w:rPr>
          <w:rFonts w:ascii="Times New Roman" w:hAnsi="Times New Roman"/>
          <w:sz w:val="24"/>
          <w:szCs w:val="24"/>
        </w:rPr>
      </w:pPr>
    </w:p>
    <w:p w:rsidR="00825D8B" w:rsidRDefault="00825D8B" w:rsidP="00825D8B">
      <w:pPr>
        <w:spacing w:after="0" w:line="240" w:lineRule="auto"/>
        <w:contextualSpacing/>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О необходимости заключения трудовых договоров </w:t>
      </w:r>
    </w:p>
    <w:p w:rsidR="00825D8B" w:rsidRDefault="00825D8B" w:rsidP="00825D8B">
      <w:pPr>
        <w:spacing w:after="0" w:line="240" w:lineRule="auto"/>
        <w:ind w:firstLine="709"/>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Свободное перемещение рабочей силы на территориях стран ЕАЭС является одним из ключевых преимуществ ЕАЭС. Граждане этих стран вправе осуществлять трудовую деятельность на территории других государств ЕАЭС без получения разрешения на работу или патента. Любой гражданин ЕАЭС, работающий в другом государстве ЕАЭС, также имеет право пользоваться теми же трудовыми гарантиями, что и граждане государства трудоустройства. </w:t>
      </w:r>
    </w:p>
    <w:p w:rsidR="00825D8B" w:rsidRDefault="00825D8B" w:rsidP="00825D8B">
      <w:pPr>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Однако отсутствие необходимости оформлять разрешительные документы не означает, что трудовые отношения можно оставлять без должного внимания. Для реализации своих прав необходимо иметь доказательства существования трудовых отношений. Основным таким доказательством является трудовой договор или договор гражданско-правового характера об оказании услуг, заключенный с работодателем. Устные договорённости не обеспечивают работнику достаточной правовой защиты. Работодатель может изменить условия работы, задержать выплату заработной платы или заявить, что гражданин выполнял разовые поручения, а не работал по трудовому договору. В свою очередь, письменный договор позволяет установить - кто является работодателем, какую работу выполнял гражданин, сколько ему должны были платить и какие обязанности приняли на себя стороны. Также</w:t>
      </w:r>
      <w:r>
        <w:rPr>
          <w:rFonts w:ascii="Times New Roman" w:hAnsi="Times New Roman"/>
          <w:sz w:val="28"/>
          <w:szCs w:val="28"/>
        </w:rPr>
        <w:t xml:space="preserve"> </w:t>
      </w:r>
      <w:r>
        <w:rPr>
          <w:rFonts w:ascii="Times New Roman" w:hAnsi="Times New Roman"/>
          <w:sz w:val="24"/>
          <w:szCs w:val="24"/>
        </w:rPr>
        <w:t>работодатели будут обязаны осуществлять пенсионные (страховые) взносы в пенсионную систему государства-трудоустройства за официально трудоустроенных работников в порядке и сроки, установленные законодательством данной страны.</w:t>
      </w:r>
      <w:r>
        <w:rPr>
          <w:rFonts w:ascii="Times New Roman" w:hAnsi="Times New Roman"/>
          <w:sz w:val="28"/>
          <w:szCs w:val="28"/>
        </w:rPr>
        <w:t xml:space="preserve"> </w:t>
      </w:r>
      <w:r>
        <w:rPr>
          <w:rFonts w:ascii="Times New Roman" w:eastAsia="Times New Roman" w:hAnsi="Times New Roman"/>
          <w:sz w:val="24"/>
          <w:szCs w:val="24"/>
          <w:lang w:eastAsia="ru-RU"/>
        </w:rPr>
        <w:t xml:space="preserve"> </w:t>
      </w:r>
    </w:p>
    <w:p w:rsidR="00825D8B" w:rsidRDefault="00825D8B" w:rsidP="00825D8B">
      <w:pPr>
        <w:spacing w:after="0" w:line="240" w:lineRule="auto"/>
        <w:ind w:firstLine="709"/>
        <w:contextualSpacing/>
        <w:jc w:val="both"/>
        <w:rPr>
          <w:rFonts w:ascii="Times New Roman" w:hAnsi="Times New Roman"/>
          <w:sz w:val="24"/>
          <w:szCs w:val="24"/>
        </w:rPr>
      </w:pPr>
      <w:r>
        <w:rPr>
          <w:rFonts w:ascii="Times New Roman" w:eastAsia="Times New Roman" w:hAnsi="Times New Roman"/>
          <w:sz w:val="24"/>
          <w:szCs w:val="24"/>
          <w:lang w:eastAsia="ru-RU"/>
        </w:rPr>
        <w:t xml:space="preserve">Вместе с тем, работник должен заранее уточнить порядок оформления трудовых отношений в конкретной стране так как правила заключения договора, его форма и порядок уведомления государственных органов могут различаться. </w:t>
      </w:r>
    </w:p>
    <w:p w:rsidR="00825D8B" w:rsidRDefault="00825D8B" w:rsidP="00825D8B">
      <w:pPr>
        <w:pStyle w:val="a5"/>
        <w:jc w:val="both"/>
        <w:rPr>
          <w:rFonts w:ascii="Times New Roman" w:hAnsi="Times New Roman"/>
          <w:b/>
          <w:sz w:val="24"/>
          <w:szCs w:val="24"/>
        </w:rPr>
      </w:pPr>
    </w:p>
    <w:p w:rsidR="00825D8B" w:rsidRDefault="00825D8B" w:rsidP="00825D8B">
      <w:pPr>
        <w:pStyle w:val="a5"/>
        <w:jc w:val="both"/>
        <w:rPr>
          <w:rFonts w:ascii="Times New Roman" w:hAnsi="Times New Roman"/>
          <w:b/>
          <w:sz w:val="24"/>
          <w:szCs w:val="24"/>
        </w:rPr>
      </w:pPr>
    </w:p>
    <w:p w:rsidR="00825D8B" w:rsidRDefault="00825D8B" w:rsidP="00825D8B">
      <w:pPr>
        <w:spacing w:after="0" w:line="240" w:lineRule="auto"/>
        <w:jc w:val="both"/>
        <w:rPr>
          <w:rFonts w:ascii="Times New Roman" w:hAnsi="Times New Roman"/>
          <w:b/>
          <w:sz w:val="24"/>
          <w:szCs w:val="24"/>
        </w:rPr>
      </w:pPr>
      <w:r>
        <w:rPr>
          <w:rFonts w:ascii="Times New Roman" w:hAnsi="Times New Roman"/>
          <w:b/>
          <w:sz w:val="24"/>
          <w:szCs w:val="24"/>
        </w:rPr>
        <w:t>Реализация Соглашения в Казахстане</w:t>
      </w:r>
    </w:p>
    <w:p w:rsidR="00825D8B" w:rsidRDefault="00825D8B" w:rsidP="00825D8B">
      <w:pPr>
        <w:spacing w:after="0" w:line="240" w:lineRule="auto"/>
        <w:ind w:firstLine="709"/>
        <w:jc w:val="both"/>
        <w:rPr>
          <w:rFonts w:ascii="Times New Roman" w:hAnsi="Times New Roman"/>
          <w:sz w:val="24"/>
          <w:szCs w:val="24"/>
        </w:rPr>
      </w:pPr>
      <w:r>
        <w:rPr>
          <w:rFonts w:ascii="Times New Roman" w:hAnsi="Times New Roman"/>
          <w:sz w:val="24"/>
          <w:szCs w:val="24"/>
        </w:rPr>
        <w:t>В Республике Казахстан Соглашение распространяется на пенсионные выплаты из ЕНПФ за счет сформированных пенсионных взносов при достижении пенсионного возраста или при установлении инвалидности 1,2 групп бессрочно.</w:t>
      </w:r>
    </w:p>
    <w:p w:rsidR="00825D8B" w:rsidRDefault="00825D8B" w:rsidP="00825D8B">
      <w:pPr>
        <w:spacing w:after="0" w:line="240" w:lineRule="auto"/>
        <w:ind w:firstLine="709"/>
        <w:jc w:val="both"/>
        <w:rPr>
          <w:rFonts w:ascii="Times New Roman" w:hAnsi="Times New Roman"/>
          <w:sz w:val="24"/>
          <w:szCs w:val="24"/>
        </w:rPr>
      </w:pPr>
      <w:r>
        <w:rPr>
          <w:rFonts w:ascii="Times New Roman" w:hAnsi="Times New Roman"/>
          <w:sz w:val="24"/>
          <w:szCs w:val="24"/>
        </w:rPr>
        <w:t xml:space="preserve"> В случае если гражданин Республики Казахстан осуществлял трудовую деятельность (например, 3-5 лет) на территории государства-члена ЕАЭС после вступления в силу Соглашения, то при возникновении права на пенсию по условиям пенсионного законодательства государства трудоустройства (достижение пенсионного возраста, наличие определённого трудового стажа), страна, в которой трудился мигрант, назначит пенсию за отработанный трудовой стаж именно в </w:t>
      </w:r>
      <w:r>
        <w:rPr>
          <w:rFonts w:ascii="Times New Roman" w:hAnsi="Times New Roman"/>
          <w:sz w:val="24"/>
          <w:szCs w:val="24"/>
        </w:rPr>
        <w:lastRenderedPageBreak/>
        <w:t>этой стране. При этом гражданин Республики Казахстан вправе подать заявление с документами на назначение и выплату пенсии в компетентный орган государства-члена ЕАЭС или в ЕНПФ, как</w:t>
      </w:r>
      <w:r>
        <w:rPr>
          <w:rFonts w:ascii="Times New Roman" w:eastAsiaTheme="minorHAnsi" w:hAnsi="Times New Roman"/>
          <w:color w:val="000000"/>
          <w:sz w:val="24"/>
          <w:szCs w:val="24"/>
          <w:shd w:val="clear" w:color="auto" w:fill="FFFFFF"/>
        </w:rPr>
        <w:t xml:space="preserve"> </w:t>
      </w:r>
      <w:r>
        <w:rPr>
          <w:rFonts w:ascii="Times New Roman" w:eastAsiaTheme="minorHAnsi" w:hAnsi="Times New Roman"/>
          <w:bCs/>
          <w:color w:val="000000"/>
          <w:sz w:val="24"/>
          <w:szCs w:val="24"/>
          <w:shd w:val="clear" w:color="auto" w:fill="FFFFFF"/>
        </w:rPr>
        <w:t>компетентному органу в Республике Казахстан.</w:t>
      </w:r>
    </w:p>
    <w:p w:rsidR="00825D8B" w:rsidRDefault="00825D8B" w:rsidP="00825D8B">
      <w:pPr>
        <w:spacing w:after="0" w:line="240" w:lineRule="auto"/>
        <w:ind w:firstLine="709"/>
        <w:jc w:val="both"/>
        <w:rPr>
          <w:rFonts w:ascii="Times New Roman" w:hAnsi="Times New Roman"/>
          <w:sz w:val="24"/>
          <w:szCs w:val="24"/>
        </w:rPr>
      </w:pPr>
      <w:r>
        <w:rPr>
          <w:rFonts w:ascii="Times New Roman" w:hAnsi="Times New Roman"/>
          <w:sz w:val="24"/>
          <w:szCs w:val="24"/>
        </w:rPr>
        <w:t>Перечень документов для назначения и выплаты пенсии трудящемуся регулируется национальным законодательством каждого государства-члена ЕАЭС.</w:t>
      </w:r>
    </w:p>
    <w:p w:rsidR="00825D8B" w:rsidRDefault="00825D8B" w:rsidP="00825D8B">
      <w:pPr>
        <w:spacing w:after="0" w:line="240" w:lineRule="auto"/>
        <w:ind w:firstLine="709"/>
        <w:rPr>
          <w:rFonts w:ascii="Times New Roman" w:hAnsi="Times New Roman"/>
          <w:sz w:val="24"/>
          <w:szCs w:val="24"/>
        </w:rPr>
      </w:pPr>
    </w:p>
    <w:p w:rsidR="00825D8B" w:rsidRDefault="00825D8B" w:rsidP="00825D8B">
      <w:pPr>
        <w:spacing w:after="0" w:line="240" w:lineRule="auto"/>
        <w:rPr>
          <w:rFonts w:ascii="Times New Roman" w:hAnsi="Times New Roman"/>
          <w:b/>
          <w:sz w:val="24"/>
          <w:szCs w:val="24"/>
        </w:rPr>
      </w:pPr>
      <w:r>
        <w:rPr>
          <w:rFonts w:ascii="Times New Roman" w:hAnsi="Times New Roman"/>
          <w:b/>
          <w:sz w:val="24"/>
          <w:szCs w:val="24"/>
        </w:rPr>
        <w:t>Компетентные органы</w:t>
      </w:r>
    </w:p>
    <w:p w:rsidR="00825D8B" w:rsidRDefault="00825D8B" w:rsidP="00825D8B">
      <w:pPr>
        <w:spacing w:after="0" w:line="240" w:lineRule="auto"/>
        <w:ind w:firstLine="709"/>
        <w:jc w:val="both"/>
        <w:rPr>
          <w:rFonts w:ascii="Times New Roman" w:hAnsi="Times New Roman"/>
          <w:sz w:val="24"/>
          <w:szCs w:val="24"/>
        </w:rPr>
      </w:pPr>
      <w:r>
        <w:rPr>
          <w:rFonts w:ascii="Times New Roman" w:hAnsi="Times New Roman"/>
          <w:sz w:val="24"/>
          <w:szCs w:val="24"/>
        </w:rPr>
        <w:t xml:space="preserve">Компетентными органами в Республике Казахстан по подтверждению трудового стажа трудящихся государств-членов ЕАЭС являются АО «ЕНПФ», Комитет регулирования и контроля в сфере социальной защиты населения Министерства труда и социальной защиты населения Республики Казахстан и их территориальные подразделения. </w:t>
      </w:r>
    </w:p>
    <w:p w:rsidR="00825D8B" w:rsidRDefault="00825D8B" w:rsidP="00825D8B">
      <w:pPr>
        <w:spacing w:after="0" w:line="240" w:lineRule="auto"/>
        <w:ind w:firstLine="709"/>
        <w:jc w:val="both"/>
        <w:rPr>
          <w:rFonts w:ascii="Times New Roman" w:hAnsi="Times New Roman"/>
          <w:sz w:val="24"/>
          <w:szCs w:val="24"/>
        </w:rPr>
      </w:pPr>
      <w:r>
        <w:rPr>
          <w:rFonts w:ascii="Times New Roman" w:hAnsi="Times New Roman"/>
          <w:sz w:val="24"/>
          <w:szCs w:val="24"/>
        </w:rPr>
        <w:t xml:space="preserve">ЕНПФ предоставляет сведения о стаже работы </w:t>
      </w:r>
      <w:r>
        <w:rPr>
          <w:rFonts w:ascii="Times New Roman" w:eastAsia="Times New Roman" w:hAnsi="Times New Roman"/>
          <w:b/>
          <w:sz w:val="24"/>
          <w:szCs w:val="24"/>
          <w:lang w:eastAsia="ru-RU"/>
        </w:rPr>
        <w:t>с 1 января 1998 года</w:t>
      </w:r>
      <w:r>
        <w:rPr>
          <w:rFonts w:ascii="Times New Roman" w:eastAsia="Times New Roman" w:hAnsi="Times New Roman"/>
          <w:sz w:val="28"/>
          <w:szCs w:val="28"/>
          <w:lang w:eastAsia="ru-RU"/>
        </w:rPr>
        <w:t xml:space="preserve"> </w:t>
      </w:r>
      <w:r>
        <w:rPr>
          <w:rFonts w:ascii="Times New Roman" w:eastAsia="Times New Roman" w:hAnsi="Times New Roman"/>
          <w:sz w:val="24"/>
          <w:szCs w:val="24"/>
          <w:lang w:eastAsia="ru-RU"/>
        </w:rPr>
        <w:t xml:space="preserve">на основании данных об уплате обязательных пенсионных взносов, имеющихся в цифровой системе. </w:t>
      </w:r>
    </w:p>
    <w:p w:rsidR="00825D8B" w:rsidRDefault="00825D8B" w:rsidP="00825D8B">
      <w:pPr>
        <w:spacing w:after="0" w:line="240" w:lineRule="auto"/>
        <w:jc w:val="both"/>
        <w:rPr>
          <w:rFonts w:ascii="Times New Roman" w:eastAsiaTheme="minorHAnsi" w:hAnsi="Times New Roman"/>
          <w:color w:val="000000"/>
          <w:sz w:val="24"/>
          <w:szCs w:val="24"/>
          <w:shd w:val="clear" w:color="auto" w:fill="FFFFFF"/>
        </w:rPr>
      </w:pPr>
      <w:r>
        <w:rPr>
          <w:rFonts w:ascii="Times New Roman" w:eastAsiaTheme="minorHAnsi" w:hAnsi="Times New Roman"/>
          <w:bCs/>
          <w:color w:val="000000"/>
          <w:sz w:val="24"/>
          <w:szCs w:val="24"/>
          <w:shd w:val="clear" w:color="auto" w:fill="FFFFFF"/>
        </w:rPr>
        <w:t xml:space="preserve">           Также в ЕНПФ исполняет функции по</w:t>
      </w:r>
      <w:r>
        <w:rPr>
          <w:rFonts w:ascii="Times New Roman" w:eastAsiaTheme="minorHAnsi" w:hAnsi="Times New Roman"/>
          <w:color w:val="000000"/>
          <w:sz w:val="24"/>
          <w:szCs w:val="24"/>
          <w:shd w:val="clear" w:color="auto" w:fill="FFFFFF"/>
        </w:rPr>
        <w:t>:</w:t>
      </w:r>
    </w:p>
    <w:p w:rsidR="00825D8B" w:rsidRDefault="00825D8B" w:rsidP="00825D8B">
      <w:pPr>
        <w:numPr>
          <w:ilvl w:val="0"/>
          <w:numId w:val="27"/>
        </w:numPr>
        <w:spacing w:after="0" w:line="240" w:lineRule="auto"/>
        <w:contextualSpacing/>
        <w:jc w:val="both"/>
        <w:rPr>
          <w:rFonts w:ascii="Times New Roman" w:eastAsiaTheme="minorHAnsi" w:hAnsi="Times New Roman"/>
          <w:color w:val="000000"/>
          <w:sz w:val="24"/>
          <w:szCs w:val="24"/>
          <w:shd w:val="clear" w:color="auto" w:fill="FFFFFF"/>
        </w:rPr>
      </w:pPr>
      <w:r>
        <w:rPr>
          <w:rFonts w:ascii="Times New Roman" w:eastAsiaTheme="minorHAnsi" w:hAnsi="Times New Roman"/>
          <w:color w:val="000000"/>
          <w:sz w:val="24"/>
          <w:szCs w:val="24"/>
          <w:shd w:val="clear" w:color="auto" w:fill="FFFFFF"/>
          <w:lang w:val="kk-KZ"/>
        </w:rPr>
        <w:t xml:space="preserve">приему </w:t>
      </w:r>
      <w:r>
        <w:rPr>
          <w:rFonts w:ascii="Times New Roman" w:eastAsiaTheme="minorHAnsi" w:hAnsi="Times New Roman"/>
          <w:color w:val="000000"/>
          <w:sz w:val="24"/>
          <w:szCs w:val="24"/>
          <w:shd w:val="clear" w:color="auto" w:fill="FFFFFF"/>
        </w:rPr>
        <w:t xml:space="preserve">документов </w:t>
      </w:r>
      <w:r>
        <w:rPr>
          <w:rFonts w:ascii="Times New Roman" w:hAnsi="Times New Roman"/>
          <w:bCs/>
          <w:sz w:val="24"/>
          <w:szCs w:val="24"/>
        </w:rPr>
        <w:t>по назначению и выплате пенсии трудящимся в рамках Соглашения</w:t>
      </w:r>
      <w:r>
        <w:rPr>
          <w:rFonts w:ascii="Times New Roman" w:eastAsiaTheme="minorHAnsi" w:hAnsi="Times New Roman"/>
          <w:color w:val="000000"/>
          <w:sz w:val="24"/>
          <w:szCs w:val="24"/>
          <w:shd w:val="clear" w:color="auto" w:fill="FFFFFF"/>
        </w:rPr>
        <w:t xml:space="preserve">; </w:t>
      </w:r>
    </w:p>
    <w:p w:rsidR="00825D8B" w:rsidRDefault="00825D8B" w:rsidP="00825D8B">
      <w:pPr>
        <w:numPr>
          <w:ilvl w:val="0"/>
          <w:numId w:val="27"/>
        </w:numPr>
        <w:spacing w:after="0" w:line="240" w:lineRule="auto"/>
        <w:contextualSpacing/>
        <w:jc w:val="both"/>
        <w:rPr>
          <w:rFonts w:ascii="Times New Roman" w:eastAsiaTheme="minorHAnsi" w:hAnsi="Times New Roman"/>
          <w:color w:val="000000"/>
          <w:sz w:val="24"/>
          <w:szCs w:val="24"/>
          <w:shd w:val="clear" w:color="auto" w:fill="FFFFFF"/>
        </w:rPr>
      </w:pPr>
      <w:r>
        <w:rPr>
          <w:rFonts w:ascii="Times New Roman" w:hAnsi="Times New Roman"/>
          <w:bCs/>
          <w:sz w:val="24"/>
          <w:szCs w:val="24"/>
        </w:rPr>
        <w:t>и</w:t>
      </w:r>
      <w:r>
        <w:rPr>
          <w:rFonts w:ascii="Times New Roman" w:eastAsia="TimesNewRomanPSMT" w:hAnsi="Times New Roman"/>
          <w:sz w:val="24"/>
          <w:szCs w:val="24"/>
        </w:rPr>
        <w:t>х рассмотрению и</w:t>
      </w:r>
      <w:r>
        <w:rPr>
          <w:rFonts w:ascii="Times New Roman" w:eastAsiaTheme="minorHAnsi" w:hAnsi="Times New Roman"/>
          <w:color w:val="000000"/>
          <w:sz w:val="24"/>
          <w:szCs w:val="24"/>
          <w:shd w:val="clear" w:color="auto" w:fill="FFFFFF"/>
        </w:rPr>
        <w:t xml:space="preserve"> принятию решений о назначении/об отказе в назначении пенсии, </w:t>
      </w:r>
    </w:p>
    <w:p w:rsidR="00825D8B" w:rsidRDefault="00825D8B" w:rsidP="00825D8B">
      <w:pPr>
        <w:numPr>
          <w:ilvl w:val="0"/>
          <w:numId w:val="27"/>
        </w:numPr>
        <w:spacing w:after="0" w:line="240" w:lineRule="auto"/>
        <w:contextualSpacing/>
        <w:jc w:val="both"/>
        <w:rPr>
          <w:rFonts w:ascii="Times New Roman" w:hAnsi="Times New Roman"/>
          <w:bCs/>
          <w:sz w:val="24"/>
          <w:szCs w:val="24"/>
        </w:rPr>
      </w:pPr>
      <w:r>
        <w:rPr>
          <w:rFonts w:ascii="Times New Roman" w:eastAsiaTheme="minorHAnsi" w:hAnsi="Times New Roman"/>
          <w:color w:val="000000"/>
          <w:sz w:val="24"/>
          <w:szCs w:val="24"/>
          <w:shd w:val="clear" w:color="auto" w:fill="FFFFFF"/>
        </w:rPr>
        <w:t xml:space="preserve">доставке пенсий, </w:t>
      </w:r>
      <w:r>
        <w:rPr>
          <w:rFonts w:ascii="Times New Roman" w:hAnsi="Times New Roman"/>
          <w:bCs/>
          <w:sz w:val="24"/>
          <w:szCs w:val="24"/>
        </w:rPr>
        <w:t>назначенных компетентными -органами государств-членов ЕАЭС.</w:t>
      </w:r>
    </w:p>
    <w:p w:rsidR="00825D8B" w:rsidRDefault="00825D8B" w:rsidP="00825D8B">
      <w:pPr>
        <w:spacing w:after="0" w:line="240" w:lineRule="auto"/>
        <w:ind w:left="360"/>
        <w:jc w:val="both"/>
        <w:rPr>
          <w:rFonts w:ascii="Times New Roman" w:eastAsiaTheme="minorHAnsi" w:hAnsi="Times New Roman"/>
          <w:color w:val="000000"/>
          <w:sz w:val="24"/>
          <w:szCs w:val="24"/>
          <w:shd w:val="clear" w:color="auto" w:fill="FFFFFF"/>
        </w:rPr>
      </w:pPr>
      <w:r>
        <w:rPr>
          <w:rFonts w:ascii="Times New Roman" w:eastAsiaTheme="minorHAnsi" w:hAnsi="Times New Roman"/>
          <w:color w:val="000000"/>
          <w:sz w:val="24"/>
          <w:szCs w:val="24"/>
          <w:shd w:val="clear" w:color="auto" w:fill="FFFFFF"/>
          <w:lang w:val="kk-KZ"/>
        </w:rPr>
        <w:t xml:space="preserve">Подробная информация на сайте </w:t>
      </w:r>
      <w:r>
        <w:rPr>
          <w:rFonts w:ascii="Times New Roman" w:eastAsiaTheme="minorHAnsi" w:hAnsi="Times New Roman"/>
          <w:color w:val="000000"/>
          <w:sz w:val="24"/>
          <w:szCs w:val="24"/>
          <w:shd w:val="clear" w:color="auto" w:fill="FFFFFF"/>
          <w:lang w:val="en-US"/>
        </w:rPr>
        <w:t>enpf</w:t>
      </w:r>
      <w:r>
        <w:rPr>
          <w:rFonts w:ascii="Times New Roman" w:eastAsiaTheme="minorHAnsi" w:hAnsi="Times New Roman"/>
          <w:color w:val="000000"/>
          <w:sz w:val="24"/>
          <w:szCs w:val="24"/>
          <w:shd w:val="clear" w:color="auto" w:fill="FFFFFF"/>
        </w:rPr>
        <w:t>.</w:t>
      </w:r>
      <w:r>
        <w:rPr>
          <w:rFonts w:ascii="Times New Roman" w:eastAsiaTheme="minorHAnsi" w:hAnsi="Times New Roman"/>
          <w:color w:val="000000"/>
          <w:sz w:val="24"/>
          <w:szCs w:val="24"/>
          <w:shd w:val="clear" w:color="auto" w:fill="FFFFFF"/>
          <w:lang w:val="en-US"/>
        </w:rPr>
        <w:t>kz</w:t>
      </w:r>
      <w:r>
        <w:rPr>
          <w:rFonts w:ascii="Times New Roman" w:eastAsiaTheme="minorHAnsi" w:hAnsi="Times New Roman"/>
          <w:color w:val="000000"/>
          <w:sz w:val="24"/>
          <w:szCs w:val="24"/>
          <w:shd w:val="clear" w:color="auto" w:fill="FFFFFF"/>
        </w:rPr>
        <w:t xml:space="preserve">  в разделе «Услуги»</w:t>
      </w:r>
    </w:p>
    <w:p w:rsidR="00825D8B" w:rsidRDefault="00825D8B" w:rsidP="00825D8B">
      <w:pPr>
        <w:spacing w:after="0" w:line="240" w:lineRule="auto"/>
        <w:ind w:firstLine="708"/>
        <w:contextualSpacing/>
        <w:jc w:val="both"/>
        <w:rPr>
          <w:rFonts w:ascii="Times New Roman" w:eastAsiaTheme="minorHAnsi" w:hAnsi="Times New Roman"/>
          <w:color w:val="000000"/>
          <w:sz w:val="24"/>
          <w:szCs w:val="24"/>
          <w:shd w:val="clear" w:color="auto" w:fill="FFFFFF"/>
        </w:rPr>
      </w:pPr>
      <w:r>
        <w:rPr>
          <w:rFonts w:ascii="Times New Roman" w:eastAsiaTheme="minorHAnsi" w:hAnsi="Times New Roman"/>
          <w:color w:val="000000"/>
          <w:sz w:val="24"/>
          <w:szCs w:val="24"/>
          <w:shd w:val="clear" w:color="auto" w:fill="FFFFFF"/>
        </w:rPr>
        <w:t xml:space="preserve">Для подтверждения </w:t>
      </w:r>
      <w:r>
        <w:rPr>
          <w:rFonts w:ascii="Times New Roman" w:eastAsiaTheme="minorHAnsi" w:hAnsi="Times New Roman"/>
          <w:b/>
          <w:color w:val="000000"/>
          <w:sz w:val="24"/>
          <w:szCs w:val="24"/>
          <w:shd w:val="clear" w:color="auto" w:fill="FFFFFF"/>
        </w:rPr>
        <w:t>стажа до 1998</w:t>
      </w:r>
      <w:r>
        <w:rPr>
          <w:rFonts w:ascii="Times New Roman" w:eastAsiaTheme="minorHAnsi" w:hAnsi="Times New Roman"/>
          <w:color w:val="000000"/>
          <w:sz w:val="24"/>
          <w:szCs w:val="24"/>
          <w:shd w:val="clear" w:color="auto" w:fill="FFFFFF"/>
        </w:rPr>
        <w:t xml:space="preserve"> года необходимо обращаться в территориальные подразделения Комитета </w:t>
      </w:r>
      <w:r>
        <w:rPr>
          <w:rFonts w:ascii="Times New Roman" w:hAnsi="Times New Roman"/>
          <w:sz w:val="24"/>
          <w:szCs w:val="24"/>
        </w:rPr>
        <w:t>регулирования и контроля в сфере</w:t>
      </w:r>
      <w:r>
        <w:rPr>
          <w:rFonts w:ascii="Times New Roman" w:eastAsiaTheme="minorHAnsi" w:hAnsi="Times New Roman"/>
          <w:color w:val="000000"/>
          <w:sz w:val="24"/>
          <w:szCs w:val="24"/>
          <w:shd w:val="clear" w:color="auto" w:fill="FFFFFF"/>
        </w:rPr>
        <w:t xml:space="preserve"> социальной защиты населения Министерства труда и социальной защиты населения РК.</w:t>
      </w:r>
    </w:p>
    <w:p w:rsidR="00825D8B" w:rsidRDefault="00825D8B" w:rsidP="00825D8B">
      <w:pPr>
        <w:tabs>
          <w:tab w:val="left" w:pos="1418"/>
        </w:tabs>
        <w:autoSpaceDE w:val="0"/>
        <w:autoSpaceDN w:val="0"/>
        <w:adjustRightInd w:val="0"/>
        <w:spacing w:after="0" w:line="240" w:lineRule="auto"/>
        <w:ind w:firstLine="851"/>
        <w:jc w:val="both"/>
        <w:rPr>
          <w:rFonts w:ascii="Times New Roman" w:hAnsi="Times New Roman"/>
          <w:sz w:val="28"/>
          <w:szCs w:val="28"/>
        </w:rPr>
      </w:pPr>
    </w:p>
    <w:p w:rsidR="00825D8B" w:rsidRDefault="00825D8B" w:rsidP="00825D8B">
      <w:pPr>
        <w:tabs>
          <w:tab w:val="left" w:pos="1418"/>
        </w:tabs>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Соглашение в цифрах</w:t>
      </w:r>
    </w:p>
    <w:p w:rsidR="00825D8B" w:rsidRDefault="00825D8B" w:rsidP="00825D8B">
      <w:pPr>
        <w:tabs>
          <w:tab w:val="left" w:pos="1418"/>
        </w:tabs>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За период действия Соглашения (с 01.01.2021г. по 30.09.2026 г.):</w:t>
      </w:r>
    </w:p>
    <w:p w:rsidR="00825D8B" w:rsidRDefault="00825D8B" w:rsidP="00825D8B">
      <w:pPr>
        <w:pStyle w:val="af7"/>
        <w:widowControl w:val="0"/>
        <w:numPr>
          <w:ilvl w:val="0"/>
          <w:numId w:val="28"/>
        </w:numPr>
        <w:tabs>
          <w:tab w:val="left" w:pos="1418"/>
        </w:tabs>
        <w:autoSpaceDE w:val="0"/>
        <w:autoSpaceDN w:val="0"/>
        <w:adjustRightInd w:val="0"/>
        <w:ind w:left="0" w:firstLine="851"/>
        <w:jc w:val="both"/>
        <w:rPr>
          <w:color w:val="auto"/>
        </w:rPr>
      </w:pPr>
      <w:r>
        <w:t>ЕНПФ были назначены пенсионные выплаты 374 гражданам государств-членов ЕАЭС, в том числе:</w:t>
      </w:r>
    </w:p>
    <w:p w:rsidR="00825D8B" w:rsidRDefault="00825D8B" w:rsidP="00825D8B">
      <w:pPr>
        <w:tabs>
          <w:tab w:val="left" w:pos="1418"/>
          <w:tab w:val="left" w:pos="5420"/>
        </w:tabs>
        <w:spacing w:after="0" w:line="240" w:lineRule="auto"/>
        <w:ind w:firstLine="851"/>
        <w:jc w:val="both"/>
        <w:rPr>
          <w:rFonts w:ascii="Times New Roman" w:eastAsia="Times New Roman" w:hAnsi="Times New Roman"/>
          <w:color w:val="000000"/>
          <w:sz w:val="24"/>
          <w:szCs w:val="24"/>
          <w:lang w:eastAsia="ru-RU"/>
        </w:rPr>
      </w:pPr>
    </w:p>
    <w:tbl>
      <w:tblPr>
        <w:tblStyle w:val="af3"/>
        <w:tblW w:w="0" w:type="auto"/>
        <w:tblLook w:val="04A0" w:firstRow="1" w:lastRow="0" w:firstColumn="1" w:lastColumn="0" w:noHBand="0" w:noVBand="1"/>
      </w:tblPr>
      <w:tblGrid>
        <w:gridCol w:w="2900"/>
        <w:gridCol w:w="3962"/>
        <w:gridCol w:w="2483"/>
      </w:tblGrid>
      <w:tr w:rsidR="00825D8B" w:rsidTr="00825D8B">
        <w:tc>
          <w:tcPr>
            <w:tcW w:w="2900"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государство-член ЕАЭС </w:t>
            </w: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вид выплаты</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количество получателей (трудящихся)</w:t>
            </w:r>
          </w:p>
        </w:tc>
      </w:tr>
      <w:tr w:rsidR="00825D8B" w:rsidTr="00825D8B">
        <w:tc>
          <w:tcPr>
            <w:tcW w:w="2900"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Республика Армения</w:t>
            </w: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связи с достижением пенсионного возраста</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11</w:t>
            </w:r>
          </w:p>
        </w:tc>
      </w:tr>
      <w:tr w:rsidR="00825D8B" w:rsidTr="00825D8B">
        <w:tc>
          <w:tcPr>
            <w:tcW w:w="2900" w:type="dxa"/>
            <w:vMerge w:val="restart"/>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Республика Беларусь</w:t>
            </w: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связи с достижением пенсионного возраста</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22</w:t>
            </w:r>
          </w:p>
        </w:tc>
      </w:tr>
      <w:tr w:rsidR="00825D8B" w:rsidTr="00825D8B">
        <w:tc>
          <w:tcPr>
            <w:tcW w:w="0" w:type="auto"/>
            <w:vMerge/>
            <w:tcBorders>
              <w:top w:val="single" w:sz="4" w:space="0" w:color="auto"/>
              <w:left w:val="single" w:sz="4" w:space="0" w:color="auto"/>
              <w:bottom w:val="single" w:sz="4" w:space="0" w:color="auto"/>
              <w:right w:val="single" w:sz="4" w:space="0" w:color="auto"/>
            </w:tcBorders>
            <w:vAlign w:val="center"/>
            <w:hideMark/>
          </w:tcPr>
          <w:p w:rsidR="00825D8B" w:rsidRDefault="00825D8B">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единовременная выплата наследникам</w:t>
            </w:r>
            <w:r>
              <w:rPr>
                <w:rFonts w:ascii="Times New Roman" w:eastAsia="Times New Roman" w:hAnsi="Times New Roman"/>
                <w:color w:val="000000"/>
                <w:sz w:val="24"/>
                <w:szCs w:val="24"/>
                <w:lang w:eastAsia="ru-RU"/>
              </w:rPr>
              <w:t xml:space="preserve"> </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825D8B" w:rsidTr="00825D8B">
        <w:tc>
          <w:tcPr>
            <w:tcW w:w="2900" w:type="dxa"/>
            <w:vMerge w:val="restart"/>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Кыргызская Республика</w:t>
            </w: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связи с достижением пенсионного возраста</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825D8B" w:rsidTr="00825D8B">
        <w:tc>
          <w:tcPr>
            <w:tcW w:w="0" w:type="auto"/>
            <w:vMerge/>
            <w:tcBorders>
              <w:top w:val="single" w:sz="4" w:space="0" w:color="auto"/>
              <w:left w:val="single" w:sz="4" w:space="0" w:color="auto"/>
              <w:bottom w:val="single" w:sz="4" w:space="0" w:color="auto"/>
              <w:right w:val="single" w:sz="4" w:space="0" w:color="auto"/>
            </w:tcBorders>
            <w:vAlign w:val="center"/>
            <w:hideMark/>
          </w:tcPr>
          <w:p w:rsidR="00825D8B" w:rsidRDefault="00825D8B">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единовременная выплата наследникам</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p>
        </w:tc>
      </w:tr>
      <w:tr w:rsidR="00825D8B" w:rsidTr="00825D8B">
        <w:tc>
          <w:tcPr>
            <w:tcW w:w="2900" w:type="dxa"/>
            <w:vMerge w:val="restart"/>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Российская Федерация</w:t>
            </w: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связи с достижением пенсионного возраста</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306</w:t>
            </w:r>
          </w:p>
        </w:tc>
      </w:tr>
      <w:tr w:rsidR="00825D8B" w:rsidTr="00825D8B">
        <w:tc>
          <w:tcPr>
            <w:tcW w:w="0" w:type="auto"/>
            <w:vMerge/>
            <w:tcBorders>
              <w:top w:val="single" w:sz="4" w:space="0" w:color="auto"/>
              <w:left w:val="single" w:sz="4" w:space="0" w:color="auto"/>
              <w:bottom w:val="single" w:sz="4" w:space="0" w:color="auto"/>
              <w:right w:val="single" w:sz="4" w:space="0" w:color="auto"/>
            </w:tcBorders>
            <w:vAlign w:val="center"/>
            <w:hideMark/>
          </w:tcPr>
          <w:p w:rsidR="00825D8B" w:rsidRDefault="00825D8B">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единовременная выплата наследникам</w:t>
            </w:r>
          </w:p>
        </w:tc>
        <w:tc>
          <w:tcPr>
            <w:tcW w:w="2483" w:type="dxa"/>
            <w:tcBorders>
              <w:top w:val="single" w:sz="4" w:space="0" w:color="auto"/>
              <w:left w:val="single" w:sz="4" w:space="0" w:color="auto"/>
              <w:bottom w:val="single" w:sz="4" w:space="0" w:color="auto"/>
              <w:right w:val="single" w:sz="4" w:space="0" w:color="auto"/>
            </w:tcBorders>
            <w:hideMark/>
          </w:tcPr>
          <w:p w:rsidR="00825D8B" w:rsidRDefault="00825D8B">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26</w:t>
            </w:r>
          </w:p>
        </w:tc>
      </w:tr>
    </w:tbl>
    <w:p w:rsidR="00825D8B" w:rsidRDefault="00825D8B" w:rsidP="00825D8B">
      <w:pPr>
        <w:tabs>
          <w:tab w:val="left" w:pos="1418"/>
          <w:tab w:val="left" w:pos="5420"/>
        </w:tabs>
        <w:spacing w:after="0" w:line="240" w:lineRule="auto"/>
        <w:ind w:firstLine="851"/>
        <w:jc w:val="both"/>
        <w:rPr>
          <w:rFonts w:ascii="Times New Roman" w:eastAsia="Times New Roman" w:hAnsi="Times New Roman"/>
          <w:color w:val="000000"/>
          <w:sz w:val="24"/>
          <w:szCs w:val="24"/>
          <w:lang w:eastAsia="ru-RU"/>
        </w:rPr>
      </w:pPr>
    </w:p>
    <w:p w:rsidR="00825D8B" w:rsidRDefault="00825D8B" w:rsidP="00825D8B">
      <w:pPr>
        <w:pStyle w:val="af7"/>
        <w:widowControl w:val="0"/>
        <w:numPr>
          <w:ilvl w:val="0"/>
          <w:numId w:val="28"/>
        </w:numPr>
        <w:tabs>
          <w:tab w:val="left" w:pos="1418"/>
        </w:tabs>
        <w:autoSpaceDE w:val="0"/>
        <w:autoSpaceDN w:val="0"/>
        <w:adjustRightInd w:val="0"/>
        <w:ind w:left="0" w:firstLine="851"/>
        <w:jc w:val="both"/>
        <w:rPr>
          <w:color w:val="auto"/>
        </w:rPr>
      </w:pPr>
      <w:r>
        <w:t>компетентными органами следующих государств-членов назначены страховые пенсии 39 гражданам Казахстана, в том числе:</w:t>
      </w:r>
    </w:p>
    <w:tbl>
      <w:tblPr>
        <w:tblStyle w:val="af3"/>
        <w:tblW w:w="0" w:type="auto"/>
        <w:tblInd w:w="-5" w:type="dxa"/>
        <w:tblLook w:val="04A0" w:firstRow="1" w:lastRow="0" w:firstColumn="1" w:lastColumn="0" w:noHBand="0" w:noVBand="1"/>
      </w:tblPr>
      <w:tblGrid>
        <w:gridCol w:w="2981"/>
        <w:gridCol w:w="3867"/>
        <w:gridCol w:w="2502"/>
      </w:tblGrid>
      <w:tr w:rsidR="00825D8B" w:rsidTr="00825D8B">
        <w:tc>
          <w:tcPr>
            <w:tcW w:w="2981"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lastRenderedPageBreak/>
              <w:t>государство-член ЕАЭС</w:t>
            </w:r>
          </w:p>
        </w:tc>
        <w:tc>
          <w:tcPr>
            <w:tcW w:w="3867"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вид пенсии</w:t>
            </w:r>
          </w:p>
        </w:tc>
        <w:tc>
          <w:tcPr>
            <w:tcW w:w="2502"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количество получателей (трудящихся)</w:t>
            </w:r>
          </w:p>
        </w:tc>
      </w:tr>
      <w:tr w:rsidR="00825D8B" w:rsidTr="00825D8B">
        <w:tc>
          <w:tcPr>
            <w:tcW w:w="2981" w:type="dxa"/>
            <w:vMerge w:val="restart"/>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Кыргызская Республика</w:t>
            </w:r>
          </w:p>
        </w:tc>
        <w:tc>
          <w:tcPr>
            <w:tcW w:w="3867"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по возрасту</w:t>
            </w:r>
          </w:p>
        </w:tc>
        <w:tc>
          <w:tcPr>
            <w:tcW w:w="2502"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3</w:t>
            </w:r>
          </w:p>
        </w:tc>
      </w:tr>
      <w:tr w:rsidR="00825D8B" w:rsidTr="00825D8B">
        <w:tc>
          <w:tcPr>
            <w:tcW w:w="0" w:type="auto"/>
            <w:vMerge/>
            <w:tcBorders>
              <w:top w:val="single" w:sz="4" w:space="0" w:color="auto"/>
              <w:left w:val="single" w:sz="4" w:space="0" w:color="auto"/>
              <w:bottom w:val="single" w:sz="4" w:space="0" w:color="auto"/>
              <w:right w:val="single" w:sz="4" w:space="0" w:color="auto"/>
            </w:tcBorders>
            <w:vAlign w:val="center"/>
            <w:hideMark/>
          </w:tcPr>
          <w:p w:rsidR="00825D8B" w:rsidRDefault="00825D8B">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по случаю потери кормильца</w:t>
            </w:r>
          </w:p>
        </w:tc>
        <w:tc>
          <w:tcPr>
            <w:tcW w:w="2502"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3</w:t>
            </w:r>
          </w:p>
        </w:tc>
      </w:tr>
      <w:tr w:rsidR="00825D8B" w:rsidTr="00825D8B">
        <w:tc>
          <w:tcPr>
            <w:tcW w:w="2981" w:type="dxa"/>
            <w:vMerge w:val="restart"/>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Российская Федерация</w:t>
            </w:r>
          </w:p>
        </w:tc>
        <w:tc>
          <w:tcPr>
            <w:tcW w:w="3867"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 xml:space="preserve"> по старости</w:t>
            </w:r>
          </w:p>
        </w:tc>
        <w:tc>
          <w:tcPr>
            <w:tcW w:w="2502"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31</w:t>
            </w:r>
          </w:p>
        </w:tc>
      </w:tr>
      <w:tr w:rsidR="00825D8B" w:rsidTr="00825D8B">
        <w:tc>
          <w:tcPr>
            <w:tcW w:w="0" w:type="auto"/>
            <w:vMerge/>
            <w:tcBorders>
              <w:top w:val="single" w:sz="4" w:space="0" w:color="auto"/>
              <w:left w:val="single" w:sz="4" w:space="0" w:color="auto"/>
              <w:bottom w:val="single" w:sz="4" w:space="0" w:color="auto"/>
              <w:right w:val="single" w:sz="4" w:space="0" w:color="auto"/>
            </w:tcBorders>
            <w:vAlign w:val="center"/>
            <w:hideMark/>
          </w:tcPr>
          <w:p w:rsidR="00825D8B" w:rsidRDefault="00825D8B">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по случаю потери кормильца</w:t>
            </w:r>
          </w:p>
        </w:tc>
        <w:tc>
          <w:tcPr>
            <w:tcW w:w="2502"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1</w:t>
            </w:r>
          </w:p>
        </w:tc>
      </w:tr>
      <w:tr w:rsidR="00825D8B" w:rsidTr="00825D8B">
        <w:tc>
          <w:tcPr>
            <w:tcW w:w="0" w:type="auto"/>
            <w:vMerge/>
            <w:tcBorders>
              <w:top w:val="single" w:sz="4" w:space="0" w:color="auto"/>
              <w:left w:val="single" w:sz="4" w:space="0" w:color="auto"/>
              <w:bottom w:val="single" w:sz="4" w:space="0" w:color="auto"/>
              <w:right w:val="single" w:sz="4" w:space="0" w:color="auto"/>
            </w:tcBorders>
            <w:vAlign w:val="center"/>
            <w:hideMark/>
          </w:tcPr>
          <w:p w:rsidR="00825D8B" w:rsidRDefault="00825D8B">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rPr>
                <w:lang w:eastAsia="en-US"/>
              </w:rPr>
            </w:pPr>
            <w:r>
              <w:rPr>
                <w:lang w:eastAsia="en-US"/>
              </w:rPr>
              <w:t>по инвалидности</w:t>
            </w:r>
          </w:p>
        </w:tc>
        <w:tc>
          <w:tcPr>
            <w:tcW w:w="2502" w:type="dxa"/>
            <w:tcBorders>
              <w:top w:val="single" w:sz="4" w:space="0" w:color="auto"/>
              <w:left w:val="single" w:sz="4" w:space="0" w:color="auto"/>
              <w:bottom w:val="single" w:sz="4" w:space="0" w:color="auto"/>
              <w:right w:val="single" w:sz="4" w:space="0" w:color="auto"/>
            </w:tcBorders>
            <w:hideMark/>
          </w:tcPr>
          <w:p w:rsidR="00825D8B" w:rsidRDefault="00825D8B">
            <w:pPr>
              <w:pStyle w:val="af7"/>
              <w:tabs>
                <w:tab w:val="left" w:pos="1418"/>
              </w:tabs>
              <w:autoSpaceDE w:val="0"/>
              <w:autoSpaceDN w:val="0"/>
              <w:ind w:left="0"/>
              <w:jc w:val="center"/>
              <w:rPr>
                <w:lang w:eastAsia="en-US"/>
              </w:rPr>
            </w:pPr>
            <w:r>
              <w:rPr>
                <w:lang w:eastAsia="en-US"/>
              </w:rPr>
              <w:t>1</w:t>
            </w:r>
          </w:p>
        </w:tc>
      </w:tr>
    </w:tbl>
    <w:p w:rsidR="00825D8B" w:rsidRDefault="00825D8B" w:rsidP="00825D8B">
      <w:pPr>
        <w:pStyle w:val="af7"/>
        <w:tabs>
          <w:tab w:val="left" w:pos="1418"/>
        </w:tabs>
        <w:autoSpaceDE w:val="0"/>
        <w:autoSpaceDN w:val="0"/>
        <w:ind w:left="851"/>
      </w:pPr>
    </w:p>
    <w:p w:rsidR="00825D8B" w:rsidRDefault="00825D8B" w:rsidP="00825D8B">
      <w:pPr>
        <w:tabs>
          <w:tab w:val="left" w:pos="1418"/>
        </w:tabs>
        <w:autoSpaceDE w:val="0"/>
        <w:autoSpaceDN w:val="0"/>
        <w:adjustRightInd w:val="0"/>
        <w:spacing w:before="120" w:after="0" w:line="240" w:lineRule="auto"/>
        <w:ind w:firstLine="851"/>
        <w:contextualSpacing/>
        <w:jc w:val="both"/>
        <w:rPr>
          <w:rFonts w:ascii="Times New Roman" w:hAnsi="Times New Roman"/>
          <w:sz w:val="24"/>
          <w:szCs w:val="24"/>
        </w:rPr>
      </w:pPr>
      <w:r>
        <w:rPr>
          <w:rFonts w:ascii="Times New Roman" w:hAnsi="Times New Roman"/>
          <w:color w:val="000000"/>
          <w:sz w:val="24"/>
          <w:szCs w:val="24"/>
        </w:rPr>
        <w:t>Таким образом, граждане государств-членов ЕАЭС формируют и реализуют свои пенсионные права в государствах-членах ЕАЭС наравне с гражданами государства-трудоустройства, что является одной из основных целей Соглашения.</w:t>
      </w:r>
    </w:p>
    <w:p w:rsidR="00825D8B" w:rsidRDefault="00825D8B" w:rsidP="00825D8B">
      <w:pPr>
        <w:pStyle w:val="a5"/>
        <w:jc w:val="both"/>
        <w:rPr>
          <w:rFonts w:ascii="Arial" w:eastAsia="Times New Roman" w:hAnsi="Arial" w:cs="Arial"/>
          <w:bCs/>
          <w:color w:val="000000" w:themeColor="text1"/>
          <w:sz w:val="24"/>
          <w:szCs w:val="24"/>
          <w:lang w:eastAsia="ru-RU"/>
        </w:rPr>
      </w:pPr>
      <w:r>
        <w:rPr>
          <w:rFonts w:ascii="Times New Roman" w:eastAsia="Times New Roman" w:hAnsi="Times New Roman"/>
          <w:bCs/>
          <w:color w:val="333333"/>
          <w:sz w:val="24"/>
          <w:szCs w:val="24"/>
          <w:lang w:eastAsia="ru-RU"/>
        </w:rPr>
        <w:tab/>
      </w:r>
    </w:p>
    <w:p w:rsidR="00BF5EDE" w:rsidRPr="00020421" w:rsidRDefault="00BF5EDE" w:rsidP="00020421">
      <w:pPr>
        <w:shd w:val="clear" w:color="auto" w:fill="FFFFFF"/>
        <w:spacing w:after="120" w:line="240" w:lineRule="auto"/>
        <w:contextualSpacing/>
        <w:jc w:val="center"/>
        <w:rPr>
          <w:rFonts w:ascii="Times New Roman" w:hAnsi="Times New Roman"/>
          <w:color w:val="000000" w:themeColor="text1"/>
          <w:sz w:val="24"/>
          <w:szCs w:val="24"/>
          <w:lang w:eastAsia="ru-RU"/>
        </w:rPr>
      </w:pPr>
    </w:p>
    <w:p w:rsidR="00540E7F" w:rsidRDefault="00540E7F" w:rsidP="00540E7F">
      <w:pPr>
        <w:tabs>
          <w:tab w:val="left" w:pos="3756"/>
          <w:tab w:val="left" w:pos="7867"/>
        </w:tabs>
        <w:autoSpaceDE w:val="0"/>
        <w:autoSpaceDN w:val="0"/>
        <w:adjustRightInd w:val="0"/>
        <w:spacing w:after="0" w:line="240" w:lineRule="auto"/>
        <w:jc w:val="both"/>
        <w:rPr>
          <w:rFonts w:ascii="Times New Roman" w:eastAsiaTheme="minorHAnsi" w:hAnsi="Times New Roman"/>
          <w:i/>
          <w:sz w:val="20"/>
          <w:szCs w:val="20"/>
        </w:rPr>
      </w:pPr>
      <w:r>
        <w:rPr>
          <w:rFonts w:ascii="Times New Roman" w:hAnsi="Times New Roman"/>
          <w:color w:val="000000"/>
          <w:sz w:val="24"/>
          <w:szCs w:val="24"/>
          <w:lang w:eastAsia="ru-RU"/>
        </w:rPr>
        <w:t xml:space="preserve">         </w:t>
      </w:r>
    </w:p>
    <w:p w:rsidR="00540E7F" w:rsidRPr="00102585" w:rsidRDefault="00540E7F" w:rsidP="00540E7F">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rPr>
      </w:pPr>
      <w:r w:rsidRPr="00102585">
        <w:rPr>
          <w:rFonts w:ascii="Times New Roman" w:eastAsiaTheme="minorHAnsi"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102585">
        <w:rPr>
          <w:rFonts w:ascii="Times New Roman" w:hAnsi="Times New Roman"/>
          <w:i/>
          <w:color w:val="000000"/>
          <w:sz w:val="20"/>
          <w:szCs w:val="20"/>
          <w:lang w:eastAsia="ru-RU"/>
        </w:rPr>
        <w:t xml:space="preserve">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 Также Фонд осуществляет учет целевых активов и целевых требований, учет и зачисление целевых накоплений (ЦН)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sidRPr="00102585">
        <w:rPr>
          <w:rFonts w:ascii="Times New Roman" w:eastAsiaTheme="minorHAnsi" w:hAnsi="Times New Roman"/>
          <w:i/>
          <w:sz w:val="20"/>
          <w:szCs w:val="20"/>
        </w:rPr>
        <w:t xml:space="preserve">(Подробнее на </w:t>
      </w:r>
      <w:hyperlink r:id="rId8" w:history="1">
        <w:r w:rsidRPr="00102585">
          <w:rPr>
            <w:rFonts w:ascii="Times New Roman" w:eastAsiaTheme="minorHAnsi" w:hAnsi="Times New Roman"/>
            <w:i/>
            <w:color w:val="001CAC"/>
            <w:sz w:val="20"/>
            <w:szCs w:val="20"/>
          </w:rPr>
          <w:t>www.enpf.kz</w:t>
        </w:r>
      </w:hyperlink>
      <w:r w:rsidRPr="00102585">
        <w:rPr>
          <w:rFonts w:ascii="Times New Roman" w:eastAsiaTheme="minorHAnsi" w:hAnsi="Times New Roman"/>
          <w:i/>
          <w:sz w:val="20"/>
          <w:szCs w:val="20"/>
        </w:rPr>
        <w:t>).</w:t>
      </w:r>
    </w:p>
    <w:p w:rsidR="00540E7F" w:rsidRPr="00102585" w:rsidRDefault="00540E7F" w:rsidP="00540E7F">
      <w:pPr>
        <w:rPr>
          <w:rFonts w:asciiTheme="minorHAnsi" w:eastAsiaTheme="minorHAnsi" w:hAnsiTheme="minorHAnsi" w:cstheme="minorBidi"/>
        </w:rPr>
      </w:pPr>
    </w:p>
    <w:p w:rsidR="00540E7F" w:rsidRPr="003E4600" w:rsidRDefault="00540E7F" w:rsidP="00540E7F">
      <w:pPr>
        <w:rPr>
          <w:rFonts w:asciiTheme="minorHAnsi" w:eastAsiaTheme="minorHAnsi" w:hAnsiTheme="minorHAnsi" w:cstheme="minorBidi"/>
        </w:rPr>
      </w:pPr>
    </w:p>
    <w:p w:rsidR="00540E7F" w:rsidRDefault="00540E7F" w:rsidP="00540E7F">
      <w:pPr>
        <w:spacing w:after="0" w:line="240" w:lineRule="auto"/>
        <w:ind w:firstLine="708"/>
        <w:rPr>
          <w:rFonts w:ascii="Times New Roman" w:eastAsiaTheme="minorHAnsi" w:hAnsi="Times New Roman"/>
          <w:sz w:val="24"/>
          <w:szCs w:val="24"/>
        </w:rPr>
      </w:pPr>
    </w:p>
    <w:p w:rsidR="00540E7F" w:rsidRDefault="00540E7F" w:rsidP="00540E7F">
      <w:pPr>
        <w:spacing w:after="0" w:line="240" w:lineRule="auto"/>
        <w:ind w:firstLine="708"/>
        <w:rPr>
          <w:rFonts w:ascii="Times New Roman" w:eastAsiaTheme="minorHAnsi" w:hAnsi="Times New Roman"/>
          <w:sz w:val="24"/>
          <w:szCs w:val="24"/>
        </w:rPr>
      </w:pPr>
    </w:p>
    <w:p w:rsidR="00540E7F" w:rsidRDefault="00540E7F" w:rsidP="00540E7F">
      <w:pPr>
        <w:suppressAutoHyphens/>
        <w:autoSpaceDN w:val="0"/>
        <w:spacing w:after="0" w:line="240" w:lineRule="auto"/>
        <w:ind w:firstLine="708"/>
        <w:jc w:val="center"/>
        <w:rPr>
          <w:rFonts w:ascii="Times New Roman" w:eastAsia="Yu Mincho" w:hAnsi="Times New Roman"/>
          <w:kern w:val="3"/>
          <w:sz w:val="24"/>
          <w:szCs w:val="24"/>
          <w:lang w:eastAsia="ru-RU"/>
        </w:rPr>
      </w:pPr>
    </w:p>
    <w:p w:rsidR="00540E7F" w:rsidRPr="00435876" w:rsidRDefault="00540E7F" w:rsidP="00540E7F">
      <w:pPr>
        <w:spacing w:line="259" w:lineRule="auto"/>
        <w:ind w:firstLine="360"/>
        <w:jc w:val="both"/>
        <w:rPr>
          <w:rFonts w:ascii="Times New Roman" w:eastAsiaTheme="minorHAnsi" w:hAnsi="Times New Roman"/>
          <w:color w:val="000000" w:themeColor="text1"/>
          <w:sz w:val="24"/>
          <w:szCs w:val="24"/>
        </w:rPr>
      </w:pPr>
    </w:p>
    <w:p w:rsidR="00540E7F" w:rsidRPr="00406B10" w:rsidRDefault="00540E7F" w:rsidP="00540E7F">
      <w:pPr>
        <w:pStyle w:val="a5"/>
        <w:jc w:val="center"/>
        <w:rPr>
          <w:rFonts w:ascii="Times New Roman" w:hAnsi="Times New Roman"/>
          <w:b/>
          <w:sz w:val="24"/>
          <w:szCs w:val="24"/>
        </w:rPr>
      </w:pPr>
    </w:p>
    <w:p w:rsidR="00A071FA" w:rsidRDefault="00A071FA" w:rsidP="00A071FA">
      <w:pPr>
        <w:rPr>
          <w:rFonts w:asciiTheme="minorHAnsi" w:eastAsiaTheme="minorHAnsi" w:hAnsiTheme="minorHAnsi" w:cstheme="minorBidi"/>
        </w:rPr>
      </w:pPr>
    </w:p>
    <w:p w:rsidR="00A071FA" w:rsidRDefault="00A071FA" w:rsidP="00A071FA">
      <w:pPr>
        <w:rPr>
          <w:rFonts w:asciiTheme="minorHAnsi" w:eastAsiaTheme="minorHAnsi" w:hAnsiTheme="minorHAnsi" w:cstheme="minorBidi"/>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uppressAutoHyphens/>
        <w:autoSpaceDN w:val="0"/>
        <w:spacing w:after="0" w:line="240" w:lineRule="auto"/>
        <w:ind w:firstLine="708"/>
        <w:jc w:val="center"/>
        <w:rPr>
          <w:rFonts w:ascii="Times New Roman" w:eastAsia="Yu Mincho" w:hAnsi="Times New Roman"/>
          <w:kern w:val="3"/>
          <w:sz w:val="24"/>
          <w:szCs w:val="24"/>
          <w:lang w:eastAsia="ru-RU"/>
        </w:rPr>
      </w:pPr>
    </w:p>
    <w:p w:rsidR="00A071FA" w:rsidRDefault="00A071FA" w:rsidP="00A071FA">
      <w:pPr>
        <w:ind w:firstLine="360"/>
        <w:jc w:val="both"/>
        <w:rPr>
          <w:rFonts w:ascii="Times New Roman" w:eastAsiaTheme="minorHAnsi" w:hAnsi="Times New Roman"/>
          <w:color w:val="000000" w:themeColor="text1"/>
          <w:sz w:val="24"/>
          <w:szCs w:val="24"/>
        </w:rPr>
      </w:pPr>
    </w:p>
    <w:p w:rsidR="00A071FA" w:rsidRDefault="00A071FA" w:rsidP="00A071FA">
      <w:pPr>
        <w:pStyle w:val="a5"/>
        <w:jc w:val="center"/>
        <w:rPr>
          <w:rFonts w:ascii="Times New Roman" w:hAnsi="Times New Roman"/>
          <w:b/>
          <w:sz w:val="24"/>
          <w:szCs w:val="24"/>
        </w:rPr>
      </w:pPr>
    </w:p>
    <w:p w:rsidR="000749C1" w:rsidRPr="00441A4C" w:rsidRDefault="000749C1" w:rsidP="000749C1">
      <w:pPr>
        <w:pStyle w:val="a5"/>
        <w:jc w:val="center"/>
        <w:rPr>
          <w:rFonts w:ascii="Times New Roman" w:hAnsi="Times New Roman"/>
          <w:b/>
          <w:sz w:val="24"/>
          <w:szCs w:val="24"/>
          <w:lang w:val="en-US"/>
        </w:rPr>
      </w:pPr>
    </w:p>
    <w:sectPr w:rsidR="000749C1" w:rsidRPr="00441A4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10B" w:rsidRDefault="0000210B" w:rsidP="005E4B51">
      <w:pPr>
        <w:spacing w:after="0" w:line="240" w:lineRule="auto"/>
      </w:pPr>
      <w:r>
        <w:separator/>
      </w:r>
    </w:p>
  </w:endnote>
  <w:endnote w:type="continuationSeparator" w:id="0">
    <w:p w:rsidR="0000210B" w:rsidRDefault="0000210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NewRomanPSMT">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Yu Mincho">
    <w:altName w:val="Yu Gothic UI"/>
    <w:charset w:val="80"/>
    <w:family w:val="roman"/>
    <w:pitch w:val="variable"/>
    <w:sig w:usb0="00000000" w:usb1="2AC7FCFF" w:usb2="00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10B" w:rsidRDefault="0000210B" w:rsidP="005E4B51">
      <w:pPr>
        <w:spacing w:after="0" w:line="240" w:lineRule="auto"/>
      </w:pPr>
      <w:r>
        <w:separator/>
      </w:r>
    </w:p>
  </w:footnote>
  <w:footnote w:type="continuationSeparator" w:id="0">
    <w:p w:rsidR="0000210B" w:rsidRDefault="0000210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7013AE" w:rsidRDefault="002B6DFC"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013AE">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013AE">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7013AE">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7013AE">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825D8B"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25D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25D8B">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825D8B">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8"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0"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
  </w:num>
  <w:num w:numId="4">
    <w:abstractNumId w:val="11"/>
  </w:num>
  <w:num w:numId="5">
    <w:abstractNumId w:val="6"/>
  </w:num>
  <w:num w:numId="6">
    <w:abstractNumId w:val="3"/>
  </w:num>
  <w:num w:numId="7">
    <w:abstractNumId w:val="7"/>
  </w:num>
  <w:num w:numId="8">
    <w:abstractNumId w:val="13"/>
  </w:num>
  <w:num w:numId="9">
    <w:abstractNumId w:val="7"/>
  </w:num>
  <w:num w:numId="10">
    <w:abstractNumId w:val="13"/>
  </w:num>
  <w:num w:numId="11">
    <w:abstractNumId w:val="13"/>
  </w:num>
  <w:num w:numId="12">
    <w:abstractNumId w:val="5"/>
  </w:num>
  <w:num w:numId="13">
    <w:abstractNumId w:val="5"/>
  </w:num>
  <w:num w:numId="14">
    <w:abstractNumId w:val="5"/>
  </w:num>
  <w:num w:numId="15">
    <w:abstractNumId w:val="5"/>
  </w:num>
  <w:num w:numId="16">
    <w:abstractNumId w:val="5"/>
  </w:num>
  <w:num w:numId="17">
    <w:abstractNumId w:val="4"/>
  </w:num>
  <w:num w:numId="18">
    <w:abstractNumId w:val="2"/>
  </w:num>
  <w:num w:numId="19">
    <w:abstractNumId w:val="12"/>
  </w:num>
  <w:num w:numId="20">
    <w:abstractNumId w:val="8"/>
  </w:num>
  <w:num w:numId="21">
    <w:abstractNumId w:val="8"/>
  </w:num>
  <w:num w:numId="22">
    <w:abstractNumId w:val="12"/>
  </w:num>
  <w:num w:numId="23">
    <w:abstractNumId w:val="0"/>
  </w:num>
  <w:num w:numId="24">
    <w:abstractNumId w:val="12"/>
  </w:num>
  <w:num w:numId="25">
    <w:abstractNumId w:val="8"/>
  </w:num>
  <w:num w:numId="26">
    <w:abstractNumId w:val="12"/>
  </w:num>
  <w:num w:numId="27">
    <w:abstractNumId w:val="8"/>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BA3"/>
    <w:rsid w:val="0000210B"/>
    <w:rsid w:val="00002DB9"/>
    <w:rsid w:val="0000499B"/>
    <w:rsid w:val="00007750"/>
    <w:rsid w:val="00011245"/>
    <w:rsid w:val="00014543"/>
    <w:rsid w:val="00014825"/>
    <w:rsid w:val="00014930"/>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6522"/>
    <w:rsid w:val="00252733"/>
    <w:rsid w:val="00256ABA"/>
    <w:rsid w:val="002628EE"/>
    <w:rsid w:val="002702E8"/>
    <w:rsid w:val="00272A93"/>
    <w:rsid w:val="00280601"/>
    <w:rsid w:val="00281194"/>
    <w:rsid w:val="00281C53"/>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328BD"/>
    <w:rsid w:val="00332DC3"/>
    <w:rsid w:val="00337F14"/>
    <w:rsid w:val="00340A99"/>
    <w:rsid w:val="00340FAC"/>
    <w:rsid w:val="003411F5"/>
    <w:rsid w:val="00345F31"/>
    <w:rsid w:val="0034624B"/>
    <w:rsid w:val="00351455"/>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3B3A"/>
    <w:rsid w:val="0078466D"/>
    <w:rsid w:val="00784E5A"/>
    <w:rsid w:val="00785778"/>
    <w:rsid w:val="0078604A"/>
    <w:rsid w:val="00786221"/>
    <w:rsid w:val="00790D06"/>
    <w:rsid w:val="007920D6"/>
    <w:rsid w:val="007928C1"/>
    <w:rsid w:val="00794202"/>
    <w:rsid w:val="00794D5C"/>
    <w:rsid w:val="007A2CF9"/>
    <w:rsid w:val="007A6B9F"/>
    <w:rsid w:val="007A783B"/>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2DB7"/>
    <w:rsid w:val="00823D35"/>
    <w:rsid w:val="00825D8B"/>
    <w:rsid w:val="0082763E"/>
    <w:rsid w:val="00827703"/>
    <w:rsid w:val="00830CA9"/>
    <w:rsid w:val="0083202A"/>
    <w:rsid w:val="0083358B"/>
    <w:rsid w:val="00833C88"/>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3CDB"/>
    <w:rsid w:val="009450E4"/>
    <w:rsid w:val="00950683"/>
    <w:rsid w:val="00954968"/>
    <w:rsid w:val="00957BCF"/>
    <w:rsid w:val="00960B6D"/>
    <w:rsid w:val="00963B45"/>
    <w:rsid w:val="009641A1"/>
    <w:rsid w:val="009660AC"/>
    <w:rsid w:val="009670F4"/>
    <w:rsid w:val="009676B8"/>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C3B89"/>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E6D03"/>
    <w:rsid w:val="00AF054B"/>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4931"/>
    <w:rsid w:val="00E0011C"/>
    <w:rsid w:val="00E02937"/>
    <w:rsid w:val="00E13417"/>
    <w:rsid w:val="00E15458"/>
    <w:rsid w:val="00E154BF"/>
    <w:rsid w:val="00E16842"/>
    <w:rsid w:val="00E178FE"/>
    <w:rsid w:val="00E2106D"/>
    <w:rsid w:val="00E21A06"/>
    <w:rsid w:val="00E22B3C"/>
    <w:rsid w:val="00E232B0"/>
    <w:rsid w:val="00E236CB"/>
    <w:rsid w:val="00E254D8"/>
    <w:rsid w:val="00E323ED"/>
    <w:rsid w:val="00E37057"/>
    <w:rsid w:val="00E4040D"/>
    <w:rsid w:val="00E425DC"/>
    <w:rsid w:val="00E42C25"/>
    <w:rsid w:val="00E44941"/>
    <w:rsid w:val="00E460B5"/>
    <w:rsid w:val="00E473AB"/>
    <w:rsid w:val="00E511F9"/>
    <w:rsid w:val="00E518E7"/>
    <w:rsid w:val="00E51A54"/>
    <w:rsid w:val="00E54748"/>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5480"/>
    <w:rsid w:val="00ED5FE3"/>
    <w:rsid w:val="00EE03DE"/>
    <w:rsid w:val="00EE0579"/>
    <w:rsid w:val="00EE13B1"/>
    <w:rsid w:val="00EE1A2C"/>
    <w:rsid w:val="00EE7040"/>
    <w:rsid w:val="00EF0C94"/>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C95BA-6CCD-4746-B791-8C5C80C1D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872</Words>
  <Characters>6369</Characters>
  <Application>Microsoft Office Word</Application>
  <DocSecurity>0</DocSecurity>
  <Lines>167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Бекмаганбетова Айдана Серикбаевна</cp:lastModifiedBy>
  <cp:revision>2</cp:revision>
  <cp:lastPrinted>2025-06-12T10:00:00Z</cp:lastPrinted>
  <dcterms:created xsi:type="dcterms:W3CDTF">2026-10-28T12:13:00Z</dcterms:created>
  <dcterms:modified xsi:type="dcterms:W3CDTF">2026-10-28T12:13:00Z</dcterms:modified>
</cp:coreProperties>
</file>