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46D0D" w14:textId="2C975305" w:rsidR="006734C4" w:rsidRDefault="006734C4" w:rsidP="00E41CC8">
      <w:pPr>
        <w:spacing w:after="60" w:line="276" w:lineRule="auto"/>
        <w:rPr>
          <w:b/>
          <w:bCs/>
          <w:color w:val="10365C"/>
          <w:sz w:val="32"/>
          <w:szCs w:val="32"/>
          <w:lang w:val="kk-KZ"/>
        </w:rPr>
      </w:pPr>
      <w:r w:rsidRPr="006734C4">
        <w:rPr>
          <w:b/>
          <w:bCs/>
          <w:color w:val="10365C"/>
          <w:sz w:val="32"/>
          <w:szCs w:val="32"/>
          <w:lang w:val="kk-KZ"/>
        </w:rPr>
        <w:t>COP31-дегі Қазақстан Республикасының ұлттық павильоны үшін ұсыныстар қабылдау</w:t>
      </w:r>
    </w:p>
    <w:p w14:paraId="03B344FA" w14:textId="3AE3AB03" w:rsidR="00E41CC8" w:rsidRDefault="002C7D5C" w:rsidP="00E41CC8">
      <w:pPr>
        <w:spacing w:after="60" w:line="276" w:lineRule="auto"/>
        <w:rPr>
          <w:lang w:val="kk-KZ"/>
        </w:rPr>
      </w:pPr>
      <w:r>
        <w:t>2026 жылғы 9–20 қараша аралығында Антальяда БҰҰ КҮНК-ның 31-ші Тараптар конференциясы (COP31) өтеді. Конференцияны Түркия Республикасы қабылдайды — COP31 төрағалығы және павильондар мен бастамалардың мазмұнын толтырудың басым тақырыптарын айқындайтын Іс-қи</w:t>
      </w:r>
      <w:r>
        <w:t>мылдар күн тәртібі оның құзыретінде. Австралия келіссөздер процесін жүргізеді және оған төрағалық етеді.</w:t>
      </w:r>
    </w:p>
    <w:p w14:paraId="15AFFF63" w14:textId="65753004" w:rsidR="00E32AD1" w:rsidRPr="006D301B" w:rsidRDefault="00E41CC8" w:rsidP="00E41CC8">
      <w:pPr>
        <w:spacing w:after="60" w:line="276" w:lineRule="auto"/>
        <w:rPr>
          <w:lang w:val="kk-KZ"/>
        </w:rPr>
      </w:pPr>
      <w:r>
        <w:rPr>
          <w:lang w:val="kk-KZ"/>
        </w:rPr>
        <w:t xml:space="preserve">Қазақстан Республикасының Ұлттық павильоны ұйымдастырылады – бұл елдің диалог, шешімдерді, бастамалар мен әріптестіктерді таныстыру алаңы. </w:t>
      </w:r>
      <w:r w:rsidRPr="006D301B">
        <w:rPr>
          <w:b/>
          <w:bCs/>
          <w:i/>
          <w:iCs/>
        </w:rPr>
        <w:t>Павильонның мазмұны мен бағдарламасын қалыптастыру</w:t>
      </w:r>
      <w:r>
        <w:t xml:space="preserve"> үшін ұсыныстар қабылдау жарияланады.</w:t>
      </w:r>
    </w:p>
    <w:p w14:paraId="1BE538CE" w14:textId="77777777" w:rsidR="00E32AD1" w:rsidRDefault="002C7D5C">
      <w:pPr>
        <w:spacing w:after="70" w:line="276" w:lineRule="auto"/>
        <w:rPr>
          <w:lang w:val="kk-KZ"/>
        </w:rPr>
      </w:pPr>
      <w:r>
        <w:t>Ұсыныстар</w:t>
      </w:r>
      <w:r>
        <w:t xml:space="preserve"> беруге мемлекеттік органдар, бизнес, ғылым, азаматтық қоғам және халықаралық әріптестер шақырылады. Басым тақырыптарға, келіссөздер күн тәртібіне, Өңірлік экологиялық сам</w:t>
      </w:r>
      <w:r>
        <w:t>миттің мұрасына, сондай-ақ өңірлік және халықаралық ынтымақтастыққа негізделген ұсыныстар құпталады.</w:t>
      </w:r>
    </w:p>
    <w:p w14:paraId="66343A9B" w14:textId="560FCBED" w:rsidR="006D301B" w:rsidRPr="006734C4" w:rsidRDefault="006D301B" w:rsidP="006D301B">
      <w:pPr>
        <w:spacing w:after="100" w:line="276" w:lineRule="auto"/>
        <w:rPr>
          <w:b/>
          <w:bCs/>
          <w:i/>
          <w:iCs/>
          <w:lang w:val="kk-KZ"/>
        </w:rPr>
      </w:pPr>
      <w:r>
        <w:t xml:space="preserve">Жеке түрде </w:t>
      </w:r>
      <w:r w:rsidRPr="006734C4">
        <w:rPr>
          <w:b/>
          <w:bCs/>
          <w:i/>
          <w:iCs/>
        </w:rPr>
        <w:t xml:space="preserve">сарапшыларды, зерттеушілерді, келіссөздер жөніндегі мамандарды, сондай-ақ материалдар мен экспонаттар авторларын шақырамыз </w:t>
      </w:r>
    </w:p>
    <w:p w14:paraId="43C10762" w14:textId="77777777" w:rsidR="00E32AD1" w:rsidRDefault="002C7D5C">
      <w:pPr>
        <w:pStyle w:val="2"/>
        <w:spacing w:before="140" w:after="60"/>
      </w:pPr>
      <w:r>
        <w:rPr>
          <w:b/>
          <w:bCs/>
          <w:color w:val="1F5C99"/>
          <w:sz w:val="22"/>
          <w:szCs w:val="22"/>
        </w:rPr>
        <w:t>Басым тақырыптар</w:t>
      </w:r>
    </w:p>
    <w:p w14:paraId="6D990DBB" w14:textId="77777777" w:rsidR="00E41CC8" w:rsidRDefault="002C7D5C">
      <w:pPr>
        <w:spacing w:after="100" w:line="276" w:lineRule="auto"/>
        <w:rPr>
          <w:sz w:val="20"/>
          <w:szCs w:val="20"/>
          <w:lang w:val="kk-KZ"/>
        </w:rPr>
      </w:pPr>
      <w:r>
        <w:rPr>
          <w:sz w:val="20"/>
          <w:szCs w:val="20"/>
        </w:rPr>
        <w:t>Бас</w:t>
      </w:r>
      <w:r>
        <w:rPr>
          <w:sz w:val="20"/>
          <w:szCs w:val="20"/>
        </w:rPr>
        <w:t xml:space="preserve">ым тақырыптар Түркия төрағалығының Іс-қимылдар күн тәртібімен айқындалған: </w:t>
      </w:r>
    </w:p>
    <w:p w14:paraId="5F451E8E" w14:textId="370F3151" w:rsidR="00E32AD1" w:rsidRDefault="002C7D5C">
      <w:pPr>
        <w:spacing w:after="100" w:line="276" w:lineRule="auto"/>
      </w:pPr>
      <w:r>
        <w:rPr>
          <w:sz w:val="20"/>
          <w:szCs w:val="20"/>
        </w:rPr>
        <w:t>Қалдықтарды</w:t>
      </w:r>
      <w:r>
        <w:rPr>
          <w:sz w:val="20"/>
          <w:szCs w:val="20"/>
        </w:rPr>
        <w:t xml:space="preserve"> нөлге жеткізу · Мұхиттар мен теңіздер · Азық-түлік қауіпсіздігі · Климатқа төзімді қалалар · Климаттық іс-қимылдарды іске асыру тетігі · Жастар және білім беру · «Жасыл</w:t>
      </w:r>
      <w:r>
        <w:rPr>
          <w:sz w:val="20"/>
          <w:szCs w:val="20"/>
        </w:rPr>
        <w:t xml:space="preserve">» индустрияландыру · Таза энергияға көшу · Рио синергиясы · Тұрақты денсаулық сақтау жүйелері. </w:t>
      </w:r>
    </w:p>
    <w:p w14:paraId="79B21343" w14:textId="77777777" w:rsidR="00E32AD1" w:rsidRDefault="002C7D5C">
      <w:pPr>
        <w:pStyle w:val="2"/>
        <w:spacing w:before="140" w:after="60"/>
      </w:pPr>
      <w:r>
        <w:rPr>
          <w:b/>
          <w:bCs/>
          <w:color w:val="1F5C99"/>
          <w:sz w:val="22"/>
          <w:szCs w:val="22"/>
        </w:rPr>
        <w:t>Негізгі талаптар</w:t>
      </w:r>
    </w:p>
    <w:p w14:paraId="3F99DDD6" w14:textId="076F34CB" w:rsidR="00E32AD1" w:rsidRPr="006734C4" w:rsidRDefault="006734C4">
      <w:pPr>
        <w:spacing w:after="55" w:line="276" w:lineRule="auto"/>
        <w:rPr>
          <w:lang w:val="kk-KZ"/>
        </w:rPr>
      </w:pPr>
      <w:r w:rsidRPr="006734C4">
        <w:rPr>
          <w:lang w:val="kk-KZ"/>
        </w:rPr>
        <w:t>Іс-шаралар әртүрлі форматта, оның ішінде панельдік пікірталас, сарапшылармен әңгіме, бастамалар мен жобалардың таныстырылымы түрінде, 60–90 минут ұзақтықпен өткізілуі мүмкін. Павильон 50 отыратын орынға есептелген, кемінде 20 адамның қатысуын қамтамасыз ету қажет. Іс-шараның нақты, қолмен ұстауға болатын нәтижесі, сондай-ақ қатысуды қаржыландыру және оны өтініш берушінің өз күшімен ұйымдастыру міндетті.</w:t>
      </w:r>
    </w:p>
    <w:p w14:paraId="0CE0352F" w14:textId="77777777" w:rsidR="00E32AD1" w:rsidRDefault="002C7D5C">
      <w:pPr>
        <w:pStyle w:val="2"/>
        <w:spacing w:before="140" w:after="60"/>
      </w:pPr>
      <w:r>
        <w:rPr>
          <w:b/>
          <w:bCs/>
          <w:color w:val="1F5C99"/>
          <w:sz w:val="22"/>
          <w:szCs w:val="22"/>
        </w:rPr>
        <w:t>Негізгі күндер</w:t>
      </w:r>
    </w:p>
    <w:tbl>
      <w:tblPr>
        <w:tblW w:w="9000" w:type="dxa"/>
        <w:tblBorders>
          <w:top w:val="single" w:sz="4" w:space="0" w:color="AEC3DA"/>
          <w:left w:val="single" w:sz="4" w:space="0" w:color="AEC3DA"/>
          <w:bottom w:val="single" w:sz="4" w:space="0" w:color="AEC3DA"/>
          <w:right w:val="single" w:sz="4" w:space="0" w:color="AEC3DA"/>
          <w:insideH w:val="single" w:sz="4" w:space="0" w:color="AEC3DA"/>
          <w:insideV w:val="single" w:sz="4" w:space="0" w:color="AEC3DA"/>
        </w:tblBorders>
        <w:tblCellMar>
          <w:left w:w="10" w:type="dxa"/>
          <w:right w:w="10" w:type="dxa"/>
        </w:tblCellMar>
        <w:tblLook w:val="04A0" w:firstRow="1" w:lastRow="0" w:firstColumn="1" w:lastColumn="0" w:noHBand="0" w:noVBand="1"/>
      </w:tblPr>
      <w:tblGrid>
        <w:gridCol w:w="5000"/>
        <w:gridCol w:w="4000"/>
      </w:tblGrid>
      <w:tr w:rsidR="00E32AD1" w14:paraId="2CD42C22" w14:textId="77777777">
        <w:trPr>
          <w:tblHeader/>
        </w:trPr>
        <w:tc>
          <w:tcPr>
            <w:tcW w:w="5000" w:type="dxa"/>
            <w:shd w:val="clear" w:color="auto" w:fill="1F5C99"/>
            <w:tcMar>
              <w:top w:w="60" w:type="dxa"/>
              <w:left w:w="100" w:type="dxa"/>
              <w:bottom w:w="60" w:type="dxa"/>
              <w:right w:w="100" w:type="dxa"/>
            </w:tcMar>
          </w:tcPr>
          <w:p w14:paraId="106508C5" w14:textId="77777777" w:rsidR="00E32AD1" w:rsidRDefault="002C7D5C">
            <w:pPr>
              <w:spacing w:after="20"/>
            </w:pPr>
            <w:r>
              <w:rPr>
                <w:b/>
                <w:bCs/>
                <w:color w:val="FFFFFF"/>
                <w:sz w:val="19"/>
                <w:szCs w:val="19"/>
              </w:rPr>
              <w:t>Кезең</w:t>
            </w:r>
          </w:p>
        </w:tc>
        <w:tc>
          <w:tcPr>
            <w:tcW w:w="4000" w:type="dxa"/>
            <w:shd w:val="clear" w:color="auto" w:fill="1F5C99"/>
            <w:tcMar>
              <w:top w:w="60" w:type="dxa"/>
              <w:left w:w="100" w:type="dxa"/>
              <w:bottom w:w="60" w:type="dxa"/>
              <w:right w:w="100" w:type="dxa"/>
            </w:tcMar>
          </w:tcPr>
          <w:p w14:paraId="0F0E25FE" w14:textId="77777777" w:rsidR="00E32AD1" w:rsidRDefault="002C7D5C">
            <w:pPr>
              <w:spacing w:after="20"/>
            </w:pPr>
            <w:r>
              <w:rPr>
                <w:b/>
                <w:bCs/>
                <w:color w:val="FFFFFF"/>
                <w:sz w:val="19"/>
                <w:szCs w:val="19"/>
              </w:rPr>
              <w:t>Күні</w:t>
            </w:r>
          </w:p>
        </w:tc>
      </w:tr>
      <w:tr w:rsidR="00E32AD1" w14:paraId="7E803C07" w14:textId="77777777">
        <w:tc>
          <w:tcPr>
            <w:tcW w:w="5000" w:type="dxa"/>
            <w:tcMar>
              <w:top w:w="60" w:type="dxa"/>
              <w:left w:w="100" w:type="dxa"/>
              <w:bottom w:w="60" w:type="dxa"/>
              <w:right w:w="100" w:type="dxa"/>
            </w:tcMar>
          </w:tcPr>
          <w:p w14:paraId="62ADEA4B" w14:textId="77777777" w:rsidR="00E32AD1" w:rsidRDefault="002C7D5C">
            <w:pPr>
              <w:spacing w:after="20"/>
            </w:pPr>
            <w:r>
              <w:rPr>
                <w:b/>
                <w:bCs/>
                <w:sz w:val="19"/>
                <w:szCs w:val="19"/>
              </w:rPr>
              <w:t>Өтінімдерді</w:t>
            </w:r>
            <w:r>
              <w:rPr>
                <w:b/>
                <w:bCs/>
                <w:sz w:val="19"/>
                <w:szCs w:val="19"/>
              </w:rPr>
              <w:t xml:space="preserve"> қабылдаудың аяқталуы</w:t>
            </w:r>
          </w:p>
        </w:tc>
        <w:tc>
          <w:tcPr>
            <w:tcW w:w="4000" w:type="dxa"/>
            <w:tcMar>
              <w:top w:w="60" w:type="dxa"/>
              <w:left w:w="100" w:type="dxa"/>
              <w:bottom w:w="60" w:type="dxa"/>
              <w:right w:w="100" w:type="dxa"/>
            </w:tcMar>
          </w:tcPr>
          <w:p w14:paraId="45022633" w14:textId="128BF5C4" w:rsidR="00E32AD1" w:rsidRPr="00E41CC8" w:rsidRDefault="00E41CC8">
            <w:pPr>
              <w:spacing w:after="20"/>
              <w:rPr>
                <w:lang w:val="kk-KZ"/>
              </w:rPr>
            </w:pPr>
            <w:r>
              <w:rPr>
                <w:b/>
                <w:bCs/>
                <w:sz w:val="19"/>
                <w:szCs w:val="19"/>
                <w:lang w:val="kk-KZ"/>
              </w:rPr>
              <w:t>2026 жылғы 2</w:t>
            </w:r>
            <w:r w:rsidR="000A0A1E">
              <w:rPr>
                <w:b/>
                <w:bCs/>
                <w:sz w:val="19"/>
                <w:szCs w:val="19"/>
                <w:lang w:val="en-US"/>
              </w:rPr>
              <w:t>1</w:t>
            </w:r>
            <w:r>
              <w:rPr>
                <w:b/>
                <w:bCs/>
                <w:sz w:val="19"/>
                <w:szCs w:val="19"/>
                <w:lang w:val="kk-KZ"/>
              </w:rPr>
              <w:t xml:space="preserve"> тамыз</w:t>
            </w:r>
          </w:p>
        </w:tc>
      </w:tr>
      <w:tr w:rsidR="00E32AD1" w14:paraId="14D5DD3C" w14:textId="77777777">
        <w:tc>
          <w:tcPr>
            <w:tcW w:w="5000" w:type="dxa"/>
            <w:tcMar>
              <w:top w:w="60" w:type="dxa"/>
              <w:left w:w="100" w:type="dxa"/>
              <w:bottom w:w="60" w:type="dxa"/>
              <w:right w:w="100" w:type="dxa"/>
            </w:tcMar>
          </w:tcPr>
          <w:p w14:paraId="188BE004" w14:textId="77777777" w:rsidR="00E32AD1" w:rsidRDefault="002C7D5C">
            <w:pPr>
              <w:spacing w:after="20"/>
            </w:pPr>
            <w:r>
              <w:rPr>
                <w:sz w:val="19"/>
                <w:szCs w:val="19"/>
              </w:rPr>
              <w:t>Нәтижелер туралы хабарлама</w:t>
            </w:r>
          </w:p>
        </w:tc>
        <w:tc>
          <w:tcPr>
            <w:tcW w:w="4000" w:type="dxa"/>
            <w:tcMar>
              <w:top w:w="60" w:type="dxa"/>
              <w:left w:w="100" w:type="dxa"/>
              <w:bottom w:w="60" w:type="dxa"/>
              <w:right w:w="100" w:type="dxa"/>
            </w:tcMar>
          </w:tcPr>
          <w:p w14:paraId="491DBC84" w14:textId="6BEDF025" w:rsidR="00E32AD1" w:rsidRDefault="00E41CC8">
            <w:pPr>
              <w:spacing w:after="20"/>
            </w:pPr>
            <w:r>
              <w:t>2026 жылғы 09 қыркүйек</w:t>
            </w:r>
          </w:p>
        </w:tc>
      </w:tr>
      <w:tr w:rsidR="00E32AD1" w14:paraId="09913BC2" w14:textId="77777777">
        <w:tc>
          <w:tcPr>
            <w:tcW w:w="5000" w:type="dxa"/>
            <w:tcMar>
              <w:top w:w="60" w:type="dxa"/>
              <w:left w:w="100" w:type="dxa"/>
              <w:bottom w:w="60" w:type="dxa"/>
              <w:right w:w="100" w:type="dxa"/>
            </w:tcMar>
          </w:tcPr>
          <w:p w14:paraId="6B9512FF" w14:textId="77777777" w:rsidR="00E32AD1" w:rsidRDefault="002C7D5C">
            <w:pPr>
              <w:spacing w:after="20"/>
            </w:pPr>
            <w:r>
              <w:rPr>
                <w:sz w:val="19"/>
                <w:szCs w:val="19"/>
              </w:rPr>
              <w:t>Өткізу</w:t>
            </w:r>
          </w:p>
        </w:tc>
        <w:tc>
          <w:tcPr>
            <w:tcW w:w="4000" w:type="dxa"/>
            <w:tcMar>
              <w:top w:w="60" w:type="dxa"/>
              <w:left w:w="100" w:type="dxa"/>
              <w:bottom w:w="60" w:type="dxa"/>
              <w:right w:w="100" w:type="dxa"/>
            </w:tcMar>
          </w:tcPr>
          <w:p w14:paraId="5106B66C" w14:textId="77777777" w:rsidR="00E32AD1" w:rsidRDefault="002C7D5C">
            <w:pPr>
              <w:spacing w:after="20"/>
            </w:pPr>
            <w:r>
              <w:rPr>
                <w:sz w:val="19"/>
                <w:szCs w:val="19"/>
              </w:rPr>
              <w:t>2026 жылғы 9–20 қараша</w:t>
            </w:r>
          </w:p>
        </w:tc>
      </w:tr>
    </w:tbl>
    <w:p w14:paraId="23AE31E2" w14:textId="77777777" w:rsidR="00E32AD1" w:rsidRDefault="002C7D5C">
      <w:pPr>
        <w:pStyle w:val="2"/>
        <w:spacing w:before="140" w:after="60"/>
      </w:pPr>
      <w:r>
        <w:rPr>
          <w:b/>
          <w:bCs/>
          <w:color w:val="1F5C99"/>
          <w:sz w:val="22"/>
          <w:szCs w:val="22"/>
        </w:rPr>
        <w:t>Ұсыныстар</w:t>
      </w:r>
      <w:r>
        <w:rPr>
          <w:b/>
          <w:bCs/>
          <w:color w:val="1F5C99"/>
          <w:sz w:val="22"/>
          <w:szCs w:val="22"/>
        </w:rPr>
        <w:t xml:space="preserve"> беру</w:t>
      </w:r>
    </w:p>
    <w:p w14:paraId="5482A35A" w14:textId="3363AC8F" w:rsidR="006D301B" w:rsidRPr="006734C4" w:rsidRDefault="006D301B" w:rsidP="006D301B">
      <w:pPr>
        <w:spacing w:after="100" w:line="276" w:lineRule="auto"/>
        <w:rPr>
          <w:lang w:val="kk-KZ"/>
        </w:rPr>
      </w:pPr>
      <w:r>
        <w:t xml:space="preserve">Павильонда іс-шаралар өткізуге өтінімдер Өтінім нысаны бойынша беріледі. Сарапшылар мен экспонаттар жөніндегі ұсыныстар «Бірлескен ұсыныс: сарапшылар мен экспонаттар» нысаны бойынша беріледі. Нысандар </w:t>
      </w:r>
      <w:hyperlink r:id="rId7" w:history="1">
        <w:r w:rsidRPr="00521F50">
          <w:rPr>
            <w:rStyle w:val="a5"/>
          </w:rPr>
          <w:t>cop31.kz@gmail.com</w:t>
        </w:r>
      </w:hyperlink>
      <w:r w:rsidRPr="006734C4">
        <w:rPr>
          <w:lang w:val="kk-KZ"/>
        </w:rPr>
        <w:t xml:space="preserve"> мекенжайына жіберіледі. </w:t>
      </w:r>
    </w:p>
    <w:p w14:paraId="05235080" w14:textId="32C1946E" w:rsidR="006D301B" w:rsidRPr="006D301B" w:rsidRDefault="006D301B" w:rsidP="006D301B">
      <w:pPr>
        <w:spacing w:after="100" w:line="276" w:lineRule="auto"/>
      </w:pPr>
      <w:r>
        <w:t>Ұсыныстар беру кезінде ұсыну тәртібі, басымдықтар мен іріктеу шарттары айқындалған «Ұсыныстар беру жөніндегі нұсқаулықты» басшылыққа алу қажет. Белгіленген талаптар бұзыла отырып ресімделген өтінімдер қарауға қабылданбайды.</w:t>
      </w:r>
    </w:p>
    <w:sectPr w:rsidR="006D301B" w:rsidRPr="006D301B">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4F520" w14:textId="77777777" w:rsidR="002C7D5C" w:rsidRDefault="002C7D5C">
      <w:r>
        <w:separator/>
      </w:r>
    </w:p>
  </w:endnote>
  <w:endnote w:type="continuationSeparator" w:id="0">
    <w:p w14:paraId="4F02959B" w14:textId="77777777" w:rsidR="002C7D5C" w:rsidRDefault="002C7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D751" w14:textId="41F4A8D9" w:rsidR="00E32AD1" w:rsidRPr="006D301B" w:rsidRDefault="002C7D5C">
    <w:pPr>
      <w:pBdr>
        <w:top w:val="single" w:sz="4" w:space="4" w:color="AEC3DA"/>
      </w:pBdr>
      <w:tabs>
        <w:tab w:val="right" w:pos="9000"/>
      </w:tabs>
      <w:rPr>
        <w:lang w:val="kk-KZ"/>
      </w:rPr>
    </w:pPr>
    <w:r>
      <w:rPr>
        <w:color w:val="55606B"/>
        <w:sz w:val="15"/>
        <w:szCs w:val="15"/>
      </w:rPr>
      <w:t>Қазақстанның</w:t>
    </w:r>
    <w:r>
      <w:rPr>
        <w:color w:val="55606B"/>
        <w:sz w:val="15"/>
        <w:szCs w:val="15"/>
      </w:rPr>
      <w:t xml:space="preserve"> ұлттық павильоны · COP31 · Анталья 2026</w:t>
    </w:r>
    <w:r>
      <w:rPr>
        <w:sz w:val="15"/>
        <w:szCs w:val="15"/>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A1DAD" w14:textId="77777777" w:rsidR="002C7D5C" w:rsidRDefault="002C7D5C">
      <w:r>
        <w:separator/>
      </w:r>
    </w:p>
  </w:footnote>
  <w:footnote w:type="continuationSeparator" w:id="0">
    <w:p w14:paraId="075EA69D" w14:textId="77777777" w:rsidR="002C7D5C" w:rsidRDefault="002C7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C7FE4"/>
    <w:multiLevelType w:val="hybridMultilevel"/>
    <w:tmpl w:val="49522CCA"/>
    <w:lvl w:ilvl="0" w:tplc="B76881B4">
      <w:start w:val="1"/>
      <w:numFmt w:val="bullet"/>
      <w:lvlText w:val="●"/>
      <w:lvlJc w:val="left"/>
      <w:pPr>
        <w:ind w:left="720" w:hanging="360"/>
      </w:pPr>
    </w:lvl>
    <w:lvl w:ilvl="1" w:tplc="5EA675A0">
      <w:start w:val="1"/>
      <w:numFmt w:val="bullet"/>
      <w:lvlText w:val="○"/>
      <w:lvlJc w:val="left"/>
      <w:pPr>
        <w:ind w:left="1440" w:hanging="360"/>
      </w:pPr>
    </w:lvl>
    <w:lvl w:ilvl="2" w:tplc="1B643DA4">
      <w:start w:val="1"/>
      <w:numFmt w:val="bullet"/>
      <w:lvlText w:val="■"/>
      <w:lvlJc w:val="left"/>
      <w:pPr>
        <w:ind w:left="2160" w:hanging="360"/>
      </w:pPr>
    </w:lvl>
    <w:lvl w:ilvl="3" w:tplc="45C2A624">
      <w:start w:val="1"/>
      <w:numFmt w:val="bullet"/>
      <w:lvlText w:val="●"/>
      <w:lvlJc w:val="left"/>
      <w:pPr>
        <w:ind w:left="2880" w:hanging="360"/>
      </w:pPr>
    </w:lvl>
    <w:lvl w:ilvl="4" w:tplc="251E6054">
      <w:start w:val="1"/>
      <w:numFmt w:val="bullet"/>
      <w:lvlText w:val="○"/>
      <w:lvlJc w:val="left"/>
      <w:pPr>
        <w:ind w:left="3600" w:hanging="360"/>
      </w:pPr>
    </w:lvl>
    <w:lvl w:ilvl="5" w:tplc="13621AF4">
      <w:start w:val="1"/>
      <w:numFmt w:val="bullet"/>
      <w:lvlText w:val="■"/>
      <w:lvlJc w:val="left"/>
      <w:pPr>
        <w:ind w:left="4320" w:hanging="360"/>
      </w:pPr>
    </w:lvl>
    <w:lvl w:ilvl="6" w:tplc="7124D074">
      <w:start w:val="1"/>
      <w:numFmt w:val="bullet"/>
      <w:lvlText w:val="●"/>
      <w:lvlJc w:val="left"/>
      <w:pPr>
        <w:ind w:left="5040" w:hanging="360"/>
      </w:pPr>
    </w:lvl>
    <w:lvl w:ilvl="7" w:tplc="7E4A467C">
      <w:start w:val="1"/>
      <w:numFmt w:val="bullet"/>
      <w:lvlText w:val="●"/>
      <w:lvlJc w:val="left"/>
      <w:pPr>
        <w:ind w:left="5760" w:hanging="360"/>
      </w:pPr>
    </w:lvl>
    <w:lvl w:ilvl="8" w:tplc="5CF6E2E4">
      <w:start w:val="1"/>
      <w:numFmt w:val="bullet"/>
      <w:lvlText w:val="●"/>
      <w:lvlJc w:val="left"/>
      <w:pPr>
        <w:ind w:left="6480" w:hanging="360"/>
      </w:pPr>
    </w:lvl>
  </w:abstractNum>
  <w:abstractNum w:abstractNumId="1" w15:restartNumberingAfterBreak="0">
    <w:nsid w:val="4022094D"/>
    <w:multiLevelType w:val="hybridMultilevel"/>
    <w:tmpl w:val="16620F1C"/>
    <w:lvl w:ilvl="0" w:tplc="11C06C8A">
      <w:start w:val="1"/>
      <w:numFmt w:val="decimal"/>
      <w:lvlText w:val="%1."/>
      <w:lvlJc w:val="left"/>
      <w:pPr>
        <w:ind w:left="420" w:hanging="260"/>
      </w:pPr>
      <w:rPr>
        <w:b/>
        <w:bCs/>
        <w:color w:val="10365C"/>
      </w:rPr>
    </w:lvl>
    <w:lvl w:ilvl="1" w:tplc="6B04EA8E">
      <w:numFmt w:val="decimal"/>
      <w:lvlText w:val=""/>
      <w:lvlJc w:val="left"/>
    </w:lvl>
    <w:lvl w:ilvl="2" w:tplc="CF26A578">
      <w:numFmt w:val="decimal"/>
      <w:lvlText w:val=""/>
      <w:lvlJc w:val="left"/>
    </w:lvl>
    <w:lvl w:ilvl="3" w:tplc="7ABE3166">
      <w:numFmt w:val="decimal"/>
      <w:lvlText w:val=""/>
      <w:lvlJc w:val="left"/>
    </w:lvl>
    <w:lvl w:ilvl="4" w:tplc="6D804588">
      <w:numFmt w:val="decimal"/>
      <w:lvlText w:val=""/>
      <w:lvlJc w:val="left"/>
    </w:lvl>
    <w:lvl w:ilvl="5" w:tplc="FAB8FCB8">
      <w:numFmt w:val="decimal"/>
      <w:lvlText w:val=""/>
      <w:lvlJc w:val="left"/>
    </w:lvl>
    <w:lvl w:ilvl="6" w:tplc="AC5E2D24">
      <w:numFmt w:val="decimal"/>
      <w:lvlText w:val=""/>
      <w:lvlJc w:val="left"/>
    </w:lvl>
    <w:lvl w:ilvl="7" w:tplc="1728CEBA">
      <w:numFmt w:val="decimal"/>
      <w:lvlText w:val=""/>
      <w:lvlJc w:val="left"/>
    </w:lvl>
    <w:lvl w:ilvl="8" w:tplc="3B42D0C0">
      <w:numFmt w:val="decimal"/>
      <w:lvlText w:val=""/>
      <w:lvlJc w:val="left"/>
    </w:lvl>
  </w:abstractNum>
  <w:abstractNum w:abstractNumId="2" w15:restartNumberingAfterBreak="0">
    <w:nsid w:val="48A650C1"/>
    <w:multiLevelType w:val="hybridMultilevel"/>
    <w:tmpl w:val="9830196E"/>
    <w:lvl w:ilvl="0" w:tplc="F7B8DD42">
      <w:start w:val="1"/>
      <w:numFmt w:val="bullet"/>
      <w:lvlText w:val="•"/>
      <w:lvlJc w:val="left"/>
      <w:pPr>
        <w:ind w:left="420" w:hanging="220"/>
      </w:pPr>
      <w:rPr>
        <w:color w:val="1F5C99"/>
      </w:rPr>
    </w:lvl>
    <w:lvl w:ilvl="1" w:tplc="F15E35F6">
      <w:start w:val="1"/>
      <w:numFmt w:val="bullet"/>
      <w:lvlText w:val="–"/>
      <w:lvlJc w:val="left"/>
      <w:pPr>
        <w:ind w:left="820" w:hanging="220"/>
      </w:pPr>
    </w:lvl>
    <w:lvl w:ilvl="2" w:tplc="78E464E4">
      <w:numFmt w:val="decimal"/>
      <w:lvlText w:val=""/>
      <w:lvlJc w:val="left"/>
    </w:lvl>
    <w:lvl w:ilvl="3" w:tplc="08DC2E9C">
      <w:numFmt w:val="decimal"/>
      <w:lvlText w:val=""/>
      <w:lvlJc w:val="left"/>
    </w:lvl>
    <w:lvl w:ilvl="4" w:tplc="950A2F54">
      <w:numFmt w:val="decimal"/>
      <w:lvlText w:val=""/>
      <w:lvlJc w:val="left"/>
    </w:lvl>
    <w:lvl w:ilvl="5" w:tplc="38DA5B52">
      <w:numFmt w:val="decimal"/>
      <w:lvlText w:val=""/>
      <w:lvlJc w:val="left"/>
    </w:lvl>
    <w:lvl w:ilvl="6" w:tplc="F1001548">
      <w:numFmt w:val="decimal"/>
      <w:lvlText w:val=""/>
      <w:lvlJc w:val="left"/>
    </w:lvl>
    <w:lvl w:ilvl="7" w:tplc="B1BE7892">
      <w:numFmt w:val="decimal"/>
      <w:lvlText w:val=""/>
      <w:lvlJc w:val="left"/>
    </w:lvl>
    <w:lvl w:ilvl="8" w:tplc="0C36F79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AD1"/>
    <w:rsid w:val="000A0A1E"/>
    <w:rsid w:val="000D27A1"/>
    <w:rsid w:val="002C7D5C"/>
    <w:rsid w:val="00401F50"/>
    <w:rsid w:val="006734C4"/>
    <w:rsid w:val="006D301B"/>
    <w:rsid w:val="008E5D14"/>
    <w:rsid w:val="00911EB0"/>
    <w:rsid w:val="00B60FA4"/>
    <w:rsid w:val="00E32AD1"/>
    <w:rsid w:val="00E41CC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EDF6B"/>
  <w15:docId w15:val="{BC119361-6C51-544A-A718-5E9B5E66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1"/>
        <w:szCs w:val="21"/>
        <w:lang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6D301B"/>
    <w:pPr>
      <w:tabs>
        <w:tab w:val="center" w:pos="4513"/>
        <w:tab w:val="right" w:pos="9026"/>
      </w:tabs>
    </w:pPr>
  </w:style>
  <w:style w:type="character" w:customStyle="1" w:styleId="ad">
    <w:name w:val="Верхний колонтитул Знак"/>
    <w:basedOn w:val="a0"/>
    <w:link w:val="ac"/>
    <w:uiPriority w:val="99"/>
    <w:rsid w:val="006D301B"/>
  </w:style>
  <w:style w:type="paragraph" w:styleId="ae">
    <w:name w:val="footer"/>
    <w:basedOn w:val="a"/>
    <w:link w:val="af"/>
    <w:uiPriority w:val="99"/>
    <w:unhideWhenUsed/>
    <w:rsid w:val="006D301B"/>
    <w:pPr>
      <w:tabs>
        <w:tab w:val="center" w:pos="4513"/>
        <w:tab w:val="right" w:pos="9026"/>
      </w:tabs>
    </w:pPr>
  </w:style>
  <w:style w:type="character" w:customStyle="1" w:styleId="af">
    <w:name w:val="Нижний колонтитул Знак"/>
    <w:basedOn w:val="a0"/>
    <w:link w:val="ae"/>
    <w:uiPriority w:val="99"/>
    <w:rsid w:val="006D301B"/>
  </w:style>
  <w:style w:type="character" w:styleId="af0">
    <w:name w:val="Unresolved Mention"/>
    <w:basedOn w:val="a0"/>
    <w:uiPriority w:val="99"/>
    <w:semiHidden/>
    <w:unhideWhenUsed/>
    <w:rsid w:val="006D3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p31.k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383</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Аруна Жакупова</cp:lastModifiedBy>
  <cp:revision>3</cp:revision>
  <dcterms:created xsi:type="dcterms:W3CDTF">2026-08-12T11:32:00Z</dcterms:created>
  <dcterms:modified xsi:type="dcterms:W3CDTF">2026-08-13T04:21:00Z</dcterms:modified>
</cp:coreProperties>
</file>