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5C4" w:rsidRPr="007635C4" w:rsidRDefault="007635C4" w:rsidP="007635C4">
      <w:pPr>
        <w:widowControl w:val="0"/>
        <w:numPr>
          <w:ilvl w:val="0"/>
          <w:numId w:val="1"/>
        </w:numPr>
        <w:tabs>
          <w:tab w:val="left" w:pos="1224"/>
        </w:tabs>
        <w:autoSpaceDE w:val="0"/>
        <w:autoSpaceDN w:val="0"/>
        <w:spacing w:before="180" w:line="272" w:lineRule="exact"/>
        <w:jc w:val="center"/>
        <w:outlineLvl w:val="2"/>
        <w:rPr>
          <w:b/>
          <w:bCs/>
          <w:lang w:eastAsia="en-US"/>
        </w:rPr>
      </w:pPr>
      <w:bookmarkStart w:id="0" w:name="_Toc240939083"/>
      <w:r w:rsidRPr="007635C4">
        <w:rPr>
          <w:b/>
          <w:bCs/>
          <w:lang w:eastAsia="en-US"/>
        </w:rPr>
        <w:t>КРАТКОЕ НЕТЕХНИЧЕСКОЕ РЕЗЮМЕ</w:t>
      </w:r>
      <w:bookmarkEnd w:id="0"/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Инициатор: АО «Агромашхолдинг KZ», юр. адрес: 110000, г. Костанай, ул. Промышленная, 41. БИН 171240006468. Тел.: 87770532784, zalazhuk.ly@amh.kz.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АО «Агромашхолдинг KZ» расположено в северо-западной промышленной зоне г. Костаная, по адресу ул. Промышленная, 41. Основная площадка завода ограничена с востока улицей Промышленная и проспектом Назарбаева, с севера – лесополосой шириной 50–70 м. Юго-восточнее расположен Северо-Западный район на расстоянии до ближайшего жилья 340 м, юго-западнее, на расстоянии 1000 м, расположена жилая зона Костанай-2; на расстоянии 2300 м в юго-восточном направлении – селитебная зона г. Костанай.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Географические координаты: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53°14'38.66"С 63°35'23.36"В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53°14'57.37"С 63°34'45.74"В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53°15'3.09"С 63°35'3.05"В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53°14'45.80"С 63°35'35.19"В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Предприятие является действующим, в связи с чем возможность выбора других мест осуществления деятельности отсутствует.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Основная деятельность предприятия – производство сельскохозяйственных машин. Для обеспечения работы в состав предприятия входят производственные и вспомогательные подразделения: котельные, газовые инфракрасные излучатели (ГИИ), транспортный цех, металлургический цех, участки механической обработки деталей, заготовительно-прессовый и сварочные участки, окрасочные участки, цех сборки техники, открытая и закрытая стоянки и другие подразделения, обеспечивающие технологический процесс производства сельскохозяйственной техники.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Годовая производительность предприятия составляет: комбайны «Есиль», John Deere – 578 шт.; тракторы LOVOL, John Deere – 2189 шт.; прицепные сельскохозяйственные орудия и оборудование (сцепки сеялочные, жатки) – 499 шт.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АО «Агромашхолдинг KZ» – промышленное предприятие, осуществляющее производство и сборку сельскохозяйственной техники. Технологический процесс включает полный цикл изготовления продукции – от подготовки и обработки металлических заготовок до окончательной сборки и контрольных испытаний готовых машин.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Котельные обеспечивают подачу тепловой энергии, необходимой для отопления производственных и административных помещений и технологических нужд. Газовые инфракрасные излучатели используются для локального обогрева рабочих зон и технологических процессов. Заготовительно-прессовые, сварочные и механические участки обеспечивают резку, гибку, сварку и механическую обработку металлических заготовок и деталей. Металлургический цех обеспечивает изготовление, восстановление и термообработку деталей, а также изготовление деталей и узлов чугунного литья. Окрасочные участки осуществляют подготовку поверхностей, грунтование и окраску деталей и узлов. Цех сборки техники выполняет поузловую и окончательную сборку машин, установку агрегатов, гидравлических и электрических систем, а также проведение контрольных испытаний готовой продукции. Транспортный цех обеспечивает внутренние и внешние перевозки сырья, материалов и готовых изделий. Открытые и закрытые стоянки используются для временного хранения техники до момента отгрузки потребителю.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 xml:space="preserve">В связи с увеличением проектной мощности по сборке сельскохозяйственной техники предусматривается увеличение объемов выпуска продукции, что приводит преимущественно к увеличению времени работы существующего станочного оборудования и производственных линий. Производственная программа включает выпуск комбайнов «Есиль» – 273 шт./год, John Deere – 305 шт./год; тракторов LOVOL – 1083 </w:t>
      </w:r>
      <w:r w:rsidRPr="007635C4">
        <w:rPr>
          <w:lang w:eastAsia="en-US"/>
        </w:rPr>
        <w:lastRenderedPageBreak/>
        <w:t>шт./год, John Deere – 1106 шт./год; сцепок сеялочных – 281 шт./год; жаток – 218 шт./год, а также подборщиков, опрыскивателей и тележек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91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для транспортировки сеялок. Режим работы составляет одну смену продолжительностью 8 часов. Для увеличения производства предусматривается участок по сборке кабин для сельскохозяйственной техники производительностью 2 кабины в смену, годовая мощность – 494 кабины в год.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При эксплуатации предприятия источниками воздействия на атмосферный воздух являются технологическое и вспомогательное оборудование, процессы металлообработки, сварки, литья и термической обработки металлов, подготовки и окраски поверхностей, работа котельного оборудования, транспортных средств и другие производственные процессы.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В процессе эксплуатации АО «Агромашхолдинг KZ» в атмосферный воздух поступает 25 наименований загрязняющих веществ. Согласно таблице 1.8.1 «Перечень загрязняющих веществ, выбрасываемых в атмосферу» общий валовый выброс загрязняющих веществ составляет 81,1263579 т/год, максимально-разовый выброс — 47,8654162 г/с.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Основной вклад в валовый выброс вносят: пыль неорганическая, содержащая двуокись кремния 70–20 % — 39,3274 т/год; углерода оксид — 17,03421 т/год; взвешенные частицы — 10,04867 т/год; азота диоксид — 9,44158 т/год; железа оксиды — 1,945571 т/год; натрия нитрит — 1,45152 т/год; пыль абразивная — 0,61251 т/год; уайт-спирит — 0,55556 т/год.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Кроме того, в атмосферный воздух поступают марганец и его соединения, натрия гидроксид, азота оксид, водород хлорид, серная кислота, сера диоксид, сероводород, фтористые газообразные соединения, неорганические плохо растворимые фториды, метилбензол, бутилацетат, ацетон, бензин, керосин, масло минеральное нефтяное, алканы С12–19 и эмульсол.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Выбросы загрязняющих веществ связаны с эксплуатацией котельного и отопительного оборудования, литейными и термическими процессами, механической обработкой металлов, сварочными работами, дробеструйной и пескоструйной обработкой, окраской, мойкой деталей, работой автотранспорта, испытанием и обкаткой готовой техники и другими технологическими операциями предприятия.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Проведено определение необходимости расчетов приземных концентраций загрязняющих веществ с использованием программного комплекса «ЭРА». По результатам расчетов концентрации загрязняющих веществ на границе санитарно-защитной зоны не превышают установленных предельно допустимых значений. Для объекта определена II категория.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Согласно санитарно-эпидемиологическому заключению № Р.17.Х.KZ96VBZ00006181 от 03.09.2019 г. на проект обоснования санитарно-защитной зоны АО «Агромашхолдинг KZ» размер санитарно-защитной зоны при работе предприятия на полную проектную мощность принят 100 м. Производственная деятельность осуществляется на существующей промышленной площадке, изменение основного профиля деятельности предприятия не предусматривается. Увеличение выпуска продукции связано с увеличением мощности сборки сельскохозяйственной техники и времени работы оборудования. На границе установленной санитарно-защитной зоны осуществляется производственный контроль состояния атмосферного воздуха. В случае если по результатам расчетов и натурных исследований будет установлена невозможность соблюдения гигиенических нормативов на существующей границе СЗЗ, размер санитарно-защитной зоны подлежит корректировке в установленном порядке.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 xml:space="preserve">Для обеспечения персонала питьевой водой используется привозная бутилированная вода, доставляемая в цеха, производственные участки и отделы предприятия. Для хозяйственно-бытовых и технологических нужд используется </w:t>
      </w:r>
      <w:r w:rsidRPr="007635C4">
        <w:rPr>
          <w:lang w:eastAsia="en-US"/>
        </w:rPr>
        <w:lastRenderedPageBreak/>
        <w:t>централизованное водоснабжение от городских сетей. Вода используется в производственных процессах, для полива зеленых насаждений, уборки территории и хозяйственно-бытовых нужд персонала. Общий расход воды на предприятии составляет 9498 м³/год.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Производственная деятельность осуществляется на существующей промышленной территории с твердым покрытием и не связана с перепланировкой поверхности или изменением существующего рельефа. При соблюдении предусмотренных мероприятий существенного негативного воздействия на земельные ресурсы и почвенный покров не ожидается. Отходы производства и потребления накапливаются в специально предназначенных местах и емкостях,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92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исключающих загрязнение территории.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Территория предприятия расположена в промышленной зоне города Костанай и является антропогенно измененной. Территория не является экологической нишей для эндемичных и краснокнижных видов растений и животных. Снос зеленых насаждений проектом не предусматривается. При соблюдении технологических и природоохранных требований существенного негативного воздействия на растительный и животный мир не ожидается.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В процессе эксплуатации предприятия образуются следующие виды отходов: твердые бытовые отходы (ТБО) – 150 т/год; отработанные шины – 10 т/год; отработанные электроды – 0,9 т/год; отработанные масла – 20 т/год; отходы СОЖ – 20 т/год; опилки и стружка черных металлов – 200 т/год; отработанные аккумуляторы – 0,7 т/год; ртутьсодержащие лампы – 0,2 т/год; тара из-под краски – 1 т/год; промасленная ветошь – 1 т/год; пищевые отходы – 1 т/год; отработанная оргтехника – 2 т/год; отработанные масляные бумажные фильтры – 1 т/год; металлолом – 1 т/год; шлам цинк-фосфатный – 5 т/год; абсорбенты, фильтровальные материалы, ткани для вытирания и защитная одежда – 1 т/год; пыль порошковой окраски – 0,7 т/год; отработанный песок на основе кварца – 100 т/год; маслосодержащие отходы – 5 т/год; пыль и частицы черных металлов – 10 т/год; отходы фильтрующих материалов, фильтров, мембран и сорбентов – 1 т/год; промасленный песок ГСМ – 1 т/год; отходы РТИ – 1 т/год; шлаки литейного производства – 1 т/год; отходы химических веществ, непригодных к использованию, – 0,5 т/год.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Накопление отходов осуществляется раздельно, в специально отведенных местах, оборудованных с учетом физико-химических свойств и класса опасности отходов. Все образующиеся отходы, за исключением ТБО и отходов, используемых повторно для собственных нужд предприятия, передаются специализированным организациям на основании договоров. Временное накопление отходов осуществляется в сроки, установленные экологическим законодательством Республики Казахстан, до их передачи специализированным организациям.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Для исключения и снижения возможного неблагоприятного воздействия на окружающую среду предусматривается комплекс организационных, технологических и природоохранных мероприятий, включающий контроль технического состояния технологического и газоочистного оборудования, соблюдение технологических регламентов, предупреждение неорганизованных выбросов и утечек, своевременное техническое обслуживание оборудования, рациональное использование водных ресурсов, недопущение сброса загрязненных вод на рельеф, предотвращение загрязнения территории нефтепродуктами и химическими веществами, раздельный сбор и надлежащее накопление отходов, поддержание территории предприятия в надлежащем санитарном состоянии, соблюдение требований пожарной и промышленной безопасности.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 xml:space="preserve">Возможные аварийные ситуации при эксплуатации предприятия связаны преимущественно с нарушением работы технологического оборудования, разгерметизацией емкостей и коммуникаций, проливами нефтепродуктов и химических веществ, аварийными выбросами, возгораниями и пожарами. Для предупреждения и </w:t>
      </w:r>
      <w:r w:rsidRPr="007635C4">
        <w:rPr>
          <w:lang w:eastAsia="en-US"/>
        </w:rPr>
        <w:lastRenderedPageBreak/>
        <w:t>минимизации последствий аварий предусматриваются соблюдение технологических регламентов и инструкций, своевременный контроль технического состояния оборудования, наличие средств пожаротушения и средств локализации проливов, обучение и инструктаж персонала, а также оперативная ликвидация последствий аварийных ситуаций.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</w:pPr>
      <w:r w:rsidRPr="007635C4">
        <w:rPr>
          <w:lang w:eastAsia="en-US"/>
        </w:rPr>
        <w:t>Реализация намечаемой деятельности не приведет к существенному изменению существующего характера использования территории. При соблюдении принятых технологических решений, природоохранных мероприятий и требований экологического законодательства воздействие предприятия на окружающую среду оценивается как допустимое.</w:t>
      </w:r>
    </w:p>
    <w:p w:rsidR="007635C4" w:rsidRPr="007635C4" w:rsidRDefault="007635C4" w:rsidP="007635C4">
      <w:pPr>
        <w:widowControl w:val="0"/>
        <w:autoSpaceDE w:val="0"/>
        <w:autoSpaceDN w:val="0"/>
        <w:spacing w:line="242" w:lineRule="auto"/>
        <w:ind w:left="707" w:firstLine="710"/>
        <w:jc w:val="both"/>
        <w:outlineLvl w:val="5"/>
        <w:rPr>
          <w:lang w:eastAsia="en-US"/>
        </w:rPr>
        <w:sectPr w:rsidR="007635C4" w:rsidRPr="007635C4" w:rsidSect="007635C4">
          <w:pgSz w:w="11910" w:h="16840"/>
          <w:pgMar w:top="1134" w:right="851" w:bottom="1134" w:left="1134" w:header="708" w:footer="0" w:gutter="0"/>
          <w:paperSrc w:first="1" w:other="1"/>
          <w:cols w:space="720"/>
        </w:sectPr>
      </w:pPr>
      <w:r w:rsidRPr="007635C4">
        <w:rPr>
          <w:lang w:eastAsia="en-US"/>
        </w:rPr>
        <w:t>Реализация проекта не отразится отрицательно на интересах населения, проживающего в окрестностях предприятия, в части права на хозяйственную деятельность или отдых. Размещение свалок и иных объектов, способных оказать дополнительное негативное влияние на санитарно-эпидемиологическое состояние территории, не предусматривается. Эксплуатация предприятия будет способствовать сохранению и развитию промышленного производства и занятости населения региона.</w:t>
      </w:r>
    </w:p>
    <w:p w:rsidR="007E7FC4" w:rsidRDefault="007E7FC4">
      <w:bookmarkStart w:id="1" w:name="_GoBack"/>
      <w:bookmarkEnd w:id="1"/>
    </w:p>
    <w:sectPr w:rsidR="007E7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654806"/>
    <w:multiLevelType w:val="multilevel"/>
    <w:tmpl w:val="2578D5A0"/>
    <w:lvl w:ilvl="0">
      <w:start w:val="9"/>
      <w:numFmt w:val="decimal"/>
      <w:lvlText w:val="%1"/>
      <w:lvlJc w:val="left"/>
      <w:pPr>
        <w:ind w:left="250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70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2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7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9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5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04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E1"/>
    <w:rsid w:val="002A5EE1"/>
    <w:rsid w:val="007635C4"/>
    <w:rsid w:val="007E7FC4"/>
    <w:rsid w:val="00D839AB"/>
    <w:rsid w:val="00E12251"/>
    <w:rsid w:val="00F1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2F9C9C-EC80-437F-BE8B-1EB31CC1B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0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,Н1,Знак"/>
    <w:basedOn w:val="a"/>
    <w:link w:val="10"/>
    <w:uiPriority w:val="99"/>
    <w:qFormat/>
    <w:rsid w:val="00F10C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5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35C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,Н1 Знак,Знак Знак"/>
    <w:basedOn w:val="a0"/>
    <w:link w:val="1"/>
    <w:uiPriority w:val="99"/>
    <w:rsid w:val="00F10CDA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7635C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635C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1752</Words>
  <Characters>9992</Characters>
  <Application>Microsoft Office Word</Application>
  <DocSecurity>0</DocSecurity>
  <Lines>83</Lines>
  <Paragraphs>23</Paragraphs>
  <ScaleCrop>false</ScaleCrop>
  <Company>SPecialiST RePack</Company>
  <LinksUpToDate>false</LinksUpToDate>
  <CharactersWithSpaces>11721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Учетная запись Майкрософт</cp:lastModifiedBy>
  <cp:revision>6</cp:revision>
  <dcterms:created xsi:type="dcterms:W3CDTF">2024-07-04T06:40:00Z</dcterms:created>
  <dcterms:modified xsi:type="dcterms:W3CDTF">2026-10-16T06:39:00Z</dcterms:modified>
</cp:coreProperties>
</file>