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29ECD" w14:textId="77777777" w:rsidR="000A7E21" w:rsidRPr="000A7E21" w:rsidRDefault="000A7E21" w:rsidP="000A7E21">
      <w:pPr>
        <w:spacing w:after="0" w:line="240" w:lineRule="auto"/>
        <w:ind w:firstLine="709"/>
        <w:jc w:val="center"/>
        <w:rPr>
          <w:rFonts w:ascii="Times New Roman" w:hAnsi="Times New Roman"/>
          <w:b/>
          <w:sz w:val="24"/>
          <w:szCs w:val="24"/>
          <w:lang w:val="kk-KZ"/>
        </w:rPr>
      </w:pPr>
      <w:r w:rsidRPr="000A7E21">
        <w:rPr>
          <w:rFonts w:ascii="Times New Roman" w:hAnsi="Times New Roman"/>
          <w:b/>
          <w:sz w:val="24"/>
          <w:szCs w:val="24"/>
          <w:lang w:val="kk-KZ"/>
        </w:rPr>
        <w:t>АҚПАРАТТЫҚ ХАБАРЛАМА</w:t>
      </w:r>
    </w:p>
    <w:p w14:paraId="413305A6" w14:textId="77777777" w:rsidR="000A7E21" w:rsidRPr="000A7E21" w:rsidRDefault="000A7E21" w:rsidP="000A7E21">
      <w:pPr>
        <w:spacing w:after="0" w:line="240" w:lineRule="auto"/>
        <w:ind w:firstLine="709"/>
        <w:jc w:val="center"/>
        <w:rPr>
          <w:rFonts w:ascii="Times New Roman" w:hAnsi="Times New Roman"/>
          <w:b/>
          <w:sz w:val="24"/>
          <w:szCs w:val="24"/>
        </w:rPr>
      </w:pPr>
    </w:p>
    <w:p w14:paraId="5D6C8FCA" w14:textId="77777777" w:rsidR="000A7E21" w:rsidRPr="000A7E21" w:rsidRDefault="000A7E21" w:rsidP="000A7E21">
      <w:pPr>
        <w:spacing w:after="0" w:line="240" w:lineRule="auto"/>
        <w:ind w:firstLine="709"/>
        <w:jc w:val="center"/>
        <w:rPr>
          <w:rFonts w:ascii="Times New Roman" w:hAnsi="Times New Roman"/>
          <w:b/>
          <w:sz w:val="24"/>
          <w:szCs w:val="24"/>
          <w:lang w:val="kk-KZ"/>
        </w:rPr>
      </w:pPr>
      <w:r w:rsidRPr="000A7E21">
        <w:rPr>
          <w:rFonts w:ascii="Times New Roman" w:hAnsi="Times New Roman"/>
          <w:b/>
          <w:sz w:val="24"/>
          <w:szCs w:val="24"/>
          <w:lang w:val="kk-KZ"/>
        </w:rPr>
        <w:t xml:space="preserve">«БЖЗҚ» АҚ халыққа жыл басынан бері 36 миллионнан астам қызмет көрсетті </w:t>
      </w:r>
    </w:p>
    <w:p w14:paraId="28D51419" w14:textId="77777777" w:rsidR="000A7E21" w:rsidRPr="000A7E21" w:rsidRDefault="000A7E21" w:rsidP="000A7E21">
      <w:pPr>
        <w:spacing w:after="0" w:line="240" w:lineRule="auto"/>
        <w:ind w:firstLine="709"/>
        <w:jc w:val="center"/>
        <w:rPr>
          <w:rFonts w:ascii="Times New Roman" w:hAnsi="Times New Roman"/>
          <w:b/>
          <w:sz w:val="24"/>
          <w:szCs w:val="24"/>
          <w:lang w:val="kk-KZ"/>
        </w:rPr>
      </w:pPr>
    </w:p>
    <w:p w14:paraId="1170C326" w14:textId="77777777" w:rsidR="000A7E21" w:rsidRPr="000A7E21" w:rsidRDefault="000A7E21" w:rsidP="000A7E21">
      <w:pPr>
        <w:tabs>
          <w:tab w:val="left" w:pos="960"/>
        </w:tabs>
        <w:spacing w:after="0" w:line="240" w:lineRule="auto"/>
        <w:ind w:firstLine="709"/>
        <w:jc w:val="both"/>
        <w:rPr>
          <w:rFonts w:ascii="Times New Roman" w:hAnsi="Times New Roman"/>
          <w:b/>
          <w:sz w:val="24"/>
          <w:szCs w:val="24"/>
          <w:lang w:val="kk-KZ"/>
        </w:rPr>
      </w:pPr>
      <w:r w:rsidRPr="000A7E21">
        <w:rPr>
          <w:rFonts w:ascii="Times New Roman" w:hAnsi="Times New Roman"/>
          <w:b/>
          <w:sz w:val="24"/>
          <w:szCs w:val="24"/>
          <w:lang w:val="kk-KZ"/>
        </w:rPr>
        <w:t>«</w:t>
      </w:r>
      <w:r w:rsidRPr="000A7E21">
        <w:rPr>
          <w:rFonts w:ascii="Times New Roman" w:hAnsi="Times New Roman"/>
          <w:sz w:val="24"/>
          <w:szCs w:val="24"/>
          <w:lang w:val="kk-KZ"/>
        </w:rPr>
        <w:t>Бірыңғай жинақтаушы зейнетақы қоры» АҚ (БЖЗҚ, Қор) – Қазақстанның жинақтаушы зейнетақы жүйесінің бірыңғай операторы, ол зейнетақы жинақтарының сенімділігі мен ашықтығын қамтамасыз етеді. Оның негізгі міндеті – азаматтардың 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 БЖЗҚ қазақстандықтарға цифрлық форматта түрлі қызметтер көрсетеді және оларды салымшылардың қажеттіліктеріне бейімдей отырып дамытуда. 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2DFB47E5" w14:textId="18EE9C23" w:rsidR="000A7E21" w:rsidRPr="000A7E21" w:rsidRDefault="000A7E21" w:rsidP="000A7E21">
      <w:pPr>
        <w:spacing w:after="0" w:line="240" w:lineRule="auto"/>
        <w:ind w:firstLine="709"/>
        <w:jc w:val="both"/>
        <w:rPr>
          <w:rFonts w:ascii="Times New Roman" w:hAnsi="Times New Roman"/>
          <w:color w:val="000000"/>
          <w:sz w:val="24"/>
          <w:szCs w:val="24"/>
          <w:lang w:val="kk-KZ"/>
        </w:rPr>
      </w:pPr>
      <w:r w:rsidRPr="000A7E21">
        <w:rPr>
          <w:rFonts w:ascii="Times New Roman" w:hAnsi="Times New Roman"/>
          <w:color w:val="000000"/>
          <w:sz w:val="24"/>
          <w:szCs w:val="24"/>
          <w:lang w:val="kk-KZ"/>
        </w:rPr>
        <w:t xml:space="preserve">01.01.2026ж. мен 31.08.2026ж. аралығында Қор салымшыларға 36,2 млн қызмет көрсетті. Көрсетілген қызметтердің жалпы санының 24,0 млн-ы электрондық форматта, 11,4 млн автоматты түрде жүргізілді. Осылайша, автоматты, электронды және қашықтықтан көрсетілген қызметтердің үлесі жалпы санның 98,6%-ын құрады. Цифрландырудың жоғары деңгейіне қарамастан, өңірлік бөлімшелердегі Қор мамандары азаматтарға жүзбе-жүз қызмет көрсетуін әлі де жалғастыруда. Мәселен, күндізгі форматта 516,7 мың қызмет көрсетіліп, оның ішінде 504,3 мың қызмет тікелей Қор кеңселерінде жүзеге асырылған. </w:t>
      </w:r>
    </w:p>
    <w:p w14:paraId="1C01F3C9"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1F22676"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0A7E21">
        <w:rPr>
          <w:rFonts w:ascii="Times New Roman" w:hAnsi="Times New Roman"/>
          <w:sz w:val="24"/>
          <w:szCs w:val="24"/>
          <w:lang w:val="kk-KZ"/>
        </w:rPr>
        <w:softHyphen/>
        <w:t xml:space="preserve">—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 1,3 млн бірлікке жетті.  </w:t>
      </w:r>
    </w:p>
    <w:p w14:paraId="11BA3870" w14:textId="77777777" w:rsidR="000A7E21" w:rsidRPr="000A7E21" w:rsidRDefault="000A7E21" w:rsidP="000A7E21">
      <w:pPr>
        <w:spacing w:after="0" w:line="240" w:lineRule="auto"/>
        <w:ind w:firstLine="709"/>
        <w:jc w:val="both"/>
        <w:rPr>
          <w:rFonts w:ascii="Times New Roman" w:hAnsi="Times New Roman"/>
          <w:color w:val="000000"/>
          <w:sz w:val="24"/>
          <w:szCs w:val="24"/>
          <w:lang w:val="kk-KZ"/>
        </w:rPr>
      </w:pPr>
      <w:r w:rsidRPr="000A7E21">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25,0 млн үзінді көшірме берілді. Оның 22,4 млн-ы – электрондық, ал 2,3 млн үзінді көшірме автоматты түрде рәсімделді. </w:t>
      </w:r>
      <w:r w:rsidRPr="000A7E21">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3013E3AD"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w:t>
      </w:r>
      <w:r w:rsidRPr="000A7E21">
        <w:rPr>
          <w:rFonts w:ascii="Times New Roman" w:hAnsi="Times New Roman"/>
          <w:sz w:val="24"/>
          <w:szCs w:val="24"/>
          <w:lang w:val="kk-KZ"/>
        </w:rPr>
        <w:lastRenderedPageBreak/>
        <w:t>болашақ зейнетақыны болжамды есептеу және т.б. қызметтер қолжетімді. Өткен кезеңде салымшылардың зейнетақы жинақтарының бір бөлігін ИПБ сенімгерлік басқаруына аударуға 88,8 мың өтініші қабылданды, оның басым бөлігі – электрондық форматта.</w:t>
      </w:r>
    </w:p>
    <w:p w14:paraId="0612262A"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БЖЗҚ азаматтардың зейнетақы активтерін инвестициялық басқару жөніндегі </w:t>
      </w:r>
      <w:r w:rsidRPr="000A7E21">
        <w:rPr>
          <w:rFonts w:ascii="Times New Roman" w:hAnsi="Times New Roman"/>
          <w:b/>
          <w:sz w:val="24"/>
          <w:szCs w:val="24"/>
          <w:lang w:val="kk-KZ"/>
        </w:rPr>
        <w:t>invest.enpf.kz</w:t>
      </w:r>
      <w:r w:rsidRPr="000A7E21">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кеңістікке біріктіріп, инвестициялық қызметтері туралы деректерді жүйелі түрде ұсынатынын естеріңізге салады. </w:t>
      </w:r>
      <w:r w:rsidRPr="000A7E21">
        <w:rPr>
          <w:rFonts w:ascii="Times New Roman" w:hAnsi="Times New Roman"/>
          <w:b/>
          <w:sz w:val="24"/>
          <w:szCs w:val="24"/>
          <w:lang w:val="kk-KZ"/>
        </w:rPr>
        <w:t>invest.enpf.kz</w:t>
      </w:r>
      <w:r w:rsidRPr="000A7E21">
        <w:rPr>
          <w:rFonts w:ascii="Times New Roman" w:hAnsi="Times New Roman"/>
          <w:sz w:val="24"/>
          <w:szCs w:val="24"/>
          <w:lang w:val="kk-KZ"/>
        </w:rPr>
        <w:t xml:space="preserve"> порталында пайдаланушыларға 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ИПБ-ның қаржылық көрсеткіштері, ИПБ-ның реттеушілік талаптарды сақтауы туралы деректер, салымшыларға ИПБ-ның портреті мен инвестициялық қызметін жасауға мүмкіндік беретін өзге де мәліметтер қазақ және орыс тілдерінде қолжетімді. </w:t>
      </w:r>
    </w:p>
    <w:p w14:paraId="014EC339"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39,7 мың көшпелі таныстырылым өткізіліп, оған 783,4 мың адам қатысты. Бұқаралық ақпарат құралдарында БЖЗҚ хабарламалары бойынша 27,5 мың материал жарияланды.</w:t>
      </w:r>
    </w:p>
    <w:p w14:paraId="45A40A65"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283,0 мың өтініш түсті.</w:t>
      </w:r>
    </w:p>
    <w:p w14:paraId="412F905F"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8C25CFC" w14:textId="77777777" w:rsidR="000A7E21" w:rsidRPr="000A7E21" w:rsidRDefault="000A7E21" w:rsidP="000A7E21">
      <w:pPr>
        <w:spacing w:after="0" w:line="240" w:lineRule="auto"/>
        <w:ind w:firstLine="708"/>
        <w:jc w:val="both"/>
        <w:rPr>
          <w:rFonts w:ascii="Times New Roman" w:hAnsi="Times New Roman"/>
          <w:sz w:val="24"/>
          <w:szCs w:val="24"/>
          <w:lang w:val="kk-KZ"/>
        </w:rPr>
      </w:pPr>
      <w:r w:rsidRPr="000A7E21">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2CBA734" w14:textId="77777777" w:rsidR="000A7E21" w:rsidRDefault="000A7E21" w:rsidP="0026005B">
      <w:pPr>
        <w:spacing w:after="0" w:line="240" w:lineRule="auto"/>
        <w:ind w:firstLine="709"/>
        <w:jc w:val="center"/>
        <w:rPr>
          <w:rFonts w:ascii="Times New Roman" w:hAnsi="Times New Roman"/>
          <w:b/>
          <w:sz w:val="24"/>
          <w:szCs w:val="24"/>
          <w:lang w:val="kk-KZ"/>
        </w:rPr>
      </w:pPr>
    </w:p>
    <w:p w14:paraId="418228CA" w14:textId="77777777" w:rsidR="00645F55" w:rsidRPr="00645F55" w:rsidRDefault="00645F55" w:rsidP="00645F55">
      <w:pPr>
        <w:spacing w:after="0" w:line="240" w:lineRule="auto"/>
        <w:jc w:val="both"/>
        <w:rPr>
          <w:rFonts w:ascii="Times New Roman" w:hAnsi="Times New Roman"/>
          <w:color w:val="000000"/>
          <w:sz w:val="20"/>
          <w:szCs w:val="20"/>
          <w:lang w:val="kk-KZ"/>
        </w:rPr>
      </w:pPr>
      <w:r>
        <w:rPr>
          <w:rFonts w:ascii="Times New Roman" w:hAnsi="Times New Roman"/>
          <w:b/>
          <w:sz w:val="24"/>
          <w:szCs w:val="24"/>
          <w:lang w:val="kk-KZ"/>
        </w:rPr>
        <w:t xml:space="preserve"> </w:t>
      </w:r>
      <w:r w:rsidRPr="00645F55">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645F55">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645F55">
          <w:rPr>
            <w:rFonts w:ascii="Times New Roman" w:hAnsi="Times New Roman"/>
            <w:i/>
            <w:color w:val="001CAC"/>
            <w:sz w:val="20"/>
            <w:szCs w:val="20"/>
            <w:u w:val="single"/>
            <w:lang w:val="kk-KZ" w:eastAsia="ru-RU" w:bidi="hi-IN"/>
          </w:rPr>
          <w:t>www.enpf.kz</w:t>
        </w:r>
      </w:hyperlink>
      <w:r w:rsidRPr="00645F55">
        <w:rPr>
          <w:rFonts w:ascii="Times New Roman" w:hAnsi="Times New Roman"/>
          <w:i/>
          <w:color w:val="000000"/>
          <w:sz w:val="20"/>
          <w:szCs w:val="20"/>
          <w:lang w:val="kk-KZ" w:eastAsia="ru-RU" w:bidi="hi-IN"/>
        </w:rPr>
        <w:t xml:space="preserve"> сайтында).</w:t>
      </w:r>
      <w:r w:rsidRPr="00645F55">
        <w:rPr>
          <w:rFonts w:ascii="Times New Roman" w:hAnsi="Times New Roman"/>
          <w:color w:val="000000"/>
          <w:sz w:val="20"/>
          <w:szCs w:val="20"/>
          <w:lang w:val="kk-KZ"/>
        </w:rPr>
        <w:t xml:space="preserve"> </w:t>
      </w:r>
    </w:p>
    <w:p w14:paraId="1616AC01" w14:textId="3C9EDD3D" w:rsidR="00072D14" w:rsidRPr="00645F55"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bookmarkStart w:id="0" w:name="_GoBack"/>
      <w:bookmarkEnd w:id="0"/>
    </w:p>
    <w:p w14:paraId="7ED15563" w14:textId="77777777" w:rsidR="00072D14" w:rsidRPr="00645F55" w:rsidRDefault="00072D14" w:rsidP="00072D14">
      <w:pPr>
        <w:rPr>
          <w:sz w:val="24"/>
          <w:szCs w:val="24"/>
          <w:lang w:val="kk-KZ"/>
        </w:rPr>
      </w:pPr>
    </w:p>
    <w:p w14:paraId="5331F986" w14:textId="487CE1EE" w:rsidR="0088693A" w:rsidRPr="00645F55" w:rsidRDefault="0088693A" w:rsidP="007524F0">
      <w:pPr>
        <w:pStyle w:val="a5"/>
        <w:jc w:val="center"/>
        <w:rPr>
          <w:rFonts w:ascii="Times New Roman" w:hAnsi="Times New Roman"/>
          <w:b/>
          <w:color w:val="000000"/>
          <w:sz w:val="24"/>
          <w:szCs w:val="24"/>
          <w:lang w:val="kk-KZ"/>
        </w:rPr>
      </w:pPr>
    </w:p>
    <w:sectPr w:rsidR="0088693A" w:rsidRPr="00645F55"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D55A4" w14:textId="77777777" w:rsidR="00E8005F" w:rsidRDefault="00E8005F" w:rsidP="005E4B51">
      <w:pPr>
        <w:spacing w:after="0" w:line="240" w:lineRule="auto"/>
      </w:pPr>
      <w:r>
        <w:separator/>
      </w:r>
    </w:p>
  </w:endnote>
  <w:endnote w:type="continuationSeparator" w:id="0">
    <w:p w14:paraId="12A18A9D" w14:textId="77777777" w:rsidR="00E8005F" w:rsidRDefault="00E8005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B3EF29F" w:rsidR="00464AE8" w:rsidRPr="00645F55" w:rsidRDefault="00645F55"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8EA42" w14:textId="77777777" w:rsidR="00E8005F" w:rsidRDefault="00E8005F" w:rsidP="005E4B51">
      <w:pPr>
        <w:spacing w:after="0" w:line="240" w:lineRule="auto"/>
      </w:pPr>
      <w:r>
        <w:separator/>
      </w:r>
    </w:p>
  </w:footnote>
  <w:footnote w:type="continuationSeparator" w:id="0">
    <w:p w14:paraId="74BB3CFC" w14:textId="77777777" w:rsidR="00E8005F" w:rsidRDefault="00E8005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3F4DC24"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45F55">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0C0CF432" w:rsidR="00464AE8" w:rsidRPr="00C173A5" w:rsidRDefault="00645F55"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0A7E21"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A7E21">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A7E21">
      <w:rPr>
        <w:rFonts w:ascii="Times New Roman" w:hAnsi="Times New Roman"/>
        <w:sz w:val="24"/>
        <w:szCs w:val="24"/>
        <w:lang w:val="en-US" w:eastAsia="ru-RU"/>
      </w:rPr>
      <w:t xml:space="preserve">: </w:t>
    </w:r>
    <w:r w:rsidR="00E8005F">
      <w:fldChar w:fldCharType="begin"/>
    </w:r>
    <w:r w:rsidR="00E8005F" w:rsidRPr="00645F55">
      <w:rPr>
        <w:lang w:val="en-US"/>
      </w:rPr>
      <w:instrText xml:space="preserve"> HYPERLINK "http://www.enpf.kz" </w:instrText>
    </w:r>
    <w:r w:rsidR="00E8005F">
      <w:fldChar w:fldCharType="separate"/>
    </w:r>
    <w:r w:rsidRPr="00B20726">
      <w:rPr>
        <w:rStyle w:val="a7"/>
        <w:rFonts w:ascii="Times New Roman" w:hAnsi="Times New Roman"/>
        <w:sz w:val="24"/>
        <w:szCs w:val="24"/>
        <w:lang w:val="en-US" w:eastAsia="ru-RU"/>
      </w:rPr>
      <w:t>www</w:t>
    </w:r>
    <w:r w:rsidRPr="000A7E21">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A7E21">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E8005F">
      <w:rPr>
        <w:rStyle w:val="a7"/>
        <w:rFonts w:ascii="Times New Roman" w:hAnsi="Times New Roman"/>
        <w:sz w:val="24"/>
        <w:szCs w:val="24"/>
        <w:lang w:val="en-US" w:eastAsia="ru-RU"/>
      </w:rPr>
      <w:fldChar w:fldCharType="end"/>
    </w:r>
    <w:r w:rsidRPr="000A7E21">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A7E21"/>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053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1D72"/>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45F55"/>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2301"/>
    <w:rsid w:val="00916F2D"/>
    <w:rsid w:val="00921030"/>
    <w:rsid w:val="009237E3"/>
    <w:rsid w:val="00924170"/>
    <w:rsid w:val="009256AC"/>
    <w:rsid w:val="00931E3F"/>
    <w:rsid w:val="00934AFB"/>
    <w:rsid w:val="009350CD"/>
    <w:rsid w:val="00936283"/>
    <w:rsid w:val="009363EE"/>
    <w:rsid w:val="009364D2"/>
    <w:rsid w:val="00943B3D"/>
    <w:rsid w:val="00947556"/>
    <w:rsid w:val="00947A84"/>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05F"/>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1693787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4</TotalTime>
  <Pages>2</Pages>
  <Words>877</Words>
  <Characters>6602</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6</cp:revision>
  <dcterms:created xsi:type="dcterms:W3CDTF">2026-09-29T07:15:00Z</dcterms:created>
  <dcterms:modified xsi:type="dcterms:W3CDTF">2026-09-29T07:22:00Z</dcterms:modified>
</cp:coreProperties>
</file>