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2.0 -->
  <w:body>
    <w:p>
      <w:pPr>
        <w:pStyle w:val="Heading2"/>
        <w:keepNext w:val="0"/>
        <w:spacing w:before="0" w:after="299"/>
        <w:rPr>
          <w:rFonts w:ascii="Times New Roman" w:eastAsia="Times New Roman" w:hAnsi="Times New Roman" w:cs="Times New Roman"/>
          <w:b/>
          <w:bCs/>
          <w:sz w:val="36"/>
          <w:szCs w:val="36"/>
        </w:rPr>
      </w:pPr>
      <w:r>
        <w:rPr>
          <w:rFonts w:ascii="Times New Roman" w:eastAsia="Times New Roman" w:hAnsi="Times New Roman" w:cs="Times New Roman"/>
          <w:i w:val="0"/>
          <w:iCs w:val="0"/>
          <w:sz w:val="36"/>
          <w:szCs w:val="36"/>
        </w:rPr>
        <w:t>Қазақстан Республикасы Өнеркәсіп және құрылыс министрінің «Сәулет, қала құрылысы және құрылыс қызметінде инжинирингтік қызметтер көрсету қағидаларын бекіту туралы» Қазақстан Республикасы Өнеркәсіп және құрылыс министрінің міндетін атқарушының 2026 жылғы 22 маусымдағы № 321 бұйрығына өзгерістер енгізу туралы» бұйрық жобасы</w:t>
      </w:r>
    </w:p>
    <w:tbl>
      <w:tblPr>
        <w:tblW w:w="5000" w:type="pct"/>
        <w:tblCellSpacing w:w="0" w:type="dxa"/>
        <w:tblInd w:w="16" w:type="dxa"/>
        <w:tblBorders>
          <w:top w:val="outset" w:sz="6" w:space="0" w:color="808080"/>
          <w:left w:val="outset" w:sz="6" w:space="0" w:color="808080"/>
          <w:bottom w:val="outset" w:sz="6" w:space="0" w:color="808080"/>
          <w:right w:val="outset" w:sz="6" w:space="0" w:color="808080"/>
        </w:tblBorders>
        <w:tblCellMar>
          <w:top w:w="0" w:type="dxa"/>
          <w:left w:w="0" w:type="dxa"/>
          <w:bottom w:w="0" w:type="dxa"/>
          <w:right w:w="0" w:type="dxa"/>
        </w:tblCellMar>
      </w:tblPr>
      <w:tblGrid>
        <w:gridCol w:w="256"/>
        <w:gridCol w:w="4657"/>
        <w:gridCol w:w="4401"/>
      </w:tblGrid>
      <w:tr>
        <w:tblPrEx>
          <w:tblW w:w="5000" w:type="pct"/>
          <w:tblCellSpacing w:w="0" w:type="dxa"/>
          <w:tblInd w:w="16" w:type="dxa"/>
          <w:tblBorders>
            <w:top w:val="outset" w:sz="6" w:space="0" w:color="808080"/>
            <w:left w:val="outset" w:sz="6" w:space="0" w:color="808080"/>
            <w:bottom w:val="outset" w:sz="6" w:space="0" w:color="808080"/>
            <w:right w:val="outset" w:sz="6" w:space="0" w:color="808080"/>
          </w:tblBorders>
          <w:tblCellMar>
            <w:top w:w="0" w:type="dxa"/>
            <w:left w:w="0" w:type="dxa"/>
            <w:bottom w:w="0" w:type="dxa"/>
            <w:right w:w="0" w:type="dxa"/>
          </w:tblCellMar>
        </w:tblPrEx>
        <w:trPr>
          <w:tblCellSpacing w:w="0" w:type="dxa"/>
        </w:trPr>
        <w:tc>
          <w:tcPr>
            <w:tcW w:w="240" w:type="dxa"/>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1</w:t>
            </w:r>
          </w:p>
        </w:tc>
        <w:tc>
          <w:tcPr>
            <w:tcW w:w="2500" w:type="pct"/>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жобасының атауы (НҚА түрін көрсете отырып)</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Қазақстан Республикасы Өнеркәсіп және құрылыс министрінің «Сәулет, қала құрылысы және құрылыс қызметінде инжинирингтік қызметтер көрсету қағидаларын бекіту туралы» Қазақстан Республикасы Өнеркәсіп және құрылыс министрінің міндетін атқарушының 2026 жылғы 22 маусымдағы № 321 бұйрығына өзгерістер енгізу туралы» бұйрық жобасы.</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2</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Әзірлеуші мемлекеттік орган</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Қазақстан Республикасы Өнеркәсіп және құрылыс министрлігі.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3</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 әзірлеу үшін негіздер (тиісті НҚА немесе тапсырмаға сілтеме жасай отырып (бар болса))</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Бұйрықтың жобасы «Кредиттік рейтинг қызметі туралы» және «Қазақстан Республикасының кейбір заңнамалық актілеріне қаржы нарығын жетілдіру және цифрландыру, банкроттық мәселелері бойынша өзгерістер мен толықтырулар енгізу туралы» Қазақстан Республикасының 2026 жылғы 23 шілдедегі заңдарын іске асыру жөніндегі шаралар туралы «Қазақстан Республикасы Премьер-Министрінің 2026 жылғы 16 қыркүйектегі № 153-ө өкімінің 47-тармағына сәйкес әзірленді мемлекеттік органдардың бағалауы».</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4</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жобасының қысқаша мазмұны, негізгі ережелердің сипаттамасы</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Бұйрық жобасында сәулет, қала құрылысы және құрылыс қызметі саласында инжинирингтік қызметтер көрсету кезінде шешімдер қабылдау көзделеді.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5</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Күтілетін нәтижелердің нақты мақсаттары мен мерзімдері</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Бұйрық жобасы сәулет, қала құрылысы және құрылыс қызметі саласында инжинирингтік қызметтер көрсетудің бірыңғай, нақты және міндетті тәртібін белгілеу мақсатында әзірленді.</w:t>
            </w:r>
          </w:p>
        </w:tc>
      </w:tr>
      <w:tr>
        <w:tblPrEx>
          <w:tblW w:w="5000" w:type="pct"/>
          <w:tblCellSpacing w:w="0" w:type="dxa"/>
          <w:tblInd w:w="16" w:type="dxa"/>
          <w:tblCellMar>
            <w:top w:w="0" w:type="dxa"/>
            <w:left w:w="0" w:type="dxa"/>
            <w:bottom w:w="0" w:type="dxa"/>
            <w:right w:w="0" w:type="dxa"/>
          </w:tblCellMar>
        </w:tblPrEx>
        <w:trPr>
          <w:tblCellSpacing w:w="0" w:type="dxa"/>
        </w:trPr>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6</w:t>
            </w:r>
          </w:p>
        </w:tc>
        <w:tc>
          <w:tcPr>
            <w:tcBorders>
              <w:top w:val="inset" w:sz="6" w:space="0" w:color="808080"/>
              <w:left w:val="inset" w:sz="6" w:space="0" w:color="808080"/>
              <w:bottom w:val="inset" w:sz="6" w:space="0" w:color="808080"/>
              <w:right w:val="inset" w:sz="6" w:space="0" w:color="808080"/>
            </w:tcBorders>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bCs/>
                <w:i w:val="0"/>
                <w:iCs w:val="0"/>
                <w:smallCaps w:val="0"/>
                <w:color w:val="000000"/>
              </w:rPr>
              <w:t>НҚА жобасы қабылданған жағдайда болжанатын әлеуметтік-экономикалық, құқықтық және (немесе) өзге де салдар</w:t>
            </w:r>
          </w:p>
        </w:tc>
        <w:tc>
          <w:tcPr>
            <w:tcBorders>
              <w:top w:val="inset" w:sz="6" w:space="0" w:color="808080"/>
              <w:left w:val="inset" w:sz="6" w:space="0" w:color="808080"/>
              <w:bottom w:val="inset" w:sz="6" w:space="0" w:color="808080"/>
              <w:right w:val="inset" w:sz="6" w:space="0" w:color="808080"/>
            </w:tcBorders>
            <w:shd w:val="clear" w:color="auto" w:fill="FFF9DB"/>
            <w:noWrap w:val="0"/>
            <w:tcMar>
              <w:top w:w="8" w:type="dxa"/>
              <w:left w:w="8" w:type="dxa"/>
              <w:bottom w:w="8" w:type="dxa"/>
              <w:right w:w="8" w:type="dxa"/>
            </w:tcMar>
            <w:vAlign w:val="center"/>
            <w:hideMark/>
          </w:tcPr>
          <w:p>
            <w:pPr>
              <w:rPr>
                <w:rFonts w:ascii="Times New Roman" w:eastAsia="Times New Roman" w:hAnsi="Times New Roman" w:cs="Times New Roman"/>
                <w:b w:val="0"/>
                <w:bCs w:val="0"/>
                <w:i w:val="0"/>
                <w:iCs w:val="0"/>
                <w:smallCaps w:val="0"/>
                <w:color w:val="000000"/>
              </w:rPr>
            </w:pPr>
            <w:r>
              <w:rPr>
                <w:rFonts w:ascii="Times New Roman" w:eastAsia="Times New Roman" w:hAnsi="Times New Roman" w:cs="Times New Roman"/>
                <w:b w:val="0"/>
                <w:bCs w:val="0"/>
                <w:i w:val="0"/>
                <w:iCs w:val="0"/>
                <w:smallCaps w:val="0"/>
                <w:color w:val="000000"/>
              </w:rPr>
              <w:t>Болжанбайды.</w:t>
            </w:r>
          </w:p>
        </w:tc>
      </w:tr>
    </w:tbl>
    <w:p w:rsidR="00A77B3E"/>
    <w:sectPr>
      <w:headerReference w:type="even" r:id="rId4"/>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50" type="#_x0000_t136" style="width:406.67pt;height:34.92pt;margin-top:0;margin-left:0;mso-position-horizontal:center;mso-position-horizontal-relative:margin;mso-position-vertical:center;mso-position-vertical-relative:margin;position:absolute;rotation:315;z-index:251659264" fillcolor="red" strokecolor="red">
          <v:fill opacity="0.5"/>
          <v:textpath style="font-family:Arial" string="ПРОЕКТ  ПРОЕКТ  ПРОЕКТ"/>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51" type="#_x0000_t136" style="width:406.67pt;height:34.92pt;margin-top:0;margin-left:0;mso-position-horizontal:center;mso-position-horizontal-relative:margin;mso-position-vertical:center;mso-position-vertical-relative:margin;position:absolute;rotation:315;z-index:251660288" fillcolor="red" strokecolor="red">
          <v:fill opacity="0.5"/>
          <v:textpath style="font-family:Arial" string="ПРОЕКТ  ПРОЕКТ  ПРОЕКТ"/>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1" o:spid="_x0000_s2049" type="#_x0000_t136" style="width:406.67pt;height:34.92pt;margin-top:0;margin-left:0;mso-position-horizontal:center;mso-position-horizontal-relative:margin;mso-position-vertical:center;mso-position-vertical-relative:margin;position:absolute;rotation:315;z-index:251658240" fillcolor="red" strokecolor="red">
          <v:fill opacity="0.5"/>
          <v:textpath style="font-family:Arial" string="ПРОЕКТ  ПРОЕКТ  ПРОЕКТ"/>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