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3"/>
        <w:jc w:val="center"/>
        <w:widowControl/>
        <w:rPr>
          <w:rFonts w:ascii="Times New Roman" w:hAnsi="Times New Roman" w:cs="Times New Roman"/>
          <w:b/>
          <w:spacing w:val="40"/>
          <w:sz w:val="30"/>
          <w:szCs w:val="30"/>
        </w:rPr>
      </w:pPr>
      <w:r>
        <w:rPr>
          <w:rFonts w:ascii="Times New Roman" w:hAnsi="Times New Roman" w:cs="Times New Roman"/>
          <w:b/>
          <w:spacing w:val="40"/>
          <w:sz w:val="30"/>
          <w:szCs w:val="30"/>
        </w:rPr>
        <w:t xml:space="preserve">УВЕДОМЛЕНИЕ</w:t>
      </w:r>
      <w:r/>
    </w:p>
    <w:p>
      <w:pPr>
        <w:pStyle w:val="603"/>
        <w:jc w:val="center"/>
        <w:widowControl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о разработке проекта </w:t>
      </w:r>
      <w:r>
        <w:rPr>
          <w:rFonts w:ascii="Times New Roman" w:hAnsi="Times New Roman" w:cs="Times New Roman"/>
          <w:b/>
          <w:sz w:val="30"/>
          <w:szCs w:val="30"/>
        </w:rPr>
        <w:t xml:space="preserve">изменени</w:t>
      </w:r>
      <w:r>
        <w:rPr>
          <w:rFonts w:ascii="Times New Roman" w:hAnsi="Times New Roman" w:cs="Times New Roman"/>
          <w:b/>
          <w:sz w:val="30"/>
          <w:szCs w:val="30"/>
        </w:rPr>
        <w:t xml:space="preserve">я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br/>
        <w:t xml:space="preserve">в </w:t>
      </w:r>
      <w:r>
        <w:rPr>
          <w:rFonts w:ascii="Times New Roman" w:hAnsi="Times New Roman" w:cs="Times New Roman"/>
          <w:b/>
          <w:sz w:val="30"/>
          <w:szCs w:val="30"/>
        </w:rPr>
        <w:t xml:space="preserve">техническ</w:t>
      </w:r>
      <w:r>
        <w:rPr>
          <w:rFonts w:ascii="Times New Roman" w:hAnsi="Times New Roman" w:cs="Times New Roman"/>
          <w:b/>
          <w:sz w:val="30"/>
          <w:szCs w:val="30"/>
        </w:rPr>
        <w:t xml:space="preserve">ий</w:t>
      </w:r>
      <w:r>
        <w:rPr>
          <w:rFonts w:ascii="Times New Roman" w:hAnsi="Times New Roman" w:cs="Times New Roman"/>
          <w:b/>
          <w:sz w:val="30"/>
          <w:szCs w:val="30"/>
        </w:rPr>
        <w:t xml:space="preserve"> регламент </w:t>
      </w:r>
      <w:r>
        <w:rPr>
          <w:rFonts w:ascii="Times New Roman" w:hAnsi="Times New Roman" w:cs="Times New Roman"/>
          <w:b/>
          <w:sz w:val="30"/>
          <w:szCs w:val="30"/>
        </w:rPr>
        <w:t xml:space="preserve">Республики Казахстан</w:t>
      </w:r>
      <w:r>
        <w:rPr>
          <w:rFonts w:ascii="Times New Roman" w:hAnsi="Times New Roman" w:cs="Times New Roman"/>
          <w:b/>
          <w:sz w:val="30"/>
          <w:szCs w:val="30"/>
          <w:lang w:val="kk-KZ"/>
        </w:rPr>
        <w:t xml:space="preserve"> </w:t>
      </w:r>
      <w:r/>
    </w:p>
    <w:p>
      <w:pPr>
        <w:pStyle w:val="603"/>
        <w:jc w:val="center"/>
        <w:widowControl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</w:r>
      <w:r/>
    </w:p>
    <w:tbl>
      <w:tblPr>
        <w:tblW w:w="9978" w:type="dxa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3"/>
        <w:gridCol w:w="5245"/>
      </w:tblGrid>
      <w:tr>
        <w:trPr>
          <w:tblCellSpacing w:w="0" w:type="dxa"/>
        </w:trPr>
        <w:tc>
          <w:tcPr>
            <w:tcMar>
              <w:left w:w="45" w:type="dxa"/>
              <w:top w:w="45" w:type="dxa"/>
              <w:right w:w="45" w:type="dxa"/>
              <w:bottom w:w="45" w:type="dxa"/>
            </w:tcMar>
            <w:tcW w:w="47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проекта технического регламента,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изменений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(или) дополнений или отмене технического регламента</w:t>
            </w:r>
            <w:r/>
          </w:p>
        </w:tc>
        <w:tc>
          <w:tcPr>
            <w:tcMar>
              <w:left w:w="45" w:type="dxa"/>
              <w:top w:w="45" w:type="dxa"/>
              <w:right w:w="45" w:type="dxa"/>
              <w:bottom w:w="45" w:type="dxa"/>
            </w:tcMar>
            <w:tcW w:w="5245" w:type="dxa"/>
            <w:vAlign w:val="center"/>
            <w:textDirection w:val="lrTb"/>
            <w:noWrap w:val="false"/>
          </w:tcPr>
          <w:p>
            <w:pPr>
              <w:pStyle w:val="599"/>
              <w:jc w:val="both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eastAsia="en-US"/>
              </w:rPr>
              <w:t xml:space="preserve">О</w:t>
            </w:r>
            <w:r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eastAsia="en-US"/>
              </w:rPr>
              <w:t xml:space="preserve"> внесени</w:t>
            </w:r>
            <w:r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eastAsia="en-US"/>
              </w:rPr>
              <w:t xml:space="preserve">и</w:t>
            </w:r>
            <w:r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eastAsia="en-US"/>
              </w:rPr>
              <w:t xml:space="preserve"> изменени</w:t>
            </w:r>
            <w:r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eastAsia="en-US"/>
              </w:rPr>
              <w:t xml:space="preserve">й</w:t>
            </w:r>
            <w:r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eastAsia="en-US"/>
              </w:rPr>
              <w:t xml:space="preserve"> в</w:t>
            </w:r>
            <w:r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eastAsia="en-US"/>
              </w:rPr>
              <w:t xml:space="preserve"> техническ</w:t>
            </w:r>
            <w:r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eastAsia="en-US"/>
              </w:rPr>
              <w:t xml:space="preserve">ий</w:t>
            </w:r>
            <w:r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eastAsia="en-US"/>
              </w:rPr>
              <w:t xml:space="preserve"> регламент «</w:t>
            </w:r>
            <w:r>
              <w:rPr>
                <w:b w:val="0"/>
                <w:sz w:val="28"/>
                <w:szCs w:val="28"/>
              </w:rPr>
              <w:t xml:space="preserve">Общие т</w:t>
            </w:r>
            <w:r>
              <w:rPr>
                <w:b w:val="0"/>
                <w:sz w:val="28"/>
                <w:szCs w:val="28"/>
              </w:rPr>
              <w:t xml:space="preserve">ребования к </w:t>
            </w:r>
            <w:r>
              <w:rPr>
                <w:b w:val="0"/>
                <w:sz w:val="28"/>
                <w:szCs w:val="28"/>
                <w:lang w:val="kk-KZ"/>
              </w:rPr>
              <w:t xml:space="preserve">пожарной</w:t>
            </w:r>
            <w:r>
              <w:rPr>
                <w:b w:val="0"/>
                <w:sz w:val="28"/>
                <w:szCs w:val="28"/>
              </w:rPr>
              <w:t xml:space="preserve"> безопасности</w:t>
            </w:r>
            <w:r>
              <w:rPr>
                <w:b w:val="0"/>
                <w:sz w:val="28"/>
                <w:szCs w:val="28"/>
              </w:rPr>
              <w:t xml:space="preserve">»</w:t>
            </w:r>
            <w:r/>
          </w:p>
        </w:tc>
      </w:tr>
      <w:tr>
        <w:trPr>
          <w:tblCellSpacing w:w="0" w:type="dxa"/>
        </w:trPr>
        <w:tc>
          <w:tcPr>
            <w:tcMar>
              <w:left w:w="45" w:type="dxa"/>
              <w:top w:w="45" w:type="dxa"/>
              <w:right w:w="45" w:type="dxa"/>
              <w:bottom w:w="45" w:type="dxa"/>
            </w:tcMar>
            <w:tcW w:w="4733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Государственный орган, ответственный за разработку проекта технического регламента, изменений и (или) дополнений или отмене технического регламента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/>
          </w:p>
        </w:tc>
        <w:tc>
          <w:tcPr>
            <w:tcMar>
              <w:left w:w="45" w:type="dxa"/>
              <w:top w:w="45" w:type="dxa"/>
              <w:right w:w="45" w:type="dxa"/>
              <w:bottom w:w="45" w:type="dxa"/>
            </w:tcMar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Министерство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по чрезвычайным ситуациям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Республики Казахстан</w:t>
            </w:r>
            <w:r/>
          </w:p>
        </w:tc>
      </w:tr>
      <w:tr>
        <w:trPr>
          <w:tblCellSpacing w:w="0" w:type="dxa"/>
        </w:trPr>
        <w:tc>
          <w:tcPr>
            <w:tcMar>
              <w:left w:w="45" w:type="dxa"/>
              <w:top w:w="45" w:type="dxa"/>
              <w:right w:w="45" w:type="dxa"/>
              <w:bottom w:w="45" w:type="dxa"/>
            </w:tcMar>
            <w:tcW w:w="47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Объект технического регулирования проекта технического регламента, изменений и (или) дополнений или отмене технического регламента</w:t>
            </w:r>
            <w:r/>
          </w:p>
        </w:tc>
        <w:tc>
          <w:tcPr>
            <w:tcMar>
              <w:left w:w="45" w:type="dxa"/>
              <w:top w:w="45" w:type="dxa"/>
              <w:right w:w="45" w:type="dxa"/>
              <w:bottom w:w="45" w:type="dxa"/>
            </w:tcMar>
            <w:tcW w:w="524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Положения Технического регламента обязательны для исполнения при проекти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ровании, строительстве, капитальном ремонте, реконструкции объектов капитального строительства, техническом перевооружении, изменении функционального назначения, техническом обслуживании, эксплуатации объектов, независимо от назначения и форм собственности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/>
          </w:p>
        </w:tc>
      </w:tr>
      <w:tr>
        <w:trPr>
          <w:tblCellSpacing w:w="0" w:type="dxa"/>
        </w:trPr>
        <w:tc>
          <w:tcPr>
            <w:tcBorders>
              <w:bottom w:val="single" w:color="auto" w:sz="4" w:space="0"/>
            </w:tcBorders>
            <w:tcMar>
              <w:left w:w="45" w:type="dxa"/>
              <w:top w:w="45" w:type="dxa"/>
              <w:right w:w="45" w:type="dxa"/>
              <w:bottom w:w="45" w:type="dxa"/>
            </w:tcMar>
            <w:tcW w:w="47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Цель разработки проекта технического регламента,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изменений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(или) дополнений или отмене технического регламента</w:t>
            </w:r>
            <w:r/>
          </w:p>
        </w:tc>
        <w:tc>
          <w:tcPr>
            <w:tcBorders>
              <w:bottom w:val="single" w:color="auto" w:sz="4" w:space="0"/>
            </w:tcBorders>
            <w:tcMar>
              <w:left w:w="45" w:type="dxa"/>
              <w:top w:w="45" w:type="dxa"/>
              <w:right w:w="45" w:type="dxa"/>
              <w:bottom w:w="45" w:type="dxa"/>
            </w:tcMar>
            <w:tcW w:w="524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ru-RU"/>
              </w:rPr>
              <w:t xml:space="preserve">Приведение в соответствие со Строительным кодексом Республики Казахстан</w:t>
            </w:r>
            <w:r/>
          </w:p>
        </w:tc>
      </w:tr>
      <w:tr>
        <w:trPr>
          <w:tblCellSpacing w:w="0" w:type="dxa"/>
        </w:trPr>
        <w:tc>
          <w:tcPr>
            <w:tcMar>
              <w:left w:w="45" w:type="dxa"/>
              <w:top w:w="45" w:type="dxa"/>
              <w:right w:w="45" w:type="dxa"/>
              <w:bottom w:w="45" w:type="dxa"/>
            </w:tcMar>
            <w:tcW w:w="4733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Почтовый адрес, номера телефона, адрес электронной почты для направления замечаний и предложений (отзывов) по проекту технического регламента, изменений и (или) дополнений или отмене технического регламента</w:t>
            </w:r>
            <w:r/>
          </w:p>
        </w:tc>
        <w:tc>
          <w:tcPr>
            <w:tcMar>
              <w:left w:w="45" w:type="dxa"/>
              <w:top w:w="45" w:type="dxa"/>
              <w:right w:w="45" w:type="dxa"/>
              <w:bottom w:w="45" w:type="dxa"/>
            </w:tcMar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4"/>
                <w:lang w:eastAsia="ru-RU"/>
              </w:rPr>
              <w:t xml:space="preserve">Комитет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4"/>
                <w:lang w:eastAsia="ru-RU"/>
              </w:rPr>
              <w:t xml:space="preserve">противопожарной службы МЧС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4"/>
                <w:lang w:eastAsia="ru-RU"/>
              </w:rPr>
              <w:t xml:space="preserve"> Республики Казахстан,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г. Астана, пр. М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әңгілік ел,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8, здание «Дом Министерств»,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Тел.: 8(7172)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600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973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mailibaev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a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@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emer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kz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gpk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kps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@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emer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kz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</w:t>
            </w:r>
            <w:r/>
          </w:p>
        </w:tc>
      </w:tr>
      <w:tr>
        <w:trPr>
          <w:tblCellSpacing w:w="0" w:type="dxa"/>
        </w:trPr>
        <w:tc>
          <w:tcPr>
            <w:shd w:val="clear" w:color="auto" w:fill="auto"/>
            <w:tcMar>
              <w:left w:w="45" w:type="dxa"/>
              <w:top w:w="45" w:type="dxa"/>
              <w:right w:w="45" w:type="dxa"/>
              <w:bottom w:w="45" w:type="dxa"/>
            </w:tcMar>
            <w:tcW w:w="47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Предполагаемая дата завершения публичного обсуждения проекта технического регламента, изменений и (или) дополнений или отмене технического регламента</w:t>
            </w:r>
            <w:r/>
          </w:p>
        </w:tc>
        <w:tc>
          <w:tcPr>
            <w:shd w:val="clear" w:color="auto" w:fill="auto"/>
            <w:tcMar>
              <w:left w:w="45" w:type="dxa"/>
              <w:top w:w="45" w:type="dxa"/>
              <w:right w:w="45" w:type="dxa"/>
              <w:bottom w:w="45" w:type="dxa"/>
            </w:tcMar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val="kk-KZ" w:eastAsia="ru-RU"/>
              </w:rPr>
              <w:t xml:space="preserve">19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val="kk-KZ" w:eastAsia="ru-RU"/>
              </w:rPr>
              <w:t xml:space="preserve">ноября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 20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val="kk-KZ" w:eastAsia="ru-RU"/>
              </w:rPr>
              <w:t xml:space="preserve">26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  <w:lang w:val="en-US" w:eastAsia="ru-RU"/>
              </w:rPr>
            </w:r>
            <w:r/>
          </w:p>
        </w:tc>
      </w:tr>
    </w:tbl>
    <w:p>
      <w:pPr>
        <w:jc w:val="both"/>
        <w:spacing w:after="0" w:line="240" w:lineRule="auto"/>
        <w:rPr>
          <w:lang w:val="kk-KZ"/>
        </w:rPr>
      </w:pPr>
      <w:r>
        <w:rPr>
          <w:lang w:val="kk-KZ"/>
        </w:rPr>
      </w:r>
      <w:r/>
    </w:p>
    <w:sectPr>
      <w:footnotePr/>
      <w:endnotePr/>
      <w:type w:val="nextPage"/>
      <w:pgSz w:w="11906" w:h="16838" w:orient="portrait"/>
      <w:pgMar w:top="567" w:right="567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0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0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00"/>
    <w:link w:val="599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0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0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0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0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0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0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spacing w:after="200" w:line="276" w:lineRule="auto"/>
    </w:pPr>
  </w:style>
  <w:style w:type="paragraph" w:styleId="599">
    <w:name w:val="Heading 3"/>
    <w:basedOn w:val="598"/>
    <w:link w:val="604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 w:eastAsia="Times New Roman"/>
      <w:b/>
      <w:bCs/>
      <w:sz w:val="27"/>
      <w:szCs w:val="27"/>
      <w:lang w:eastAsia="ru-RU"/>
    </w:rPr>
  </w:style>
  <w:style w:type="character" w:styleId="600" w:default="1">
    <w:name w:val="Default Paragraph Font"/>
    <w:uiPriority w:val="1"/>
    <w:semiHidden/>
    <w:unhideWhenUsed/>
  </w:style>
  <w:style w:type="table" w:styleId="6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2" w:default="1">
    <w:name w:val="No List"/>
    <w:uiPriority w:val="99"/>
    <w:semiHidden/>
    <w:unhideWhenUsed/>
  </w:style>
  <w:style w:type="paragraph" w:styleId="603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szCs w:val="20"/>
      <w:lang w:eastAsia="ru-RU"/>
    </w:rPr>
  </w:style>
  <w:style w:type="character" w:styleId="604" w:customStyle="1">
    <w:name w:val="Заголовок 3 Знак"/>
    <w:basedOn w:val="600"/>
    <w:link w:val="599"/>
    <w:uiPriority w:val="9"/>
    <w:rPr>
      <w:rFonts w:ascii="Times New Roman" w:hAnsi="Times New Roman" w:cs="Times New Roman" w:eastAsia="Times New Roman"/>
      <w:b/>
      <w:bCs/>
      <w:sz w:val="27"/>
      <w:szCs w:val="27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Асет Майлибаев</dc:creator>
  <cp:keywords/>
  <dc:description/>
  <cp:lastModifiedBy>Тілеукенова Аружан Нұрланқызы</cp:lastModifiedBy>
  <cp:revision>13</cp:revision>
  <dcterms:created xsi:type="dcterms:W3CDTF">2024-11-22T11:22:00Z</dcterms:created>
  <dcterms:modified xsi:type="dcterms:W3CDTF">2026-10-06T11:05:48Z</dcterms:modified>
</cp:coreProperties>
</file>