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CB" w:rsidRDefault="00013CCB">
      <w:pPr>
        <w:pStyle w:val="a3"/>
        <w:rPr>
          <w:sz w:val="44"/>
        </w:rPr>
      </w:pPr>
      <w:bookmarkStart w:id="0" w:name="_GoBack"/>
      <w:bookmarkEnd w:id="0"/>
    </w:p>
    <w:p w:rsidR="00013CCB" w:rsidRDefault="00013CCB">
      <w:pPr>
        <w:pStyle w:val="a3"/>
        <w:rPr>
          <w:sz w:val="44"/>
        </w:rPr>
      </w:pPr>
    </w:p>
    <w:p w:rsidR="00013CCB" w:rsidRDefault="00013CCB">
      <w:pPr>
        <w:pStyle w:val="a3"/>
        <w:rPr>
          <w:sz w:val="44"/>
        </w:rPr>
      </w:pPr>
    </w:p>
    <w:p w:rsidR="00013CCB" w:rsidRDefault="00013CCB">
      <w:pPr>
        <w:pStyle w:val="a3"/>
        <w:spacing w:before="438"/>
        <w:rPr>
          <w:sz w:val="44"/>
        </w:rPr>
      </w:pPr>
    </w:p>
    <w:p w:rsidR="00013CCB" w:rsidRDefault="008C3EEC">
      <w:pPr>
        <w:pStyle w:val="a4"/>
        <w:spacing w:line="244" w:lineRule="auto"/>
      </w:pPr>
      <w:r>
        <w:rPr>
          <w:color w:val="231F20"/>
          <w:spacing w:val="-2"/>
        </w:rPr>
        <w:t xml:space="preserve">АНТИМОНОПОЛЬНАЯ </w:t>
      </w:r>
      <w:r>
        <w:rPr>
          <w:color w:val="231F20"/>
        </w:rPr>
        <w:t>СИСТЕМА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КАЗАХСТАНА:</w:t>
      </w:r>
    </w:p>
    <w:p w:rsidR="00013CCB" w:rsidRDefault="008C3EEC">
      <w:pPr>
        <w:spacing w:before="22"/>
        <w:ind w:left="1216"/>
        <w:rPr>
          <w:rFonts w:ascii="Cambria" w:hAnsi="Cambria"/>
          <w:sz w:val="32"/>
        </w:rPr>
      </w:pPr>
      <w:r>
        <w:rPr>
          <w:rFonts w:ascii="Cambria" w:hAnsi="Cambria"/>
          <w:color w:val="231F20"/>
          <w:sz w:val="32"/>
        </w:rPr>
        <w:t>история,</w:t>
      </w:r>
      <w:r>
        <w:rPr>
          <w:rFonts w:ascii="Cambria" w:hAnsi="Cambria"/>
          <w:color w:val="231F20"/>
          <w:spacing w:val="-10"/>
          <w:sz w:val="32"/>
        </w:rPr>
        <w:t xml:space="preserve"> </w:t>
      </w:r>
      <w:r>
        <w:rPr>
          <w:rFonts w:ascii="Cambria" w:hAnsi="Cambria"/>
          <w:color w:val="231F20"/>
          <w:sz w:val="32"/>
        </w:rPr>
        <w:t>люди,</w:t>
      </w:r>
      <w:r>
        <w:rPr>
          <w:rFonts w:ascii="Cambria" w:hAnsi="Cambria"/>
          <w:color w:val="231F20"/>
          <w:spacing w:val="-9"/>
          <w:sz w:val="32"/>
        </w:rPr>
        <w:t xml:space="preserve"> </w:t>
      </w:r>
      <w:r>
        <w:rPr>
          <w:rFonts w:ascii="Cambria" w:hAnsi="Cambria"/>
          <w:color w:val="231F20"/>
          <w:spacing w:val="-2"/>
          <w:sz w:val="32"/>
        </w:rPr>
        <w:t>институты</w:t>
      </w:r>
    </w:p>
    <w:p w:rsidR="00013CCB" w:rsidRDefault="008C3EEC">
      <w:pPr>
        <w:spacing w:before="315"/>
        <w:ind w:left="170"/>
        <w:jc w:val="center"/>
        <w:rPr>
          <w:rFonts w:ascii="Cambria" w:hAnsi="Cambria"/>
          <w:i/>
          <w:sz w:val="20"/>
        </w:rPr>
      </w:pPr>
      <w:r>
        <w:rPr>
          <w:rFonts w:ascii="Cambria" w:hAnsi="Cambria"/>
          <w:i/>
          <w:color w:val="231F20"/>
          <w:sz w:val="20"/>
        </w:rPr>
        <w:t>к</w:t>
      </w:r>
      <w:r>
        <w:rPr>
          <w:rFonts w:ascii="Cambria" w:hAnsi="Cambria"/>
          <w:i/>
          <w:color w:val="231F20"/>
          <w:spacing w:val="-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35-летию</w:t>
      </w:r>
      <w:r>
        <w:rPr>
          <w:rFonts w:ascii="Cambria" w:hAnsi="Cambria"/>
          <w:i/>
          <w:color w:val="231F20"/>
          <w:spacing w:val="-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антимонопольного</w:t>
      </w:r>
      <w:r>
        <w:rPr>
          <w:rFonts w:ascii="Cambria" w:hAnsi="Cambria"/>
          <w:i/>
          <w:color w:val="231F20"/>
          <w:spacing w:val="-7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регулирования</w:t>
      </w:r>
      <w:r>
        <w:rPr>
          <w:rFonts w:ascii="Cambria" w:hAnsi="Cambria"/>
          <w:i/>
          <w:color w:val="231F20"/>
          <w:spacing w:val="-6"/>
          <w:sz w:val="20"/>
        </w:rPr>
        <w:t xml:space="preserve"> </w:t>
      </w:r>
      <w:r>
        <w:rPr>
          <w:rFonts w:ascii="Cambria" w:hAnsi="Cambria"/>
          <w:i/>
          <w:color w:val="231F20"/>
          <w:sz w:val="20"/>
        </w:rPr>
        <w:t>(1991–</w:t>
      </w:r>
      <w:r>
        <w:rPr>
          <w:rFonts w:ascii="Cambria" w:hAnsi="Cambria"/>
          <w:i/>
          <w:color w:val="231F20"/>
          <w:spacing w:val="-2"/>
          <w:sz w:val="20"/>
        </w:rPr>
        <w:t>2026)</w:t>
      </w:r>
    </w:p>
    <w:p w:rsidR="00013CCB" w:rsidRDefault="00013CCB">
      <w:pPr>
        <w:pStyle w:val="a3"/>
        <w:rPr>
          <w:rFonts w:ascii="Cambria"/>
          <w:i/>
          <w:sz w:val="20"/>
        </w:rPr>
      </w:pPr>
    </w:p>
    <w:p w:rsidR="00013CCB" w:rsidRDefault="00013CCB">
      <w:pPr>
        <w:pStyle w:val="a3"/>
        <w:rPr>
          <w:rFonts w:ascii="Cambria"/>
          <w:i/>
          <w:sz w:val="20"/>
        </w:rPr>
      </w:pPr>
    </w:p>
    <w:p w:rsidR="00013CCB" w:rsidRDefault="00013CCB">
      <w:pPr>
        <w:pStyle w:val="a3"/>
        <w:rPr>
          <w:rFonts w:ascii="Cambria"/>
          <w:i/>
          <w:sz w:val="20"/>
        </w:rPr>
      </w:pPr>
    </w:p>
    <w:p w:rsidR="00013CCB" w:rsidRDefault="00013CCB">
      <w:pPr>
        <w:pStyle w:val="a3"/>
        <w:rPr>
          <w:rFonts w:ascii="Cambria"/>
          <w:i/>
          <w:sz w:val="20"/>
        </w:rPr>
      </w:pPr>
    </w:p>
    <w:p w:rsidR="00013CCB" w:rsidRDefault="00013CCB">
      <w:pPr>
        <w:pStyle w:val="a3"/>
        <w:rPr>
          <w:rFonts w:ascii="Cambria"/>
          <w:i/>
          <w:sz w:val="20"/>
        </w:rPr>
      </w:pPr>
    </w:p>
    <w:p w:rsidR="00013CCB" w:rsidRDefault="00013CCB">
      <w:pPr>
        <w:pStyle w:val="a3"/>
        <w:spacing w:before="132"/>
        <w:rPr>
          <w:rFonts w:ascii="Cambria"/>
          <w:i/>
          <w:sz w:val="20"/>
        </w:rPr>
      </w:pPr>
    </w:p>
    <w:p w:rsidR="00013CCB" w:rsidRDefault="008C3EEC">
      <w:pPr>
        <w:spacing w:line="249" w:lineRule="auto"/>
        <w:ind w:left="2090" w:right="1918" w:hanging="1"/>
        <w:jc w:val="center"/>
        <w:rPr>
          <w:i/>
          <w:sz w:val="18"/>
        </w:rPr>
      </w:pPr>
      <w:r>
        <w:rPr>
          <w:i/>
          <w:color w:val="231F20"/>
          <w:sz w:val="18"/>
        </w:rPr>
        <w:t>Под общей редакцией кандидата</w:t>
      </w:r>
      <w:r>
        <w:rPr>
          <w:i/>
          <w:color w:val="231F20"/>
          <w:spacing w:val="-12"/>
          <w:sz w:val="18"/>
        </w:rPr>
        <w:t xml:space="preserve"> </w:t>
      </w:r>
      <w:r>
        <w:rPr>
          <w:i/>
          <w:color w:val="231F20"/>
          <w:sz w:val="18"/>
        </w:rPr>
        <w:t>экономических</w:t>
      </w:r>
      <w:r>
        <w:rPr>
          <w:i/>
          <w:color w:val="231F20"/>
          <w:spacing w:val="-11"/>
          <w:sz w:val="18"/>
        </w:rPr>
        <w:t xml:space="preserve"> </w:t>
      </w:r>
      <w:r>
        <w:rPr>
          <w:i/>
          <w:color w:val="231F20"/>
          <w:sz w:val="18"/>
        </w:rPr>
        <w:t>наук А.Т. Айтжанова</w:t>
      </w: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rPr>
          <w:i/>
          <w:sz w:val="18"/>
        </w:rPr>
      </w:pPr>
    </w:p>
    <w:p w:rsidR="00013CCB" w:rsidRDefault="00013CCB">
      <w:pPr>
        <w:pStyle w:val="a3"/>
        <w:spacing w:before="111"/>
        <w:rPr>
          <w:i/>
          <w:sz w:val="18"/>
        </w:rPr>
      </w:pPr>
    </w:p>
    <w:p w:rsidR="00013CCB" w:rsidRDefault="008C3EEC">
      <w:pPr>
        <w:ind w:left="170"/>
        <w:jc w:val="center"/>
        <w:rPr>
          <w:sz w:val="18"/>
        </w:rPr>
      </w:pPr>
      <w:r>
        <w:rPr>
          <w:color w:val="231F20"/>
          <w:sz w:val="18"/>
        </w:rPr>
        <w:t>Астана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4"/>
          <w:sz w:val="18"/>
        </w:rPr>
        <w:t>2026</w:t>
      </w:r>
    </w:p>
    <w:p w:rsidR="00013CCB" w:rsidRDefault="00013CCB">
      <w:pPr>
        <w:jc w:val="center"/>
        <w:rPr>
          <w:sz w:val="18"/>
        </w:rPr>
        <w:sectPr w:rsidR="00013CCB">
          <w:footerReference w:type="even" r:id="rId7"/>
          <w:type w:val="continuous"/>
          <w:pgSz w:w="8400" w:h="11910"/>
          <w:pgMar w:top="1340" w:right="992" w:bottom="280" w:left="992" w:header="0" w:footer="0" w:gutter="0"/>
          <w:pgNumType w:start="88"/>
          <w:cols w:space="720"/>
        </w:sectPr>
      </w:pPr>
    </w:p>
    <w:p w:rsidR="00013CCB" w:rsidRDefault="00013CCB">
      <w:pPr>
        <w:rPr>
          <w:sz w:val="18"/>
        </w:rPr>
        <w:sectPr w:rsidR="00013CCB">
          <w:type w:val="continuous"/>
          <w:pgSz w:w="8400" w:h="11910"/>
          <w:pgMar w:top="1340" w:right="992" w:bottom="280" w:left="992" w:header="0" w:footer="0" w:gutter="0"/>
          <w:cols w:space="720"/>
        </w:sectPr>
      </w:pPr>
      <w:permStart w:id="1058569272" w:edGrp="everyone"/>
      <w:permEnd w:id="1058569272"/>
    </w:p>
    <w:p w:rsidR="00013CCB" w:rsidRDefault="008C3EEC">
      <w:pPr>
        <w:pStyle w:val="1"/>
        <w:spacing w:before="95" w:line="244" w:lineRule="auto"/>
        <w:ind w:left="588" w:hanging="337"/>
        <w:jc w:val="left"/>
        <w:rPr>
          <w:rFonts w:ascii="Cambria" w:hAnsi="Cambria"/>
        </w:rPr>
      </w:pPr>
      <w:r>
        <w:rPr>
          <w:rFonts w:ascii="Cambria" w:hAnsi="Cambria"/>
          <w:color w:val="231F20"/>
          <w:spacing w:val="-2"/>
        </w:rPr>
        <w:lastRenderedPageBreak/>
        <w:t>2.2.</w:t>
      </w:r>
      <w:r>
        <w:rPr>
          <w:rFonts w:ascii="Cambria" w:hAnsi="Cambria"/>
          <w:color w:val="231F20"/>
          <w:spacing w:val="-8"/>
        </w:rPr>
        <w:t xml:space="preserve"> </w:t>
      </w:r>
      <w:r>
        <w:rPr>
          <w:rFonts w:ascii="Cambria" w:hAnsi="Cambria"/>
          <w:color w:val="231F20"/>
          <w:spacing w:val="-2"/>
        </w:rPr>
        <w:t>РАЗРАБОТКА</w:t>
      </w:r>
      <w:r>
        <w:rPr>
          <w:rFonts w:ascii="Cambria" w:hAnsi="Cambria"/>
          <w:color w:val="231F20"/>
          <w:spacing w:val="-8"/>
        </w:rPr>
        <w:t xml:space="preserve"> </w:t>
      </w:r>
      <w:r>
        <w:rPr>
          <w:rFonts w:ascii="Cambria" w:hAnsi="Cambria"/>
          <w:color w:val="231F20"/>
          <w:spacing w:val="-2"/>
        </w:rPr>
        <w:t>И</w:t>
      </w:r>
      <w:r>
        <w:rPr>
          <w:rFonts w:ascii="Cambria" w:hAnsi="Cambria"/>
          <w:color w:val="231F20"/>
          <w:spacing w:val="-8"/>
        </w:rPr>
        <w:t xml:space="preserve"> </w:t>
      </w:r>
      <w:r>
        <w:rPr>
          <w:rFonts w:ascii="Cambria" w:hAnsi="Cambria"/>
          <w:color w:val="231F20"/>
          <w:spacing w:val="-2"/>
        </w:rPr>
        <w:t>ПРИНЯТИЕ</w:t>
      </w:r>
      <w:r>
        <w:rPr>
          <w:rFonts w:ascii="Cambria" w:hAnsi="Cambria"/>
          <w:color w:val="231F20"/>
          <w:spacing w:val="-7"/>
        </w:rPr>
        <w:t xml:space="preserve"> </w:t>
      </w:r>
      <w:r>
        <w:rPr>
          <w:rFonts w:ascii="Cambria" w:hAnsi="Cambria"/>
          <w:color w:val="231F20"/>
          <w:spacing w:val="-2"/>
        </w:rPr>
        <w:t xml:space="preserve">ПОЛИТИКООБРАЗУЮЩИХ </w:t>
      </w:r>
      <w:r>
        <w:rPr>
          <w:rFonts w:ascii="Cambria" w:hAnsi="Cambria"/>
          <w:color w:val="231F20"/>
        </w:rPr>
        <w:t>АКТОВ И СТРАТЕГИЧЕСКИХ ДОКУМЕНТОВ В СФЕРЕ</w:t>
      </w:r>
    </w:p>
    <w:p w:rsidR="00013CCB" w:rsidRDefault="008C3EEC">
      <w:pPr>
        <w:spacing w:before="2"/>
        <w:ind w:left="2439"/>
        <w:rPr>
          <w:rFonts w:ascii="Cambria" w:hAnsi="Cambria"/>
          <w:b/>
        </w:rPr>
      </w:pPr>
      <w:r>
        <w:rPr>
          <w:rFonts w:ascii="Cambria" w:hAnsi="Cambria"/>
          <w:b/>
          <w:color w:val="231F20"/>
          <w:spacing w:val="-2"/>
        </w:rPr>
        <w:t>КОНКУРЕНЦИИ</w:t>
      </w:r>
    </w:p>
    <w:p w:rsidR="00013CCB" w:rsidRDefault="008C3EEC">
      <w:pPr>
        <w:spacing w:before="175" w:line="249" w:lineRule="auto"/>
        <w:ind w:left="141" w:right="25" w:firstLine="283"/>
        <w:jc w:val="both"/>
        <w:rPr>
          <w:i/>
          <w:sz w:val="20"/>
        </w:rPr>
      </w:pPr>
      <w:r>
        <w:rPr>
          <w:i/>
          <w:color w:val="231F20"/>
          <w:sz w:val="20"/>
        </w:rPr>
        <w:t>Р.Н.</w:t>
      </w:r>
      <w:r>
        <w:rPr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z w:val="20"/>
        </w:rPr>
        <w:t>Ахметов,</w:t>
      </w:r>
      <w:r>
        <w:rPr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первый</w:t>
      </w:r>
      <w:r>
        <w:rPr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z w:val="20"/>
        </w:rPr>
        <w:t>заместитель</w:t>
      </w:r>
      <w:r>
        <w:rPr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председателя</w:t>
      </w:r>
      <w:r>
        <w:rPr>
          <w:i/>
          <w:color w:val="231F20"/>
          <w:spacing w:val="-13"/>
          <w:sz w:val="20"/>
        </w:rPr>
        <w:t xml:space="preserve"> </w:t>
      </w:r>
      <w:r>
        <w:rPr>
          <w:i/>
          <w:color w:val="231F20"/>
          <w:sz w:val="20"/>
        </w:rPr>
        <w:t>Агентства</w:t>
      </w:r>
      <w:r>
        <w:rPr>
          <w:i/>
          <w:color w:val="231F20"/>
          <w:spacing w:val="-12"/>
          <w:sz w:val="20"/>
        </w:rPr>
        <w:t xml:space="preserve"> </w:t>
      </w:r>
      <w:r>
        <w:rPr>
          <w:i/>
          <w:color w:val="231F20"/>
          <w:sz w:val="20"/>
        </w:rPr>
        <w:t>Респуб-лики Казахстан по защите и развитию конкуренции</w:t>
      </w:r>
    </w:p>
    <w:p w:rsidR="00013CCB" w:rsidRDefault="008C3EEC">
      <w:pPr>
        <w:spacing w:before="1" w:line="249" w:lineRule="auto"/>
        <w:ind w:left="141" w:right="25" w:firstLine="283"/>
        <w:jc w:val="both"/>
        <w:rPr>
          <w:i/>
          <w:sz w:val="20"/>
        </w:rPr>
      </w:pPr>
      <w:r>
        <w:rPr>
          <w:i/>
          <w:color w:val="231F20"/>
          <w:sz w:val="20"/>
        </w:rPr>
        <w:t xml:space="preserve">А.Б. Искаков, директор Департамента стратегического развития конкуренции Агентства Республики Казахстан по защите и развитию </w:t>
      </w:r>
      <w:r>
        <w:rPr>
          <w:i/>
          <w:color w:val="231F20"/>
          <w:spacing w:val="-2"/>
          <w:sz w:val="20"/>
        </w:rPr>
        <w:t>конкуренции</w:t>
      </w:r>
    </w:p>
    <w:p w:rsidR="00013CCB" w:rsidRDefault="00013CCB">
      <w:pPr>
        <w:pStyle w:val="a3"/>
        <w:spacing w:before="48"/>
        <w:rPr>
          <w:i/>
          <w:sz w:val="20"/>
        </w:rPr>
      </w:pPr>
    </w:p>
    <w:p w:rsidR="00013CCB" w:rsidRDefault="008C3EEC">
      <w:pPr>
        <w:pStyle w:val="a3"/>
        <w:ind w:left="141" w:right="26" w:firstLine="283"/>
        <w:jc w:val="both"/>
      </w:pP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условиях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изменчивой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рыночной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конъюнктуры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конкурентная политика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перестает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набором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антимонопольных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мер реагирования. Можно смело заявить, что на сегодня она выступает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качестве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фундаментального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драйвера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экономического роста. Однако ее эффективность во-многом зависит от качества институциональной базы, основу которой составляет стратегия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ее развития. Без четко выверенного стратегического горизонта антимонопольное регулирование рискует остаться лишь набором разрозненных санкций, не способных обеспечить качественный рывок в развитии конкуренции.</w:t>
      </w:r>
    </w:p>
    <w:p w:rsidR="00013CCB" w:rsidRDefault="008C3EEC">
      <w:pPr>
        <w:pStyle w:val="a3"/>
        <w:spacing w:before="10"/>
        <w:ind w:left="141" w:right="25" w:firstLine="283"/>
        <w:jc w:val="both"/>
      </w:pPr>
      <w:r>
        <w:rPr>
          <w:color w:val="231F20"/>
        </w:rPr>
        <w:t>В этом плане, в последние пять лет Республика Казахстан заметно преуспела. Страна решительно взяла курс на глубокие экономические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реформы,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поставив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вопросы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честной конкуренции и демонополизации экономики в ранг общенациональных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государственных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приоритетов. При этом, что самое главное, фундамент этой масштабной трансформации был зафиксирован в ряде ключевых документов </w:t>
      </w:r>
      <w:r>
        <w:rPr>
          <w:color w:val="231F20"/>
          <w:spacing w:val="-2"/>
        </w:rPr>
        <w:t>страны.</w:t>
      </w:r>
    </w:p>
    <w:p w:rsidR="00013CCB" w:rsidRDefault="008C3EEC">
      <w:pPr>
        <w:pStyle w:val="1"/>
        <w:spacing w:before="8"/>
      </w:pPr>
      <w:r>
        <w:rPr>
          <w:color w:val="231F20"/>
        </w:rPr>
        <w:t>Общенациональный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приоритет</w:t>
      </w:r>
    </w:p>
    <w:p w:rsidR="00013CCB" w:rsidRDefault="008C3EEC">
      <w:pPr>
        <w:pStyle w:val="a3"/>
        <w:spacing w:before="1"/>
        <w:ind w:left="141" w:right="25" w:firstLine="283"/>
        <w:jc w:val="both"/>
      </w:pPr>
      <w:r>
        <w:rPr>
          <w:color w:val="231F20"/>
        </w:rPr>
        <w:t xml:space="preserve">Основным прорывным шагом наряду с созданием в сентябре 2020 года Агентства по защите и развитию конкуренции </w:t>
      </w:r>
      <w:r>
        <w:rPr>
          <w:i/>
          <w:color w:val="231F20"/>
        </w:rPr>
        <w:t xml:space="preserve">(далее – Агентство) </w:t>
      </w:r>
      <w:r>
        <w:rPr>
          <w:color w:val="231F20"/>
        </w:rPr>
        <w:t>с прямым подчинением Президенту</w:t>
      </w:r>
      <w:r>
        <w:rPr>
          <w:color w:val="231F20"/>
          <w:vertAlign w:val="superscript"/>
        </w:rPr>
        <w:t>20</w:t>
      </w:r>
      <w:r>
        <w:rPr>
          <w:color w:val="231F20"/>
        </w:rPr>
        <w:t xml:space="preserve"> стало принятие Указа «Об основных направлениях государственной политики по развитию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конкуренции»</w:t>
      </w:r>
      <w:r>
        <w:rPr>
          <w:color w:val="231F20"/>
          <w:vertAlign w:val="superscript"/>
        </w:rPr>
        <w:t>21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(далее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Указ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484)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которым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содействие</w:t>
      </w:r>
    </w:p>
    <w:p w:rsidR="00013CCB" w:rsidRDefault="008C3EEC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51199</wp:posOffset>
                </wp:positionV>
                <wp:extent cx="914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4AE05" id="Graphic 7" o:spid="_x0000_s1026" style="position:absolute;margin-left:56.7pt;margin-top:4.05pt;width:1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/>
        <w:ind w:left="425"/>
        <w:jc w:val="both"/>
        <w:rPr>
          <w:sz w:val="18"/>
        </w:rPr>
      </w:pPr>
      <w:r>
        <w:rPr>
          <w:color w:val="231F20"/>
          <w:sz w:val="18"/>
          <w:vertAlign w:val="superscript"/>
        </w:rPr>
        <w:t>20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Указ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Президента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сентября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2020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z w:val="18"/>
        </w:rPr>
        <w:t>года</w:t>
      </w:r>
      <w:r>
        <w:rPr>
          <w:color w:val="231F20"/>
          <w:spacing w:val="30"/>
          <w:sz w:val="18"/>
        </w:rPr>
        <w:t xml:space="preserve"> </w:t>
      </w:r>
      <w:r>
        <w:rPr>
          <w:color w:val="231F20"/>
          <w:sz w:val="18"/>
        </w:rPr>
        <w:t>№</w:t>
      </w:r>
      <w:r>
        <w:rPr>
          <w:color w:val="231F20"/>
          <w:spacing w:val="31"/>
          <w:sz w:val="18"/>
        </w:rPr>
        <w:t xml:space="preserve"> </w:t>
      </w:r>
      <w:r>
        <w:rPr>
          <w:color w:val="231F20"/>
          <w:spacing w:val="-5"/>
          <w:sz w:val="18"/>
        </w:rPr>
        <w:t>407</w:t>
      </w:r>
    </w:p>
    <w:p w:rsidR="00013CCB" w:rsidRDefault="008C3EEC">
      <w:pPr>
        <w:spacing w:before="9" w:line="249" w:lineRule="auto"/>
        <w:ind w:left="141" w:right="27"/>
        <w:jc w:val="both"/>
        <w:rPr>
          <w:sz w:val="18"/>
        </w:rPr>
      </w:pPr>
      <w:r>
        <w:rPr>
          <w:color w:val="231F20"/>
          <w:sz w:val="18"/>
        </w:rPr>
        <w:t xml:space="preserve">«О мерах по дальнейшему совершенствованию системы государственного управления Республики Казахстан» // </w:t>
      </w:r>
      <w:hyperlink r:id="rId8">
        <w:r>
          <w:rPr>
            <w:color w:val="231F20"/>
            <w:sz w:val="18"/>
          </w:rPr>
          <w:t>https://adilet.zan.kz/rus/docs/U2000000407</w:t>
        </w:r>
      </w:hyperlink>
      <w:r>
        <w:rPr>
          <w:color w:val="231F20"/>
          <w:sz w:val="18"/>
        </w:rPr>
        <w:t>.</w:t>
      </w:r>
    </w:p>
    <w:p w:rsidR="00013CCB" w:rsidRDefault="008C3EEC">
      <w:pPr>
        <w:spacing w:before="1" w:line="249" w:lineRule="auto"/>
        <w:ind w:left="141" w:right="26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21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Указ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Президента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31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декабря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2020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года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№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484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«Об основных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направлениях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государственной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политики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по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развитию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конкуренции»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 xml:space="preserve">// </w:t>
      </w:r>
      <w:hyperlink r:id="rId9">
        <w:r>
          <w:rPr>
            <w:color w:val="231F20"/>
            <w:spacing w:val="-2"/>
            <w:sz w:val="18"/>
          </w:rPr>
          <w:t>https://adilet.zan.kz/rus/docs/U2000000484</w:t>
        </w:r>
      </w:hyperlink>
      <w:r>
        <w:rPr>
          <w:color w:val="231F20"/>
          <w:spacing w:val="-2"/>
          <w:sz w:val="18"/>
        </w:rPr>
        <w:t>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headerReference w:type="even" r:id="rId10"/>
          <w:headerReference w:type="default" r:id="rId11"/>
          <w:footerReference w:type="even" r:id="rId12"/>
          <w:footerReference w:type="default" r:id="rId13"/>
          <w:pgSz w:w="8400" w:h="11910"/>
          <w:pgMar w:top="880" w:right="992" w:bottom="660" w:left="992" w:header="371" w:footer="423" w:gutter="0"/>
          <w:pgNumType w:start="90"/>
          <w:cols w:space="720"/>
        </w:sectPr>
      </w:pPr>
    </w:p>
    <w:p w:rsidR="00013CCB" w:rsidRDefault="008C3EEC">
      <w:pPr>
        <w:pStyle w:val="a3"/>
        <w:spacing w:before="80" w:line="256" w:lineRule="auto"/>
        <w:ind w:left="28" w:right="138"/>
        <w:jc w:val="both"/>
      </w:pPr>
      <w:r>
        <w:rPr>
          <w:color w:val="231F20"/>
        </w:rPr>
        <w:lastRenderedPageBreak/>
        <w:t xml:space="preserve">развитию конкуренции и внедрение проактивной конкурентной </w:t>
      </w:r>
      <w:r>
        <w:rPr>
          <w:color w:val="231F20"/>
          <w:spacing w:val="-2"/>
        </w:rPr>
        <w:t>политики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стране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впервые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объявлено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приоритетным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направлением </w:t>
      </w:r>
      <w:r>
        <w:rPr>
          <w:color w:val="231F20"/>
        </w:rPr>
        <w:t>деятельности Президента, Правительства, центральных государ-ственных и местных исполнительных органов.</w:t>
      </w:r>
    </w:p>
    <w:p w:rsidR="00013CCB" w:rsidRDefault="008C3EEC">
      <w:pPr>
        <w:pStyle w:val="a3"/>
        <w:spacing w:line="256" w:lineRule="auto"/>
        <w:ind w:left="28" w:right="139" w:firstLine="283"/>
        <w:jc w:val="both"/>
      </w:pPr>
      <w:r>
        <w:rPr>
          <w:color w:val="231F20"/>
        </w:rPr>
        <w:t xml:space="preserve">Таким образом, этим документом развитие конкуренции </w:t>
      </w:r>
      <w:r>
        <w:rPr>
          <w:color w:val="231F20"/>
          <w:spacing w:val="-2"/>
        </w:rPr>
        <w:t>определено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просто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ведомственной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задачей,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общенациональной </w:t>
      </w:r>
      <w:r>
        <w:rPr>
          <w:color w:val="231F20"/>
        </w:rPr>
        <w:t>задачей для всех уровней власти, и с большим воодушевлением было воспринято внутри Агентства. В данном случае нужно отдать должное ранее принятой Дорожной карте развития конкуренции</w:t>
      </w:r>
      <w:r>
        <w:rPr>
          <w:color w:val="231F20"/>
          <w:vertAlign w:val="superscript"/>
        </w:rPr>
        <w:t>22</w:t>
      </w:r>
      <w:r>
        <w:rPr>
          <w:color w:val="231F20"/>
        </w:rPr>
        <w:t>, которая по своей сути стала ДНК всей реформы, превратив конкуренцию из лозунга в практический механизм развития. Она задала логику, последовательно воспроизводимую в последующих основополагающих документах, посвященных вопросам конкуренции.</w:t>
      </w:r>
    </w:p>
    <w:p w:rsidR="00013CCB" w:rsidRDefault="008C3EEC">
      <w:pPr>
        <w:pStyle w:val="a3"/>
        <w:spacing w:line="256" w:lineRule="auto"/>
        <w:ind w:left="28" w:right="139" w:firstLine="283"/>
        <w:jc w:val="both"/>
      </w:pPr>
      <w:r>
        <w:rPr>
          <w:color w:val="231F20"/>
        </w:rPr>
        <w:t>Указом 484 в качестве основных направлений конкурентной политики определены деконцентрация товарных рынков и сокращение доли государственных компаний, устранение барьеров для входа на товарные рынки, обеспечение равного доступа к мерам государственной поддержки и закупкам. Ключевые акценты поставлены на развитие субъектов МСБ, расширение биржевой торговли, поддержку инвестиций, вывод отечественных производителей на мировые рынки, а также усиление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открытости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доминантов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реализацию ими системы мер по предупреждению нарушений.</w:t>
      </w:r>
    </w:p>
    <w:p w:rsidR="00013CCB" w:rsidRDefault="008C3EEC">
      <w:pPr>
        <w:pStyle w:val="a3"/>
        <w:spacing w:line="256" w:lineRule="auto"/>
        <w:ind w:left="28" w:right="139" w:firstLine="283"/>
        <w:jc w:val="both"/>
      </w:pPr>
      <w:r>
        <w:rPr>
          <w:color w:val="231F20"/>
        </w:rPr>
        <w:t xml:space="preserve">Документом официально закреплено, что конкурентная политика базируется на принципах конкурентной нейтральности </w:t>
      </w:r>
      <w:r>
        <w:rPr>
          <w:i/>
          <w:color w:val="231F20"/>
        </w:rPr>
        <w:t>(равенство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всех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субъектов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предпринимательства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независимо от их формы собственности)</w:t>
      </w:r>
      <w:r>
        <w:rPr>
          <w:color w:val="231F20"/>
        </w:rPr>
        <w:t xml:space="preserve">, прозрачности антимонопольного </w:t>
      </w:r>
      <w:r>
        <w:rPr>
          <w:color w:val="231F20"/>
          <w:spacing w:val="-2"/>
        </w:rPr>
        <w:t>регулирования,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также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государственных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структур </w:t>
      </w:r>
      <w:r>
        <w:rPr>
          <w:color w:val="231F20"/>
        </w:rPr>
        <w:t>с обеспечением измеримости достигнутых ими результатов. Также, что важно, в Указе было зафиксировано смещение фокуса конкурентной политики с «карательных мер» на превенцию нарушений.</w:t>
      </w:r>
      <w:r>
        <w:rPr>
          <w:color w:val="231F20"/>
          <w:spacing w:val="63"/>
          <w:w w:val="150"/>
        </w:rPr>
        <w:t xml:space="preserve"> </w:t>
      </w:r>
      <w:r>
        <w:rPr>
          <w:color w:val="231F20"/>
        </w:rPr>
        <w:t>Этим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62"/>
          <w:w w:val="150"/>
        </w:rPr>
        <w:t xml:space="preserve"> </w:t>
      </w:r>
      <w:r>
        <w:rPr>
          <w:color w:val="231F20"/>
        </w:rPr>
        <w:t>заложили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</w:rPr>
        <w:t>основу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63"/>
          <w:w w:val="150"/>
        </w:rPr>
        <w:t xml:space="preserve"> </w:t>
      </w:r>
      <w:r>
        <w:rPr>
          <w:color w:val="231F20"/>
        </w:rPr>
        <w:t>более</w:t>
      </w:r>
      <w:r>
        <w:rPr>
          <w:color w:val="231F20"/>
          <w:spacing w:val="64"/>
          <w:w w:val="150"/>
        </w:rPr>
        <w:t xml:space="preserve"> </w:t>
      </w:r>
      <w:r>
        <w:rPr>
          <w:color w:val="231F20"/>
          <w:spacing w:val="-2"/>
        </w:rPr>
        <w:t>широкого</w:t>
      </w:r>
    </w:p>
    <w:p w:rsidR="00013CCB" w:rsidRDefault="008C3EEC">
      <w:pPr>
        <w:pStyle w:val="a3"/>
        <w:spacing w:before="5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647999</wp:posOffset>
                </wp:positionH>
                <wp:positionV relativeFrom="paragraph">
                  <wp:posOffset>77088</wp:posOffset>
                </wp:positionV>
                <wp:extent cx="914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696B6" id="Graphic 8" o:spid="_x0000_s1026" style="position:absolute;margin-left:51pt;margin-top:6.05pt;width:1in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 w:line="249" w:lineRule="auto"/>
        <w:ind w:left="28" w:right="139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22</w:t>
      </w:r>
      <w:r>
        <w:rPr>
          <w:color w:val="231F20"/>
          <w:sz w:val="18"/>
        </w:rPr>
        <w:t xml:space="preserve"> Дорожная карта (детальный план) по развитию конкуренции на ключевых товарных рынках Республики Казахстан была принята 14 января 2020 года. Документ был утвержден Первым Заместителем Премьер-Министра А. А. </w:t>
      </w:r>
      <w:r>
        <w:rPr>
          <w:color w:val="231F20"/>
          <w:spacing w:val="-2"/>
          <w:sz w:val="18"/>
        </w:rPr>
        <w:t>Смаиловым.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56" w:lineRule="auto"/>
        <w:ind w:left="141" w:right="25"/>
        <w:jc w:val="both"/>
      </w:pPr>
      <w:r>
        <w:rPr>
          <w:color w:val="231F20"/>
        </w:rPr>
        <w:lastRenderedPageBreak/>
        <w:t>применения инструментов «мягкого права» по незначительным нарушениям с ужесточением ответственности по более тяжелым, дав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бизнесу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шанс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устранять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признаки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нарушений, не доводя бизнес и аппарат ведомства до изнурительных </w:t>
      </w:r>
      <w:r>
        <w:rPr>
          <w:color w:val="231F20"/>
          <w:spacing w:val="-2"/>
        </w:rPr>
        <w:t>расследований.</w:t>
      </w:r>
    </w:p>
    <w:p w:rsidR="00013CCB" w:rsidRDefault="008C3EEC">
      <w:pPr>
        <w:pStyle w:val="a3"/>
        <w:spacing w:line="256" w:lineRule="auto"/>
        <w:ind w:left="141" w:right="26" w:firstLine="283"/>
        <w:jc w:val="both"/>
      </w:pPr>
      <w:r>
        <w:rPr>
          <w:color w:val="231F20"/>
        </w:rPr>
        <w:t>Отдельного внимания заслуживают вопросы формирования институциональной среды, необходимой для антимонопольного регулирования. Так, в частности в реализацию Указа 484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впервые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Реестре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программ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>нам</w:t>
      </w:r>
      <w:r>
        <w:rPr>
          <w:color w:val="231F20"/>
          <w:spacing w:val="71"/>
        </w:rPr>
        <w:t xml:space="preserve"> </w:t>
      </w:r>
      <w:r>
        <w:rPr>
          <w:color w:val="231F20"/>
        </w:rPr>
        <w:t xml:space="preserve">совместно с Министерством образования удалось запустить программу обучения уровня магистратуры «Конкурентное право» для </w:t>
      </w:r>
      <w:r>
        <w:rPr>
          <w:color w:val="231F20"/>
          <w:spacing w:val="-4"/>
        </w:rPr>
        <w:t xml:space="preserve">подготовки специалистов со знанием основ и механизмов полезного </w:t>
      </w:r>
      <w:r>
        <w:rPr>
          <w:color w:val="231F20"/>
        </w:rPr>
        <w:t>действия конкуренции. Тогда же мы договорились и об открытии отделения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магистратуры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базе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КазГЮУ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имени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М.С.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Нарикбаева </w:t>
      </w:r>
      <w:r>
        <w:rPr>
          <w:i/>
          <w:color w:val="231F20"/>
        </w:rPr>
        <w:t>(ныне Maqsut Narikbayev University)</w:t>
      </w:r>
      <w:r>
        <w:rPr>
          <w:color w:val="231F20"/>
        </w:rPr>
        <w:t>. В связи с запуском учебной программы, с привлечением экспертов из ближнего зарубежья, ученых, юристов, практикующих в сфере антимонопольного права, а также руководства Агентства было разработано учебное пособие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«Конкурентное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политика»</w:t>
      </w:r>
      <w:r>
        <w:rPr>
          <w:color w:val="231F20"/>
          <w:vertAlign w:val="superscript"/>
        </w:rPr>
        <w:t>23</w:t>
      </w:r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Предисловие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нему было написано Главой государства.</w:t>
      </w:r>
    </w:p>
    <w:p w:rsidR="00013CCB" w:rsidRDefault="008C3EEC">
      <w:pPr>
        <w:pStyle w:val="1"/>
        <w:spacing w:line="243" w:lineRule="exact"/>
      </w:pPr>
      <w:r>
        <w:rPr>
          <w:color w:val="231F20"/>
        </w:rPr>
        <w:t>Национальный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проект</w:t>
      </w:r>
    </w:p>
    <w:p w:rsidR="00013CCB" w:rsidRDefault="008C3EEC">
      <w:pPr>
        <w:spacing w:before="14" w:line="256" w:lineRule="auto"/>
        <w:ind w:left="141" w:right="25" w:firstLine="283"/>
        <w:jc w:val="both"/>
      </w:pPr>
      <w:r>
        <w:rPr>
          <w:color w:val="231F20"/>
        </w:rPr>
        <w:t xml:space="preserve">Следующим важным шагом в реализацию Указа 484 стала разработка Национального проекта по развитию конкуренции </w:t>
      </w:r>
      <w:r>
        <w:rPr>
          <w:i/>
          <w:color w:val="231F20"/>
        </w:rPr>
        <w:t>(далее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12"/>
        </w:rPr>
        <w:t xml:space="preserve"> </w:t>
      </w:r>
      <w:r>
        <w:rPr>
          <w:i/>
          <w:color w:val="231F20"/>
        </w:rPr>
        <w:t>Нацпроект)</w:t>
      </w:r>
      <w:r>
        <w:rPr>
          <w:color w:val="231F20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Институт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национальных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проектов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внедрялся в рамках обновленной системы государственного планирования. 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отличительной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особенностью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являлся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механизм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реализации в соответствии с принципами проектного управления </w:t>
      </w:r>
      <w:r>
        <w:rPr>
          <w:i/>
          <w:color w:val="231F20"/>
        </w:rPr>
        <w:t>(включение конкретных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целей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и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задач,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наличие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измеримого</w:t>
      </w:r>
      <w:r>
        <w:rPr>
          <w:i/>
          <w:color w:val="231F20"/>
          <w:spacing w:val="80"/>
        </w:rPr>
        <w:t xml:space="preserve"> </w:t>
      </w:r>
      <w:r>
        <w:rPr>
          <w:i/>
          <w:color w:val="231F20"/>
        </w:rPr>
        <w:t>результата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 xml:space="preserve">с учетом достаточных ресурсов обязательная персональная </w:t>
      </w:r>
      <w:r>
        <w:rPr>
          <w:i/>
          <w:color w:val="231F20"/>
          <w:spacing w:val="-2"/>
        </w:rPr>
        <w:t>ответственность)</w:t>
      </w:r>
      <w:r>
        <w:rPr>
          <w:color w:val="231F20"/>
          <w:spacing w:val="-2"/>
        </w:rPr>
        <w:t>.</w:t>
      </w:r>
    </w:p>
    <w:p w:rsidR="00013CCB" w:rsidRDefault="008C3EEC">
      <w:pPr>
        <w:pStyle w:val="a3"/>
        <w:spacing w:line="256" w:lineRule="auto"/>
        <w:ind w:left="141" w:right="26" w:firstLine="283"/>
        <w:jc w:val="both"/>
      </w:pPr>
      <w:r>
        <w:rPr>
          <w:color w:val="231F20"/>
          <w:spacing w:val="-2"/>
        </w:rPr>
        <w:t>Разработка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Нацпроекта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осуществлялась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Агентством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привлече-</w:t>
      </w:r>
      <w:r>
        <w:rPr>
          <w:color w:val="231F20"/>
          <w:spacing w:val="-4"/>
        </w:rPr>
        <w:t>нием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широкого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круга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стейкхолдеров.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состав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более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20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рабочих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под-</w:t>
      </w:r>
      <w:r>
        <w:rPr>
          <w:color w:val="231F20"/>
        </w:rPr>
        <w:t>групп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включили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представителей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субъектов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рынка,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отраслевых ассоциаций,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НПП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«Атамекен»,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государственных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органов.</w:t>
      </w:r>
    </w:p>
    <w:p w:rsidR="00013CCB" w:rsidRDefault="008C3EEC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51261</wp:posOffset>
                </wp:positionV>
                <wp:extent cx="914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80773" id="Graphic 9" o:spid="_x0000_s1026" style="position:absolute;margin-left:56.7pt;margin-top:4.05pt;width:1in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 w:line="249" w:lineRule="auto"/>
        <w:ind w:left="141" w:right="26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23</w:t>
      </w:r>
      <w:r>
        <w:rPr>
          <w:color w:val="231F20"/>
          <w:sz w:val="18"/>
        </w:rPr>
        <w:t xml:space="preserve"> Вышло в свет учебное пособие «Конкурентное право и политика. Базовый </w:t>
      </w:r>
      <w:r>
        <w:rPr>
          <w:color w:val="231F20"/>
          <w:spacing w:val="-2"/>
          <w:sz w:val="18"/>
        </w:rPr>
        <w:t xml:space="preserve">курс» с предисловием Главы государства / </w:t>
      </w:r>
      <w:hyperlink r:id="rId14">
        <w:r>
          <w:rPr>
            <w:color w:val="231F20"/>
            <w:spacing w:val="-2"/>
            <w:sz w:val="18"/>
          </w:rPr>
          <w:t xml:space="preserve">https://www.gov.kz/memleket/entities/zk/ </w:t>
        </w:r>
        <w:r>
          <w:rPr>
            <w:color w:val="231F20"/>
            <w:sz w:val="18"/>
          </w:rPr>
          <w:t>press/news/details/285911?lang=ru</w:t>
        </w:r>
      </w:hyperlink>
      <w:r>
        <w:rPr>
          <w:color w:val="231F20"/>
          <w:sz w:val="18"/>
        </w:rPr>
        <w:t xml:space="preserve"> 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/>
        <w:ind w:left="28" w:right="139"/>
        <w:jc w:val="both"/>
      </w:pPr>
      <w:r>
        <w:rPr>
          <w:color w:val="231F20"/>
        </w:rPr>
        <w:lastRenderedPageBreak/>
        <w:t>К нашему обсуждению на принципах краудсорсинга присоеди-нилось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более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1,5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тыс.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экспертов.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площадках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проведено более 80 совещаний.</w:t>
      </w:r>
    </w:p>
    <w:p w:rsidR="00013CCB" w:rsidRDefault="008C3EEC">
      <w:pPr>
        <w:pStyle w:val="a3"/>
        <w:ind w:left="28" w:right="139" w:firstLine="283"/>
        <w:jc w:val="both"/>
      </w:pPr>
      <w:r>
        <w:rPr>
          <w:color w:val="231F20"/>
        </w:rPr>
        <w:t>Нацпроект формировался с прицелом на исполнение Обще-национального приоритета страны «Построение диверсифициро-</w:t>
      </w:r>
      <w:r>
        <w:rPr>
          <w:color w:val="231F20"/>
          <w:spacing w:val="-2"/>
        </w:rPr>
        <w:t>ванной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инновационной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экономики»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реализацию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Национального </w:t>
      </w:r>
      <w:r>
        <w:rPr>
          <w:color w:val="231F20"/>
        </w:rPr>
        <w:t>плана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года</w:t>
      </w:r>
      <w:r>
        <w:rPr>
          <w:color w:val="231F20"/>
          <w:vertAlign w:val="superscript"/>
        </w:rPr>
        <w:t>24</w:t>
      </w:r>
      <w:r>
        <w:rPr>
          <w:color w:val="231F20"/>
          <w:spacing w:val="-4"/>
        </w:rPr>
        <w:t xml:space="preserve"> </w:t>
      </w:r>
      <w:r>
        <w:rPr>
          <w:i/>
          <w:color w:val="231F20"/>
        </w:rPr>
        <w:t>(далее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Нацплан)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учетом Нацплана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Нацпроектом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стояли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решению</w:t>
      </w:r>
      <w:r>
        <w:rPr>
          <w:color w:val="231F20"/>
          <w:spacing w:val="68"/>
        </w:rPr>
        <w:t xml:space="preserve"> </w:t>
      </w:r>
      <w:r>
        <w:rPr>
          <w:color w:val="231F20"/>
        </w:rPr>
        <w:t>3-</w:t>
      </w:r>
      <w:r>
        <w:rPr>
          <w:color w:val="231F20"/>
          <w:spacing w:val="-10"/>
        </w:rPr>
        <w:t>х</w:t>
      </w:r>
    </w:p>
    <w:p w:rsidR="00013CCB" w:rsidRDefault="008C3EEC">
      <w:pPr>
        <w:pStyle w:val="a3"/>
        <w:spacing w:line="248" w:lineRule="exact"/>
        <w:ind w:left="28"/>
        <w:jc w:val="both"/>
      </w:pPr>
      <w:r>
        <w:rPr>
          <w:color w:val="231F20"/>
        </w:rPr>
        <w:t>«узловых»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барьеров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-2"/>
        </w:rPr>
        <w:t xml:space="preserve"> конкуренции</w:t>
      </w:r>
      <w:r>
        <w:rPr>
          <w:color w:val="231F20"/>
          <w:spacing w:val="-2"/>
          <w:vertAlign w:val="superscript"/>
        </w:rPr>
        <w:t>25</w:t>
      </w:r>
      <w:r>
        <w:rPr>
          <w:color w:val="231F20"/>
          <w:spacing w:val="-2"/>
        </w:rPr>
        <w:t>: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477"/>
        </w:tabs>
        <w:ind w:firstLine="283"/>
      </w:pPr>
      <w:r>
        <w:rPr>
          <w:color w:val="231F20"/>
        </w:rPr>
        <w:t>ограниченный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доступ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«ключевой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мощности»</w:t>
      </w:r>
      <w:r>
        <w:rPr>
          <w:color w:val="231F20"/>
          <w:spacing w:val="-6"/>
        </w:rPr>
        <w:t xml:space="preserve"> </w:t>
      </w:r>
      <w:r>
        <w:rPr>
          <w:i/>
          <w:color w:val="231F20"/>
        </w:rPr>
        <w:t>(инфраструк-тура, ресурсы, без доступа к которым конкуренты не могут представлять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услуги</w:t>
      </w:r>
      <w:r>
        <w:rPr>
          <w:i/>
          <w:color w:val="231F20"/>
          <w:spacing w:val="-14"/>
        </w:rPr>
        <w:t xml:space="preserve"> </w:t>
      </w:r>
      <w:r>
        <w:rPr>
          <w:i/>
          <w:color w:val="231F20"/>
        </w:rPr>
        <w:t>потребителям)</w:t>
      </w:r>
      <w:r>
        <w:rPr>
          <w:i/>
          <w:color w:val="231F20"/>
          <w:spacing w:val="-1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затрудняет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новых или масштабирование действующих видов бизнеса;</w:t>
      </w:r>
    </w:p>
    <w:p w:rsidR="00013CCB" w:rsidRDefault="008C3EEC">
      <w:pPr>
        <w:pStyle w:val="a3"/>
        <w:ind w:left="28" w:right="139" w:firstLine="283"/>
        <w:jc w:val="both"/>
      </w:pPr>
      <w:r>
        <w:rPr>
          <w:color w:val="231F20"/>
          <w:spacing w:val="-2"/>
        </w:rPr>
        <w:t xml:space="preserve">–искажениеценообразования.Статья116Предпринимательского </w:t>
      </w:r>
      <w:r>
        <w:rPr>
          <w:color w:val="231F20"/>
        </w:rPr>
        <w:t xml:space="preserve">кодекса подразумевает целый комплекс разных типов ценового регулирования. Государственное ценообразование во многом </w:t>
      </w:r>
      <w:r>
        <w:rPr>
          <w:color w:val="231F20"/>
          <w:spacing w:val="-2"/>
        </w:rPr>
        <w:t>объективно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обосновано,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иногда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сдерживает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инноваций, конкуренции;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490"/>
        </w:tabs>
        <w:ind w:firstLine="283"/>
      </w:pPr>
      <w:r>
        <w:rPr>
          <w:color w:val="231F20"/>
        </w:rPr>
        <w:t xml:space="preserve">избирательное покровительство или фаворитизм </w:t>
      </w:r>
      <w:r>
        <w:rPr>
          <w:i/>
          <w:color w:val="231F20"/>
        </w:rPr>
        <w:t>(нарушение принципа «Effet utile» (полезное действие) конкуренции</w:t>
      </w:r>
      <w:r>
        <w:rPr>
          <w:i/>
          <w:color w:val="231F20"/>
          <w:vertAlign w:val="superscript"/>
        </w:rPr>
        <w:t>26</w:t>
      </w:r>
      <w:r>
        <w:rPr>
          <w:i/>
          <w:color w:val="231F20"/>
        </w:rPr>
        <w:t>, ограничивающего принятие правовых актов, необоснованно наделяющих отдельные компании рыночной властью; меры господдержки, искажающие аллокативную эффективность конкуренции; наделение субъектов рынка исключительными или специальными правами)</w:t>
      </w:r>
      <w:r>
        <w:rPr>
          <w:color w:val="231F20"/>
        </w:rPr>
        <w:t>.</w:t>
      </w:r>
    </w:p>
    <w:p w:rsidR="00013CCB" w:rsidRDefault="008C3EEC">
      <w:pPr>
        <w:pStyle w:val="a3"/>
        <w:spacing w:line="242" w:lineRule="auto"/>
        <w:ind w:left="28" w:right="139" w:firstLine="283"/>
        <w:jc w:val="both"/>
      </w:pPr>
      <w:r>
        <w:rPr>
          <w:color w:val="231F20"/>
          <w:spacing w:val="-4"/>
        </w:rPr>
        <w:t xml:space="preserve">Что касается самого наполнения Нацпроекта, по вышеуказанным </w:t>
      </w:r>
      <w:r>
        <w:rPr>
          <w:color w:val="231F20"/>
        </w:rPr>
        <w:t>барьерам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Агентством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совместно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экспертным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сообществом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были установлены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ключевые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сферы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проекты,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решение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носит определяющий характер. Таким образом, в Нацпроект были </w:t>
      </w:r>
      <w:r>
        <w:rPr>
          <w:color w:val="231F20"/>
          <w:spacing w:val="-2"/>
        </w:rPr>
        <w:t>включены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наиболее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значимые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проекты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«мейнстрим»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основная </w:t>
      </w:r>
      <w:r>
        <w:rPr>
          <w:color w:val="231F20"/>
        </w:rPr>
        <w:t>задача заключалась в создании «бенчмарка» в видении развития политики конкуренции в стране.</w:t>
      </w:r>
    </w:p>
    <w:p w:rsidR="00013CCB" w:rsidRDefault="008C3EEC">
      <w:pPr>
        <w:pStyle w:val="a3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647999</wp:posOffset>
                </wp:positionH>
                <wp:positionV relativeFrom="paragraph">
                  <wp:posOffset>52341</wp:posOffset>
                </wp:positionV>
                <wp:extent cx="914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8C44F" id="Graphic 10" o:spid="_x0000_s1026" style="position:absolute;margin-left:51pt;margin-top:4.1pt;width:1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/>
        <w:ind w:left="311"/>
        <w:jc w:val="both"/>
        <w:rPr>
          <w:sz w:val="18"/>
        </w:rPr>
      </w:pPr>
      <w:r>
        <w:rPr>
          <w:color w:val="231F20"/>
          <w:sz w:val="18"/>
          <w:vertAlign w:val="superscript"/>
        </w:rPr>
        <w:t>24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Указ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Президента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15</w:t>
      </w:r>
      <w:r>
        <w:rPr>
          <w:color w:val="231F20"/>
          <w:spacing w:val="24"/>
          <w:sz w:val="18"/>
        </w:rPr>
        <w:t xml:space="preserve"> </w:t>
      </w:r>
      <w:r>
        <w:rPr>
          <w:color w:val="231F20"/>
          <w:sz w:val="18"/>
        </w:rPr>
        <w:t>февраля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2018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года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</w:rPr>
        <w:t>№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pacing w:val="-5"/>
          <w:sz w:val="18"/>
        </w:rPr>
        <w:t>636</w:t>
      </w:r>
    </w:p>
    <w:p w:rsidR="00013CCB" w:rsidRDefault="008C3EEC">
      <w:pPr>
        <w:spacing w:before="9" w:line="249" w:lineRule="auto"/>
        <w:ind w:left="28" w:right="139"/>
        <w:jc w:val="both"/>
        <w:rPr>
          <w:sz w:val="18"/>
        </w:rPr>
      </w:pPr>
      <w:r>
        <w:rPr>
          <w:color w:val="231F20"/>
          <w:sz w:val="18"/>
        </w:rPr>
        <w:t>«Об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утверждении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Национального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плана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развития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до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2025 года и признании утратившими силу некоторых указов Президента Республики Казахстан» // </w:t>
      </w:r>
      <w:hyperlink r:id="rId15">
        <w:r>
          <w:rPr>
            <w:color w:val="231F20"/>
            <w:sz w:val="18"/>
          </w:rPr>
          <w:t>https://adilet.zan.kz/rus/docs/U1800000636</w:t>
        </w:r>
      </w:hyperlink>
      <w:r>
        <w:rPr>
          <w:color w:val="231F20"/>
          <w:sz w:val="18"/>
        </w:rPr>
        <w:t>.</w:t>
      </w:r>
    </w:p>
    <w:p w:rsidR="00013CCB" w:rsidRDefault="008C3EEC">
      <w:pPr>
        <w:spacing w:before="2" w:line="249" w:lineRule="auto"/>
        <w:ind w:left="28" w:right="139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25</w:t>
      </w:r>
      <w:r>
        <w:rPr>
          <w:color w:val="231F20"/>
          <w:sz w:val="18"/>
        </w:rPr>
        <w:t xml:space="preserve"> Источник: Анализ CRC (Center For Research And Consulting) на основе литературного обзора.</w:t>
      </w:r>
    </w:p>
    <w:p w:rsidR="00013CCB" w:rsidRDefault="008C3EEC">
      <w:pPr>
        <w:spacing w:before="1" w:line="249" w:lineRule="auto"/>
        <w:ind w:left="28" w:right="139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26</w:t>
      </w:r>
      <w:r>
        <w:rPr>
          <w:color w:val="231F20"/>
          <w:sz w:val="18"/>
        </w:rPr>
        <w:t xml:space="preserve"> Тихамер Тот. Антимонопольное право Европейского союза. – Будапешт: Венгерское антимонопольное ведомство, 2014.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9" w:lineRule="auto"/>
        <w:ind w:left="141" w:right="25" w:firstLine="283"/>
        <w:jc w:val="both"/>
      </w:pPr>
      <w:r>
        <w:rPr>
          <w:color w:val="231F20"/>
          <w:spacing w:val="-2"/>
        </w:rPr>
        <w:lastRenderedPageBreak/>
        <w:t>Отдельно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хотелось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бы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отметить,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разработанный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Агентством </w:t>
      </w:r>
      <w:r>
        <w:rPr>
          <w:color w:val="231F20"/>
        </w:rPr>
        <w:t>Нацпроект, стал первым национальным проектом, официально внесенным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Правительство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утверждения</w:t>
      </w:r>
      <w:r>
        <w:rPr>
          <w:color w:val="231F20"/>
          <w:spacing w:val="40"/>
        </w:rPr>
        <w:t xml:space="preserve"> </w:t>
      </w:r>
      <w:r>
        <w:rPr>
          <w:i/>
          <w:color w:val="231F20"/>
        </w:rPr>
        <w:t>(7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июня</w:t>
      </w:r>
      <w:r>
        <w:rPr>
          <w:i/>
          <w:color w:val="231F20"/>
          <w:spacing w:val="40"/>
        </w:rPr>
        <w:t xml:space="preserve"> </w:t>
      </w:r>
      <w:r>
        <w:rPr>
          <w:i/>
          <w:color w:val="231F20"/>
        </w:rPr>
        <w:t>2021 года)</w:t>
      </w:r>
      <w:r>
        <w:rPr>
          <w:color w:val="231F20"/>
        </w:rPr>
        <w:t>. Вместе с тем, позднее было принято решение о включении положений Нацпроекта в состав Национального проекта по развитию предпринимательства</w:t>
      </w:r>
      <w:r>
        <w:rPr>
          <w:color w:val="231F20"/>
          <w:vertAlign w:val="superscript"/>
        </w:rPr>
        <w:t>27</w:t>
      </w:r>
      <w:r>
        <w:rPr>
          <w:color w:val="231F20"/>
        </w:rPr>
        <w:t xml:space="preserve">, который был утвержден в октябре 2021 года. Здесь мы настояли на том, чтобы все «живые» проекты, направленные на устранение 3-х «узловых» барьеров, стали неотъемлемой и самостоятельной частью Национального проекта по развитию предпринимательства </w:t>
      </w:r>
      <w:r>
        <w:rPr>
          <w:i/>
          <w:color w:val="231F20"/>
        </w:rPr>
        <w:t>(направление по комплексному развитию конкуренции)</w:t>
      </w:r>
      <w:r>
        <w:rPr>
          <w:color w:val="231F20"/>
        </w:rPr>
        <w:t>. Для нас это было очень важно,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потерять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целевой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фокус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создание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проконкурентной </w:t>
      </w:r>
      <w:r>
        <w:rPr>
          <w:color w:val="231F20"/>
          <w:spacing w:val="-2"/>
        </w:rPr>
        <w:t>среды.</w:t>
      </w:r>
    </w:p>
    <w:p w:rsidR="00013CCB" w:rsidRDefault="008C3EEC">
      <w:pPr>
        <w:pStyle w:val="a3"/>
        <w:spacing w:before="12" w:line="249" w:lineRule="auto"/>
        <w:ind w:left="141" w:right="26" w:firstLine="283"/>
        <w:jc w:val="both"/>
      </w:pPr>
      <w:r>
        <w:rPr>
          <w:color w:val="231F20"/>
        </w:rPr>
        <w:t xml:space="preserve">Прежде всего – это развитие биржевой </w:t>
      </w:r>
      <w:r>
        <w:rPr>
          <w:i/>
          <w:color w:val="231F20"/>
        </w:rPr>
        <w:t xml:space="preserve">(организованной) </w:t>
      </w:r>
      <w:r>
        <w:rPr>
          <w:color w:val="231F20"/>
        </w:rPr>
        <w:t xml:space="preserve">торговли. Так, впервые в Казахстане начата биржевая торговля бензином, битумом </w:t>
      </w:r>
      <w:r>
        <w:rPr>
          <w:i/>
          <w:color w:val="231F20"/>
        </w:rPr>
        <w:t>(март 2021 года)</w:t>
      </w:r>
      <w:r>
        <w:rPr>
          <w:color w:val="231F20"/>
        </w:rPr>
        <w:t xml:space="preserve">, авиакеросином </w:t>
      </w:r>
      <w:r>
        <w:rPr>
          <w:i/>
          <w:color w:val="231F20"/>
        </w:rPr>
        <w:t xml:space="preserve">(сентябрь 2021 года) </w:t>
      </w:r>
      <w:r>
        <w:rPr>
          <w:color w:val="231F20"/>
        </w:rPr>
        <w:t xml:space="preserve">и дизельным топливом </w:t>
      </w:r>
      <w:r>
        <w:rPr>
          <w:i/>
          <w:color w:val="231F20"/>
        </w:rPr>
        <w:t>(ноябрь 2021 года)</w:t>
      </w:r>
      <w:r>
        <w:rPr>
          <w:color w:val="231F20"/>
        </w:rPr>
        <w:t xml:space="preserve">. Впервые состоялись биржевые торги углем напрямую региональным </w:t>
      </w:r>
      <w:r>
        <w:rPr>
          <w:color w:val="231F20"/>
          <w:spacing w:val="-2"/>
        </w:rPr>
        <w:t>операторам</w:t>
      </w:r>
      <w:r>
        <w:rPr>
          <w:color w:val="231F20"/>
          <w:spacing w:val="-5"/>
        </w:rPr>
        <w:t xml:space="preserve"> </w:t>
      </w:r>
      <w:r>
        <w:rPr>
          <w:i/>
          <w:color w:val="231F20"/>
          <w:spacing w:val="-2"/>
        </w:rPr>
        <w:t>(апрель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  <w:spacing w:val="-2"/>
        </w:rPr>
        <w:t>2021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  <w:spacing w:val="-2"/>
        </w:rPr>
        <w:t>года)</w:t>
      </w:r>
      <w:r>
        <w:rPr>
          <w:color w:val="231F20"/>
          <w:spacing w:val="-2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позволило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исключить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из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 xml:space="preserve">схемы </w:t>
      </w:r>
      <w:r>
        <w:rPr>
          <w:color w:val="231F20"/>
        </w:rPr>
        <w:t>ценообразования непродуктивных посредников. При Агентстве был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создан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Биржевой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комитет,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заработал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Ситуационный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центр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для мониторинга биржевых торгов в онлайн режиме.</w:t>
      </w:r>
    </w:p>
    <w:p w:rsidR="00013CCB" w:rsidRDefault="008C3EEC">
      <w:pPr>
        <w:pStyle w:val="a3"/>
        <w:spacing w:before="8"/>
        <w:ind w:left="425"/>
        <w:jc w:val="both"/>
      </w:pPr>
      <w:r>
        <w:rPr>
          <w:color w:val="231F20"/>
        </w:rPr>
        <w:t>Важный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аспект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разгосударствление.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Агентством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предложен</w:t>
      </w:r>
    </w:p>
    <w:p w:rsidR="00013CCB" w:rsidRDefault="008C3EEC">
      <w:pPr>
        <w:pStyle w:val="a3"/>
        <w:spacing w:before="11" w:line="249" w:lineRule="auto"/>
        <w:ind w:left="141" w:right="25"/>
        <w:jc w:val="both"/>
      </w:pPr>
      <w:r>
        <w:rPr>
          <w:color w:val="231F20"/>
        </w:rPr>
        <w:t>«секторальный подход» приватизации. Следующий важный шаг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– регулирование деятельности операторов, государственных и </w:t>
      </w:r>
      <w:r>
        <w:rPr>
          <w:color w:val="231F20"/>
          <w:spacing w:val="-2"/>
        </w:rPr>
        <w:t>частных.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законодательном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уровне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была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максимально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усложнена </w:t>
      </w:r>
      <w:r>
        <w:rPr>
          <w:color w:val="231F20"/>
        </w:rPr>
        <w:t>процедура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создания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частных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операторов.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ключевых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также проекты по сокращению государственных заданий, снижению доли государственных закупок из одного источника.</w:t>
      </w:r>
    </w:p>
    <w:p w:rsidR="00013CCB" w:rsidRDefault="008C3EEC">
      <w:pPr>
        <w:pStyle w:val="1"/>
        <w:spacing w:before="6"/>
      </w:pPr>
      <w:r>
        <w:rPr>
          <w:color w:val="231F20"/>
        </w:rPr>
        <w:t xml:space="preserve">Видение на </w:t>
      </w:r>
      <w:r>
        <w:rPr>
          <w:color w:val="231F20"/>
          <w:spacing w:val="-2"/>
        </w:rPr>
        <w:t>перспективу</w:t>
      </w:r>
    </w:p>
    <w:p w:rsidR="00013CCB" w:rsidRDefault="008C3EEC">
      <w:pPr>
        <w:pStyle w:val="a3"/>
        <w:spacing w:before="11" w:line="249" w:lineRule="auto"/>
        <w:ind w:left="141" w:right="26" w:firstLine="283"/>
        <w:jc w:val="both"/>
      </w:pPr>
      <w:r>
        <w:rPr>
          <w:color w:val="231F20"/>
        </w:rPr>
        <w:t>2022 год стал моментом, когда мы «кристаллизовали» наше видение в новом документе, а именно Концепции защиты и развития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конкуренции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Республике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Казахстан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2022–2026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годы </w:t>
      </w:r>
      <w:r>
        <w:rPr>
          <w:i/>
          <w:color w:val="231F20"/>
        </w:rPr>
        <w:t>(далее</w:t>
      </w:r>
      <w:r>
        <w:rPr>
          <w:i/>
          <w:color w:val="231F20"/>
          <w:spacing w:val="7"/>
        </w:rPr>
        <w:t xml:space="preserve"> </w:t>
      </w:r>
      <w:r>
        <w:rPr>
          <w:i/>
          <w:color w:val="231F20"/>
        </w:rPr>
        <w:t>–</w:t>
      </w:r>
      <w:r>
        <w:rPr>
          <w:i/>
          <w:color w:val="231F20"/>
          <w:spacing w:val="10"/>
        </w:rPr>
        <w:t xml:space="preserve"> </w:t>
      </w:r>
      <w:r>
        <w:rPr>
          <w:i/>
          <w:color w:val="231F20"/>
        </w:rPr>
        <w:t>Концепция)</w:t>
      </w:r>
      <w:r>
        <w:rPr>
          <w:color w:val="231F20"/>
        </w:rPr>
        <w:t>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Указ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484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охарактеризовать,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5"/>
        </w:rPr>
        <w:t>как</w:t>
      </w:r>
    </w:p>
    <w:p w:rsidR="00013CCB" w:rsidRDefault="008C3EEC">
      <w:pPr>
        <w:pStyle w:val="a3"/>
        <w:spacing w:before="11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51427</wp:posOffset>
                </wp:positionV>
                <wp:extent cx="914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A6341" id="Graphic 11" o:spid="_x0000_s1026" style="position:absolute;margin-left:56.7pt;margin-top:4.05pt;width:1in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 w:line="249" w:lineRule="auto"/>
        <w:ind w:left="141" w:right="25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27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Постановление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Правительства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12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 xml:space="preserve">октября 2021 года № 728 «Об утверждении национального проекта по развитию предпринимательства на 2021 – 2025 годы» // </w:t>
      </w:r>
      <w:hyperlink r:id="rId16">
        <w:r>
          <w:rPr>
            <w:color w:val="231F20"/>
            <w:sz w:val="18"/>
          </w:rPr>
          <w:t>https://adilet.zan.kz/rus/docs/</w:t>
        </w:r>
      </w:hyperlink>
      <w:r>
        <w:rPr>
          <w:color w:val="231F20"/>
          <w:sz w:val="18"/>
        </w:rPr>
        <w:t xml:space="preserve"> </w:t>
      </w:r>
      <w:r>
        <w:rPr>
          <w:color w:val="231F20"/>
          <w:spacing w:val="-2"/>
          <w:sz w:val="18"/>
        </w:rPr>
        <w:t>P2100000728.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9" w:lineRule="auto"/>
        <w:ind w:left="28" w:right="139"/>
        <w:jc w:val="both"/>
      </w:pPr>
      <w:r>
        <w:rPr>
          <w:color w:val="231F20"/>
        </w:rPr>
        <w:lastRenderedPageBreak/>
        <w:t>призыв к действию, то Концепция стала нашей стратегической основой. Она прорисовала четкое видение, что конкурентная политика должна быть интегрирована во всю экономическую систему страны.</w:t>
      </w:r>
    </w:p>
    <w:p w:rsidR="00013CCB" w:rsidRDefault="008C3EEC">
      <w:pPr>
        <w:pStyle w:val="a3"/>
        <w:spacing w:line="242" w:lineRule="auto"/>
        <w:ind w:left="28" w:right="139" w:firstLine="283"/>
        <w:jc w:val="both"/>
      </w:pP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моменту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начала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разработки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Концепции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четко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осознавали, что «полумеры» больше не работают. Наши анализы показывали критическую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картину,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отраслях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концентрация рыночной власти достигала своего максимума. Рыночные ниши были буквально «забетонированы» нерыночными методами, а предприниматели, даже сумев войти на рынок, оказывались в заложниках у частных монополистов.</w:t>
      </w:r>
    </w:p>
    <w:p w:rsidR="00013CCB" w:rsidRDefault="008C3EEC">
      <w:pPr>
        <w:ind w:left="28" w:right="139" w:firstLine="283"/>
        <w:jc w:val="both"/>
      </w:pPr>
      <w:r>
        <w:rPr>
          <w:color w:val="231F20"/>
        </w:rPr>
        <w:t xml:space="preserve">Помнится, в те дни мы работали в режиме интеллектуального </w:t>
      </w:r>
      <w:r>
        <w:rPr>
          <w:color w:val="231F20"/>
          <w:spacing w:val="-4"/>
        </w:rPr>
        <w:t xml:space="preserve">штурма. Мызаложили впроект Концепции семь базовых принципов, </w:t>
      </w:r>
      <w:r>
        <w:rPr>
          <w:color w:val="231F2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были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конкурентный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нейтралитет</w:t>
      </w:r>
      <w:r>
        <w:rPr>
          <w:color w:val="231F20"/>
          <w:spacing w:val="-7"/>
        </w:rPr>
        <w:t xml:space="preserve"> </w:t>
      </w:r>
      <w:r>
        <w:rPr>
          <w:i/>
          <w:color w:val="231F20"/>
        </w:rPr>
        <w:t>(равенство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 xml:space="preserve">всех форм собственности) </w:t>
      </w:r>
      <w:r>
        <w:rPr>
          <w:color w:val="231F20"/>
        </w:rPr>
        <w:t xml:space="preserve">и «правила желтых страниц» </w:t>
      </w:r>
      <w:r>
        <w:rPr>
          <w:i/>
          <w:color w:val="231F20"/>
        </w:rPr>
        <w:t>(ограничение госучастия там, где есть частник)</w:t>
      </w:r>
      <w:r>
        <w:rPr>
          <w:color w:val="231F20"/>
        </w:rPr>
        <w:t xml:space="preserve">. Фундаментом для наших действий стал Указ 484. На его основе к тому времени был уже </w:t>
      </w:r>
      <w:r>
        <w:rPr>
          <w:color w:val="231F20"/>
          <w:spacing w:val="-2"/>
        </w:rPr>
        <w:t>запущен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Национальный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проект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развитию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предпринимательства, сосредоточившись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3-х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«узлах»</w:t>
      </w:r>
      <w:r>
        <w:rPr>
          <w:color w:val="231F20"/>
          <w:spacing w:val="-7"/>
        </w:rPr>
        <w:t xml:space="preserve"> </w:t>
      </w:r>
      <w:r>
        <w:rPr>
          <w:i/>
          <w:color w:val="231F20"/>
          <w:spacing w:val="-2"/>
        </w:rPr>
        <w:t>(доступе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  <w:spacing w:val="-2"/>
        </w:rPr>
        <w:t>к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  <w:spacing w:val="-2"/>
        </w:rPr>
        <w:t>ресурсам,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  <w:spacing w:val="-2"/>
        </w:rPr>
        <w:t xml:space="preserve">прозрачном </w:t>
      </w:r>
      <w:r>
        <w:rPr>
          <w:i/>
          <w:color w:val="231F20"/>
        </w:rPr>
        <w:t>ценообразовании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и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борьбе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с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фаворитизмом)</w:t>
      </w:r>
      <w:r>
        <w:rPr>
          <w:color w:val="231F20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понимали,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что нам нужен долгосрочный, стратегический горизонт.</w:t>
      </w:r>
    </w:p>
    <w:p w:rsidR="00013CCB" w:rsidRDefault="008C3EEC">
      <w:pPr>
        <w:pStyle w:val="a3"/>
        <w:ind w:left="28" w:right="139" w:firstLine="283"/>
        <w:jc w:val="both"/>
      </w:pPr>
      <w:r>
        <w:rPr>
          <w:color w:val="231F20"/>
        </w:rPr>
        <w:t>Для нас было крайне важно внедрить в документ и передовые мировые практики ОЭСР: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555"/>
        </w:tabs>
        <w:spacing w:before="2"/>
        <w:ind w:firstLine="283"/>
      </w:pPr>
      <w:r>
        <w:rPr>
          <w:color w:val="231F20"/>
        </w:rPr>
        <w:t xml:space="preserve">доктрина «ключевой мощности» </w:t>
      </w:r>
      <w:r>
        <w:rPr>
          <w:i/>
          <w:color w:val="231F20"/>
        </w:rPr>
        <w:t>(essential facilities)</w:t>
      </w:r>
      <w:r>
        <w:rPr>
          <w:color w:val="231F20"/>
        </w:rPr>
        <w:t>. Мы пытались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основу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четких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доступа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 инфраструктуре, чтобы монополисты не могли отказывать конкурентам без объективных причин;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536"/>
        </w:tabs>
        <w:spacing w:before="4"/>
        <w:ind w:firstLine="283"/>
      </w:pPr>
      <w:r>
        <w:rPr>
          <w:color w:val="231F20"/>
        </w:rPr>
        <w:t>институт главного экономиста. По образцу Еврокомиссии мы решили создать ядро из экспертов-эконометристов, чтобы решения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Агентства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базировались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глубоком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анализе,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просто на юридических формальностях;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536"/>
        </w:tabs>
        <w:spacing w:before="4"/>
        <w:ind w:firstLine="283"/>
      </w:pPr>
      <w:r>
        <w:rPr>
          <w:color w:val="231F20"/>
        </w:rPr>
        <w:t xml:space="preserve">этот документ позволил нам открыто заговорить о таких сложных вещах, как «токсичная конкуренция» </w:t>
      </w:r>
      <w:r>
        <w:rPr>
          <w:i/>
          <w:color w:val="231F20"/>
        </w:rPr>
        <w:t>(эксплуатация поведенческих слабостей потребителей)</w:t>
      </w:r>
      <w:r>
        <w:rPr>
          <w:color w:val="231F20"/>
        </w:rPr>
        <w:t>;</w:t>
      </w:r>
    </w:p>
    <w:p w:rsidR="00013CCB" w:rsidRDefault="008C3EEC">
      <w:pPr>
        <w:pStyle w:val="a5"/>
        <w:numPr>
          <w:ilvl w:val="0"/>
          <w:numId w:val="1"/>
        </w:numPr>
        <w:tabs>
          <w:tab w:val="left" w:pos="481"/>
        </w:tabs>
        <w:spacing w:before="3"/>
        <w:ind w:firstLine="283"/>
      </w:pPr>
      <w:r>
        <w:rPr>
          <w:color w:val="231F20"/>
        </w:rPr>
        <w:t>внедрение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новых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подходов,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таких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использование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инстру-ментов «sharing economy», системы «открытых интерфейсов» </w:t>
      </w:r>
      <w:r>
        <w:rPr>
          <w:i/>
          <w:color w:val="231F20"/>
        </w:rPr>
        <w:t>(Open API)</w:t>
      </w:r>
      <w:r>
        <w:rPr>
          <w:color w:val="231F20"/>
        </w:rPr>
        <w:t>, исключение барьеров/издержек переключения, вне-дрение принципов «thinking small».</w:t>
      </w:r>
    </w:p>
    <w:p w:rsidR="00013CCB" w:rsidRDefault="00013CCB">
      <w:pPr>
        <w:pStyle w:val="a5"/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9" w:lineRule="auto"/>
        <w:ind w:left="141" w:right="26" w:firstLine="283"/>
        <w:jc w:val="both"/>
      </w:pPr>
      <w:r>
        <w:rPr>
          <w:color w:val="231F20"/>
        </w:rPr>
        <w:lastRenderedPageBreak/>
        <w:t>22 июня 2022 года Глава государства подписал Указ</w:t>
      </w:r>
      <w:r>
        <w:rPr>
          <w:color w:val="231F20"/>
          <w:vertAlign w:val="superscript"/>
        </w:rPr>
        <w:t>28</w:t>
      </w:r>
      <w:r>
        <w:rPr>
          <w:color w:val="231F20"/>
        </w:rPr>
        <w:t xml:space="preserve">, </w:t>
      </w:r>
      <w:r>
        <w:rPr>
          <w:color w:val="231F20"/>
          <w:spacing w:val="-2"/>
        </w:rPr>
        <w:t>утвердивший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Концепцию.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был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не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просто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ведомственный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план, </w:t>
      </w:r>
      <w:r>
        <w:rPr>
          <w:color w:val="231F20"/>
        </w:rPr>
        <w:t>а документ, позволявший создать целостную политику в сфере защиты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конкуренции, синхронизированную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другими государственными политиками, прямо или косвенно влияющими на конкуренцию.</w:t>
      </w:r>
    </w:p>
    <w:p w:rsidR="00013CCB" w:rsidRDefault="008C3EEC">
      <w:pPr>
        <w:spacing w:before="2" w:line="254" w:lineRule="auto"/>
        <w:ind w:left="141" w:right="25" w:firstLine="283"/>
        <w:jc w:val="both"/>
      </w:pPr>
      <w:r>
        <w:rPr>
          <w:color w:val="231F20"/>
        </w:rPr>
        <w:t>Концепция также начала работать через Дорожные карты развития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конкуренции.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вовлекли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отраслевые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министерства в работу, которую они раньше игнорировали. К настоящему моменту принята 21 такая карта в ключевых сферах </w:t>
      </w:r>
      <w:r>
        <w:rPr>
          <w:i/>
          <w:color w:val="231F20"/>
        </w:rPr>
        <w:t>(на рынках телекоммуникаций, реализации угля, реализации товарного газа, услуг хранения и транспортировки лекарственных средств и медицинских изделий в рамках ГОБМП и (или) системе ОСМС, ТБО, ипотечного кредитования, транспортно-экспедиторских услуг и услуг оператора вагонами зерновозами, проката арматурного для железобетонных конструкций, оказания сервисных услуг при добыче твердых полезных ископаемых, в сферах гражданской авиации, здравоохранения, образования, жилищного строительства, железнодорожного транспорта, в отрасли АПК)</w:t>
      </w:r>
      <w:r>
        <w:rPr>
          <w:color w:val="231F20"/>
        </w:rPr>
        <w:t>.</w:t>
      </w:r>
    </w:p>
    <w:p w:rsidR="00013CCB" w:rsidRDefault="008C3EEC">
      <w:pPr>
        <w:spacing w:line="247" w:lineRule="auto"/>
        <w:ind w:left="141" w:right="25" w:firstLine="283"/>
        <w:jc w:val="both"/>
      </w:pPr>
      <w:r>
        <w:rPr>
          <w:color w:val="231F20"/>
        </w:rPr>
        <w:t>Из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полностью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исполнены</w:t>
      </w:r>
      <w:r>
        <w:rPr>
          <w:color w:val="231F20"/>
          <w:spacing w:val="-10"/>
        </w:rPr>
        <w:t xml:space="preserve"> </w:t>
      </w:r>
      <w:r>
        <w:rPr>
          <w:i/>
          <w:color w:val="231F20"/>
        </w:rPr>
        <w:t>(в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сфере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гражданской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авиации, на рынке телекоммуникаций, на рынке проката арматурного для железобетонных конструкций, в сфере управления твердыми бытовыми отходами)</w:t>
      </w:r>
      <w:r>
        <w:rPr>
          <w:color w:val="231F20"/>
        </w:rPr>
        <w:t>.</w:t>
      </w:r>
    </w:p>
    <w:p w:rsidR="00013CCB" w:rsidRDefault="008C3EEC">
      <w:pPr>
        <w:pStyle w:val="a3"/>
        <w:spacing w:line="247" w:lineRule="auto"/>
        <w:ind w:left="141" w:right="26" w:firstLine="283"/>
        <w:jc w:val="both"/>
      </w:pPr>
      <w:r>
        <w:rPr>
          <w:color w:val="231F20"/>
        </w:rPr>
        <w:t xml:space="preserve">Эти карты позволили нам «расшивать» барьеры в конкретных </w:t>
      </w:r>
      <w:r>
        <w:rPr>
          <w:color w:val="231F20"/>
          <w:spacing w:val="-2"/>
        </w:rPr>
        <w:t>отраслях,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вовлекая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отраслевые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министерства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процесс,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где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раньше </w:t>
      </w:r>
      <w:r>
        <w:rPr>
          <w:color w:val="231F20"/>
        </w:rPr>
        <w:t xml:space="preserve">они видели лишь свои ведомственные интересы. Таким образом, принятие Концепции закрепило конкуренцию как долгосрочную государственную систему, интегрированную в отраслевые </w:t>
      </w:r>
      <w:r>
        <w:rPr>
          <w:color w:val="231F20"/>
          <w:spacing w:val="-2"/>
        </w:rPr>
        <w:t>решения.</w:t>
      </w:r>
    </w:p>
    <w:p w:rsidR="00013CCB" w:rsidRDefault="008C3EEC">
      <w:pPr>
        <w:pStyle w:val="a3"/>
        <w:spacing w:line="247" w:lineRule="auto"/>
        <w:ind w:left="141" w:right="26" w:firstLine="283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844299</wp:posOffset>
                </wp:positionV>
                <wp:extent cx="914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7C7D2" id="Graphic 12" o:spid="_x0000_s1026" style="position:absolute;margin-left:56.7pt;margin-top:66.5pt;width:1in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целом,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итогам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реализации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Концепции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констатиро-вать, что за четырехлетний период удалось перейти от точечных антимонопольных мер к системным институциональным измене-ниям. На сегодня уже реализовано более 70% Концепции, и уже сегодня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эти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шаги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дают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ощутимый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эффект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структуры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рынков.</w:t>
      </w:r>
    </w:p>
    <w:p w:rsidR="00013CCB" w:rsidRDefault="008C3EEC">
      <w:pPr>
        <w:spacing w:before="38" w:line="249" w:lineRule="auto"/>
        <w:ind w:left="141" w:right="26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28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 xml:space="preserve">Указ Президента Республики Казахстан от 22 июня 2022 года № 938 «Об </w:t>
      </w:r>
      <w:r>
        <w:rPr>
          <w:color w:val="231F20"/>
          <w:spacing w:val="-2"/>
          <w:sz w:val="18"/>
        </w:rPr>
        <w:t xml:space="preserve">утверждении Концепции защиты и развития конкуренции в Республике Казахстан </w:t>
      </w:r>
      <w:r>
        <w:rPr>
          <w:color w:val="231F20"/>
          <w:sz w:val="18"/>
        </w:rPr>
        <w:t xml:space="preserve">на 2022-2026 годы» // </w:t>
      </w:r>
      <w:hyperlink r:id="rId17">
        <w:r>
          <w:rPr>
            <w:color w:val="231F20"/>
            <w:sz w:val="18"/>
          </w:rPr>
          <w:t>https://adilet.zan.kz/rus/docs/U2200000938</w:t>
        </w:r>
      </w:hyperlink>
      <w:r>
        <w:rPr>
          <w:color w:val="231F20"/>
          <w:sz w:val="18"/>
        </w:rPr>
        <w:t>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7" w:lineRule="auto"/>
        <w:ind w:left="28" w:right="139"/>
        <w:jc w:val="both"/>
      </w:pPr>
      <w:r>
        <w:rPr>
          <w:color w:val="231F20"/>
        </w:rPr>
        <w:lastRenderedPageBreak/>
        <w:t>Речь идет не только о формальном исполнении показателей, но и о создании устойчивых механизмов – от пересмотра методологии анализа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товарных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рынков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внедрения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института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Главного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эконо-миста, усилившего экономическую аргументацию антимонополь-ных решений.</w:t>
      </w:r>
    </w:p>
    <w:p w:rsidR="00013CCB" w:rsidRDefault="008C3EEC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В числе значимых реформ также выведение сотового оператора из структуры АО «Казахтелеком» в конкурентную среду, снижение закупок из одного источника на 41%, передача части государственных заданий в конкурентный сегмент, а также лишение операторских функций ряда субъектов спецправа стали важными сигналами рынку. Параллельно были унифицированы правила доступа к инфраструктуре и утверждены новые подходы к ценообразованию и сборам, что повысило прозрачность и предсказуемость условий ведения бизнеса.</w:t>
      </w:r>
    </w:p>
    <w:p w:rsidR="00013CCB" w:rsidRDefault="008C3EEC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завершающем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этапе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Концепции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фокусе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остаются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вопросы минимизации влияния государственных заданий, дальнейшего сокращения единых операторов, развития конкуренции на сырьевых рынках, а также снижения барьеров для потребителей. Реализация отраслевых дорожных карт и подготовка гайдлайнов по антимонопольным нарушениям закладывают основу для </w:t>
      </w:r>
      <w:r>
        <w:rPr>
          <w:color w:val="231F20"/>
          <w:spacing w:val="-2"/>
        </w:rPr>
        <w:t>следующего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этапа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конкурентной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политики,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где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приоритетом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станет не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только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защита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конкуренции,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ее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устойчивое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воспроизводство </w:t>
      </w:r>
      <w:r>
        <w:rPr>
          <w:color w:val="231F20"/>
        </w:rPr>
        <w:t>как нормы экономического развития.</w:t>
      </w:r>
    </w:p>
    <w:p w:rsidR="00013CCB" w:rsidRDefault="008C3EEC">
      <w:pPr>
        <w:pStyle w:val="1"/>
        <w:spacing w:line="248" w:lineRule="exact"/>
        <w:ind w:left="311"/>
      </w:pPr>
      <w:r>
        <w:rPr>
          <w:color w:val="231F20"/>
        </w:rPr>
        <w:t>Либерализация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решительный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рывок</w:t>
      </w:r>
    </w:p>
    <w:p w:rsidR="00013CCB" w:rsidRDefault="008C3EEC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Самым свежим и, пожалуй, наиболее амбициозным этапом стало принятие Указа «О мерах по либерализации экономики»</w:t>
      </w:r>
      <w:r>
        <w:rPr>
          <w:color w:val="231F20"/>
          <w:vertAlign w:val="superscript"/>
        </w:rPr>
        <w:t>29</w:t>
      </w:r>
      <w:r>
        <w:rPr>
          <w:color w:val="231F20"/>
        </w:rPr>
        <w:t xml:space="preserve"> </w:t>
      </w:r>
      <w:r>
        <w:rPr>
          <w:i/>
          <w:color w:val="231F20"/>
        </w:rPr>
        <w:t>(далее – Указ 542)</w:t>
      </w:r>
      <w:r>
        <w:rPr>
          <w:color w:val="231F20"/>
        </w:rPr>
        <w:t>, направленного на обеспечение свободы предпринимательства путем развития конкуренции, сокращения государственного участия в экономике, снижения издержек бизнеса. Для нас в Агентстве это стало моментом истины. Указ 542 содержит ряд задач – критически важных для обеспечения здоровой конкуренции.</w:t>
      </w:r>
    </w:p>
    <w:p w:rsidR="00013CCB" w:rsidRDefault="008C3EEC">
      <w:pPr>
        <w:pStyle w:val="a3"/>
        <w:spacing w:line="247" w:lineRule="auto"/>
        <w:ind w:left="28" w:right="139" w:firstLine="283"/>
        <w:jc w:val="both"/>
      </w:pP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первую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очередь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эффективное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сокращение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государствен-ного участия в экономике. Указом поручено провести масштаб-ное и ускоренное сокращение доли государственного сектора в экономике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путем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завершения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процесса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приватизации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выстраи-</w:t>
      </w:r>
    </w:p>
    <w:p w:rsidR="00013CCB" w:rsidRDefault="008C3EEC">
      <w:pPr>
        <w:pStyle w:val="a3"/>
        <w:spacing w:before="2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647999</wp:posOffset>
                </wp:positionH>
                <wp:positionV relativeFrom="paragraph">
                  <wp:posOffset>75138</wp:posOffset>
                </wp:positionV>
                <wp:extent cx="914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E60D1" id="Graphic 13" o:spid="_x0000_s1026" style="position:absolute;margin-left:51pt;margin-top:5.9pt;width:1in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:rsidR="00013CCB" w:rsidRDefault="008C3EEC">
      <w:pPr>
        <w:spacing w:before="38" w:line="249" w:lineRule="auto"/>
        <w:ind w:left="28" w:right="140" w:firstLine="283"/>
        <w:jc w:val="both"/>
        <w:rPr>
          <w:sz w:val="18"/>
        </w:rPr>
      </w:pPr>
      <w:r>
        <w:rPr>
          <w:color w:val="231F20"/>
          <w:sz w:val="18"/>
          <w:vertAlign w:val="superscript"/>
        </w:rPr>
        <w:t>29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Указ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Президента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Республики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Казахстан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8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мая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2024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года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№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542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«О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 xml:space="preserve">мерах по либерализации экономики» // </w:t>
      </w:r>
      <w:hyperlink r:id="rId18">
        <w:r>
          <w:rPr>
            <w:color w:val="231F20"/>
            <w:sz w:val="18"/>
          </w:rPr>
          <w:t>https://adilet.zan.kz/rus/docs/U2400000542</w:t>
        </w:r>
      </w:hyperlink>
      <w:r>
        <w:rPr>
          <w:color w:val="231F20"/>
          <w:sz w:val="18"/>
        </w:rPr>
        <w:t>.</w:t>
      </w:r>
    </w:p>
    <w:p w:rsidR="00013CCB" w:rsidRDefault="00013CCB">
      <w:pPr>
        <w:spacing w:line="249" w:lineRule="auto"/>
        <w:jc w:val="both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4" w:lineRule="auto"/>
        <w:ind w:left="141" w:right="26"/>
        <w:jc w:val="both"/>
      </w:pPr>
      <w:r>
        <w:rPr>
          <w:color w:val="231F20"/>
        </w:rPr>
        <w:lastRenderedPageBreak/>
        <w:t xml:space="preserve">вания нормативных условий, препятствующих повторному росту </w:t>
      </w:r>
      <w:r>
        <w:rPr>
          <w:color w:val="231F20"/>
          <w:spacing w:val="-2"/>
        </w:rPr>
        <w:t xml:space="preserve">количества государственных предприятий в конкурентных сферах. </w:t>
      </w:r>
      <w:r>
        <w:rPr>
          <w:color w:val="231F20"/>
        </w:rPr>
        <w:t>Важным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организационным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решением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реализацию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Указа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542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ста-ло создание при Агентстве Национального офиса по приватиза-ции</w:t>
      </w:r>
      <w:r>
        <w:rPr>
          <w:color w:val="231F20"/>
          <w:vertAlign w:val="superscript"/>
        </w:rPr>
        <w:t>30</w:t>
      </w:r>
      <w:r>
        <w:rPr>
          <w:color w:val="231F20"/>
        </w:rPr>
        <w:t xml:space="preserve"> </w:t>
      </w:r>
      <w:r>
        <w:rPr>
          <w:i/>
          <w:color w:val="231F20"/>
        </w:rPr>
        <w:t>(далее – Офис)</w:t>
      </w:r>
      <w:r>
        <w:rPr>
          <w:color w:val="231F20"/>
        </w:rPr>
        <w:t>.</w:t>
      </w:r>
    </w:p>
    <w:p w:rsidR="00013CCB" w:rsidRDefault="008C3EEC">
      <w:pPr>
        <w:pStyle w:val="a3"/>
        <w:spacing w:line="249" w:lineRule="auto"/>
        <w:ind w:left="141" w:right="26" w:firstLine="283"/>
        <w:jc w:val="both"/>
      </w:pPr>
      <w:r>
        <w:rPr>
          <w:color w:val="231F20"/>
        </w:rPr>
        <w:t xml:space="preserve">Офис призван исключить практику, когда государственные </w:t>
      </w:r>
      <w:r>
        <w:rPr>
          <w:color w:val="231F20"/>
          <w:spacing w:val="-4"/>
        </w:rPr>
        <w:t>органы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годами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удерживают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активы,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включая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списки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приватизации </w:t>
      </w:r>
      <w:r>
        <w:rPr>
          <w:color w:val="231F20"/>
        </w:rPr>
        <w:t>только «неликвид». В целом, по итогам работы Офиса к приватизации предложены объекты квазигосударственного сектора стоимостью порядка 3 трлн. тенге, что в 10 раз больше, чем в предыдущие годы.</w:t>
      </w:r>
    </w:p>
    <w:p w:rsidR="00013CCB" w:rsidRDefault="008C3EEC">
      <w:pPr>
        <w:pStyle w:val="a3"/>
        <w:spacing w:line="249" w:lineRule="auto"/>
        <w:ind w:left="141" w:right="26" w:firstLine="283"/>
        <w:jc w:val="both"/>
      </w:pPr>
      <w:r>
        <w:rPr>
          <w:color w:val="231F20"/>
        </w:rPr>
        <w:t>Важным и очень смелым направлением Указа 542 также является вопрос ценового дерегулирования.</w:t>
      </w:r>
    </w:p>
    <w:p w:rsidR="00013CCB" w:rsidRDefault="008C3EEC">
      <w:pPr>
        <w:pStyle w:val="a3"/>
        <w:spacing w:before="1" w:line="249" w:lineRule="auto"/>
        <w:ind w:left="141" w:right="26" w:firstLine="283"/>
        <w:jc w:val="both"/>
      </w:pPr>
      <w:r>
        <w:rPr>
          <w:color w:val="231F20"/>
        </w:rPr>
        <w:t>В памяти по-прежнему свежи жаркие дискуссии, к примеру,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 рынкам нефти и нефтепродуктов. Мы видели, что диспаритет внешних и внутренних цен на ГСМ ведет к массовому перетоку топлива,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увеличению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транзитного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потребления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следствие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его дефициту внутри страны </w:t>
      </w:r>
      <w:r>
        <w:rPr>
          <w:i/>
          <w:color w:val="231F20"/>
        </w:rPr>
        <w:t>(на рынке дизельного топлива в размере 20%, бензина 10% от всего объема внутреннего потребления)</w:t>
      </w:r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На рынке нефти с 2018 года наблюдается снижение объемов добычи нефти у недропользователей на 17% и инвестиций в </w:t>
      </w:r>
      <w:r>
        <w:rPr>
          <w:color w:val="231F20"/>
          <w:spacing w:val="-2"/>
        </w:rPr>
        <w:t>геологоразведку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25%.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этой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связи,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Указом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поставлена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по </w:t>
      </w:r>
      <w:r>
        <w:rPr>
          <w:color w:val="231F20"/>
        </w:rPr>
        <w:t xml:space="preserve">обеспечению поэтапной отмены максимального количества норм законодательства, прямо или косвенно ограничивающих свободу формирования цен и тарифов </w:t>
      </w:r>
      <w:r>
        <w:rPr>
          <w:i/>
          <w:color w:val="231F20"/>
        </w:rPr>
        <w:t>(за исключением монопольных рынков)</w:t>
      </w:r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Либерализация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здесь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возвращение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инвестиционной привлекательности</w:t>
      </w:r>
      <w:r>
        <w:rPr>
          <w:color w:val="231F20"/>
          <w:spacing w:val="27"/>
        </w:rPr>
        <w:t xml:space="preserve">  </w:t>
      </w:r>
      <w:r>
        <w:rPr>
          <w:color w:val="231F20"/>
        </w:rPr>
        <w:t>отраслям.</w:t>
      </w:r>
      <w:r>
        <w:rPr>
          <w:color w:val="231F20"/>
          <w:spacing w:val="27"/>
        </w:rPr>
        <w:t xml:space="preserve">  </w:t>
      </w:r>
      <w:r>
        <w:rPr>
          <w:color w:val="231F20"/>
        </w:rPr>
        <w:t>Государство</w:t>
      </w:r>
      <w:r>
        <w:rPr>
          <w:color w:val="231F20"/>
          <w:spacing w:val="27"/>
        </w:rPr>
        <w:t xml:space="preserve">  </w:t>
      </w:r>
      <w:r>
        <w:rPr>
          <w:color w:val="231F20"/>
        </w:rPr>
        <w:t>пытается</w:t>
      </w:r>
      <w:r>
        <w:rPr>
          <w:color w:val="231F20"/>
          <w:spacing w:val="28"/>
        </w:rPr>
        <w:t xml:space="preserve">  </w:t>
      </w:r>
      <w:r>
        <w:rPr>
          <w:color w:val="231F20"/>
        </w:rPr>
        <w:t>уйти</w:t>
      </w:r>
      <w:r>
        <w:rPr>
          <w:color w:val="231F20"/>
          <w:spacing w:val="27"/>
        </w:rPr>
        <w:t xml:space="preserve">  </w:t>
      </w:r>
      <w:r>
        <w:rPr>
          <w:color w:val="231F20"/>
          <w:spacing w:val="-5"/>
        </w:rPr>
        <w:t>от</w:t>
      </w:r>
    </w:p>
    <w:p w:rsidR="00013CCB" w:rsidRDefault="008C3EEC">
      <w:pPr>
        <w:pStyle w:val="a3"/>
        <w:spacing w:before="13" w:line="249" w:lineRule="auto"/>
        <w:ind w:left="141" w:right="26"/>
        <w:jc w:val="both"/>
      </w:pPr>
      <w:r>
        <w:rPr>
          <w:color w:val="231F20"/>
        </w:rPr>
        <w:t xml:space="preserve">«административного контроля» к «рыночному мотивированию», заменяя жесткие цены адресной социальной помощью для </w:t>
      </w:r>
      <w:r>
        <w:rPr>
          <w:color w:val="231F20"/>
          <w:spacing w:val="-2"/>
        </w:rPr>
        <w:t>нуждающихся.</w:t>
      </w:r>
    </w:p>
    <w:p w:rsidR="00013CCB" w:rsidRDefault="008C3EEC">
      <w:pPr>
        <w:pStyle w:val="a3"/>
        <w:spacing w:before="3" w:line="249" w:lineRule="auto"/>
        <w:ind w:left="141" w:right="25" w:firstLine="283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719999</wp:posOffset>
                </wp:positionH>
                <wp:positionV relativeFrom="paragraph">
                  <wp:posOffset>1018818</wp:posOffset>
                </wp:positionV>
                <wp:extent cx="914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ED7EF" id="Graphic 14" o:spid="_x0000_s1026" style="position:absolute;margin-left:56.7pt;margin-top:80.2pt;width:1in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" path="m,l914400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</w:rPr>
        <w:t>С учетом развития информационных технологий с точки зрения обеспечения справедливой конкуренции важным является вопрос цифровизации и автоматизации процедур, связанных с обеспечением доступа предпринимателей к ключевым факторам производства, обладателями которых в большинстве случаев выступают доминирующие или монопольные компании.</w:t>
      </w:r>
    </w:p>
    <w:p w:rsidR="00013CCB" w:rsidRDefault="008C3EEC">
      <w:pPr>
        <w:spacing w:before="38" w:line="249" w:lineRule="auto"/>
        <w:ind w:left="141" w:firstLine="283"/>
        <w:rPr>
          <w:sz w:val="18"/>
        </w:rPr>
      </w:pPr>
      <w:r>
        <w:rPr>
          <w:color w:val="231F20"/>
          <w:sz w:val="18"/>
          <w:vertAlign w:val="superscript"/>
        </w:rPr>
        <w:t>30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Приказ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АЗРК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от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28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мая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2024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года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№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130/НҚ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(утверждены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положение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и состав Национального офиса по приватизации).</w:t>
      </w:r>
    </w:p>
    <w:p w:rsidR="00013CCB" w:rsidRDefault="00013CCB">
      <w:pPr>
        <w:spacing w:line="249" w:lineRule="auto"/>
        <w:rPr>
          <w:sz w:val="18"/>
        </w:rPr>
        <w:sectPr w:rsidR="00013CCB">
          <w:pgSz w:w="8400" w:h="11910"/>
          <w:pgMar w:top="880" w:right="992" w:bottom="660" w:left="992" w:header="371" w:footer="423" w:gutter="0"/>
          <w:cols w:space="720"/>
        </w:sectPr>
      </w:pPr>
    </w:p>
    <w:p w:rsidR="00013CCB" w:rsidRDefault="008C3EEC">
      <w:pPr>
        <w:pStyle w:val="a3"/>
        <w:spacing w:before="80" w:line="249" w:lineRule="auto"/>
        <w:ind w:left="28" w:right="139" w:firstLine="283"/>
        <w:jc w:val="both"/>
      </w:pPr>
      <w:r>
        <w:rPr>
          <w:color w:val="231F20"/>
        </w:rPr>
        <w:lastRenderedPageBreak/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очередь,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касается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вопроса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обеспечения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максимально </w:t>
      </w:r>
      <w:r>
        <w:rPr>
          <w:color w:val="231F20"/>
          <w:spacing w:val="-2"/>
        </w:rPr>
        <w:t>прозрачного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ибезбарьерного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входапредприятий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натоварные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рынки. В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частности,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рынку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лекарственных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средств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отмечается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довольно </w:t>
      </w:r>
      <w:r>
        <w:rPr>
          <w:color w:val="231F20"/>
        </w:rPr>
        <w:t>длительный,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бюрократичный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дорогостоящий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механизм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входа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 рынок лекарственных средств, который может достигать порядка 5 лет. Для начала необходимо зарегистрировать лекарственный препарат, пройти все необходимые процедуры качества и безопасности, пройти профессиональную экспертизу, получить решение формулярной комиссии, зарегистрировать предельную цену и т.д. Учитывая, что некоторые процедуры по срокам не регламентированы, а также наличие других административных барьеров процесс входа лекарственного препарата становится длительным. На сегодня в мировой практике информационные технологии являются неотъемлемой частью медицины и здравоохранения.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ситуация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отрасли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Казахстане значительно отстает от текущей динамики цифровизации. В этой связи,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рамках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реализации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Указа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542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важно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обеспечить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ускорение процесса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полной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цифровизации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всех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бизнес-процессов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вхождения в списки закупа, в том числе регистрации цен на лекарственные средства и медицинские изделия.</w:t>
      </w:r>
    </w:p>
    <w:p w:rsidR="00013CCB" w:rsidRDefault="008C3EEC">
      <w:pPr>
        <w:pStyle w:val="a3"/>
        <w:spacing w:before="18" w:line="249" w:lineRule="auto"/>
        <w:ind w:left="28" w:right="139" w:firstLine="283"/>
        <w:jc w:val="both"/>
      </w:pPr>
      <w:r>
        <w:rPr>
          <w:color w:val="231F20"/>
        </w:rPr>
        <w:t>Также Указом предусмотрен ряд конкретных мер в целях развития конкуренции на товарных рынках, связанный, в том числе с вопросами устранения перекрестного субсидирования в системе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ценообразования,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биржевой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торговли,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доступа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 мерам государственной поддержки и государственным закупкам.</w:t>
      </w:r>
    </w:p>
    <w:p w:rsidR="00013CCB" w:rsidRDefault="008C3EEC">
      <w:pPr>
        <w:pStyle w:val="a3"/>
        <w:spacing w:before="5" w:line="249" w:lineRule="auto"/>
        <w:ind w:left="28" w:right="139" w:firstLine="283"/>
        <w:jc w:val="both"/>
      </w:pP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целом,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понятной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истина, что конкуренция – это не только законы и штрафы. Это культура свободы</w:t>
      </w:r>
      <w:r>
        <w:rPr>
          <w:b/>
          <w:color w:val="231F20"/>
        </w:rPr>
        <w:t xml:space="preserve">, </w:t>
      </w:r>
      <w:r>
        <w:rPr>
          <w:color w:val="231F20"/>
        </w:rPr>
        <w:t xml:space="preserve">которую невозможно насадить силой, но можно вырастить, убирая барьеры и ограничения. Думается, что результаты, которых мы постепенно пытаемся достичь, в том числе посредством реализации политикообразующих актов и стратегических документов в сфере конкуренции – в будущем </w:t>
      </w:r>
      <w:r>
        <w:rPr>
          <w:color w:val="231F20"/>
          <w:spacing w:val="-2"/>
        </w:rPr>
        <w:t>станут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фундаментом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экономики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Казахстана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десятилетия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вперед.</w:t>
      </w:r>
    </w:p>
    <w:sectPr w:rsidR="00013CCB">
      <w:pgSz w:w="8400" w:h="11910"/>
      <w:pgMar w:top="880" w:right="992" w:bottom="660" w:left="992" w:header="371" w:footer="4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C88" w:rsidRDefault="00961C88">
      <w:r>
        <w:separator/>
      </w:r>
    </w:p>
  </w:endnote>
  <w:endnote w:type="continuationSeparator" w:id="0">
    <w:p w:rsidR="00961C88" w:rsidRDefault="0096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CB" w:rsidRDefault="00013CCB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CB" w:rsidRDefault="008C3EEC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8032" behindDoc="1" locked="0" layoutInCell="1" allowOverlap="1">
              <wp:simplePos x="0" y="0"/>
              <wp:positionH relativeFrom="page">
                <wp:posOffset>2465049</wp:posOffset>
              </wp:positionH>
              <wp:positionV relativeFrom="page">
                <wp:posOffset>7126190</wp:posOffset>
              </wp:positionV>
              <wp:extent cx="469900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CCB" w:rsidRDefault="008C3EE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 xml:space="preserve">—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separate"/>
                          </w:r>
                          <w:r w:rsidR="00441210">
                            <w:rPr>
                              <w:noProof/>
                              <w:color w:val="231F20"/>
                              <w:sz w:val="20"/>
                            </w:rPr>
                            <w:t>90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194.1pt;margin-top:561.1pt;width:37pt;height:13.1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" filled="f" stroked="f">
              <v:path arrowok="t"/>
              <v:textbox inset="0,0,0,0">
                <w:txbxContent>
                  <w:p w:rsidR="00013CCB" w:rsidRDefault="008C3EEC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 xml:space="preserve">— </w:t>
                    </w:r>
                    <w:r>
                      <w:rPr>
                        <w:color w:val="231F2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z w:val="20"/>
                      </w:rPr>
                      <w:fldChar w:fldCharType="separate"/>
                    </w:r>
                    <w:r w:rsidR="00441210">
                      <w:rPr>
                        <w:noProof/>
                        <w:color w:val="231F20"/>
                        <w:sz w:val="20"/>
                      </w:rPr>
                      <w:t>90</w:t>
                    </w:r>
                    <w:r>
                      <w:rPr>
                        <w:color w:val="231F20"/>
                        <w:sz w:val="20"/>
                      </w:rPr>
                      <w:fldChar w:fldCharType="end"/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CB" w:rsidRDefault="008C3EEC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8544" behindDoc="1" locked="0" layoutInCell="1" allowOverlap="1">
              <wp:simplePos x="0" y="0"/>
              <wp:positionH relativeFrom="page">
                <wp:posOffset>2393049</wp:posOffset>
              </wp:positionH>
              <wp:positionV relativeFrom="page">
                <wp:posOffset>7126190</wp:posOffset>
              </wp:positionV>
              <wp:extent cx="469900" cy="1663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CCB" w:rsidRDefault="008C3EE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 xml:space="preserve">—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separate"/>
                          </w:r>
                          <w:r w:rsidR="00441210">
                            <w:rPr>
                              <w:noProof/>
                              <w:color w:val="231F20"/>
                              <w:sz w:val="20"/>
                            </w:rPr>
                            <w:t>91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color w:val="231F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10"/>
                              <w:sz w:val="20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188.45pt;margin-top:561.1pt;width:37pt;height:13.1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" filled="f" stroked="f">
              <v:path arrowok="t"/>
              <v:textbox inset="0,0,0,0">
                <w:txbxContent>
                  <w:p w:rsidR="00013CCB" w:rsidRDefault="008C3EEC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 xml:space="preserve">— </w:t>
                    </w:r>
                    <w:r>
                      <w:rPr>
                        <w:color w:val="231F20"/>
                        <w:sz w:val="20"/>
                      </w:rP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rPr>
                        <w:color w:val="231F20"/>
                        <w:sz w:val="20"/>
                      </w:rPr>
                      <w:fldChar w:fldCharType="separate"/>
                    </w:r>
                    <w:r w:rsidR="00441210">
                      <w:rPr>
                        <w:noProof/>
                        <w:color w:val="231F20"/>
                        <w:sz w:val="20"/>
                      </w:rPr>
                      <w:t>91</w:t>
                    </w:r>
                    <w:r>
                      <w:rPr>
                        <w:color w:val="231F20"/>
                        <w:sz w:val="20"/>
                      </w:rPr>
                      <w:fldChar w:fldCharType="end"/>
                    </w:r>
                    <w:r>
                      <w:rPr>
                        <w:color w:val="231F2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10"/>
                        <w:sz w:val="20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C88" w:rsidRDefault="00961C88">
      <w:r>
        <w:separator/>
      </w:r>
    </w:p>
  </w:footnote>
  <w:footnote w:type="continuationSeparator" w:id="0">
    <w:p w:rsidR="00961C88" w:rsidRDefault="00961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CB" w:rsidRDefault="008C3EEC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5984" behindDoc="1" locked="0" layoutInCell="1" allowOverlap="1">
              <wp:simplePos x="0" y="0"/>
              <wp:positionH relativeFrom="page">
                <wp:posOffset>719999</wp:posOffset>
              </wp:positionH>
              <wp:positionV relativeFrom="page">
                <wp:posOffset>526242</wp:posOffset>
              </wp:positionV>
              <wp:extent cx="396049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604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60495">
                            <a:moveTo>
                              <a:pt x="0" y="0"/>
                            </a:moveTo>
                            <a:lnTo>
                              <a:pt x="3959999" y="0"/>
                            </a:lnTo>
                          </a:path>
                        </a:pathLst>
                      </a:custGeom>
                      <a:ln w="9525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12F5C8" id="Graphic 1" o:spid="_x0000_s1026" style="position:absolute;margin-left:56.7pt;margin-top:41.45pt;width:311.85pt;height:.1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6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" path="m,l3959999,e" filled="f" strokecolor="#231f2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6496" behindDoc="1" locked="0" layoutInCell="1" allowOverlap="1">
              <wp:simplePos x="0" y="0"/>
              <wp:positionH relativeFrom="page">
                <wp:posOffset>707299</wp:posOffset>
              </wp:positionH>
              <wp:positionV relativeFrom="page">
                <wp:posOffset>375586</wp:posOffset>
              </wp:positionV>
              <wp:extent cx="25292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92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CCB" w:rsidRDefault="008C3EEC">
                          <w:pPr>
                            <w:spacing w:line="217" w:lineRule="exact"/>
                            <w:ind w:left="20"/>
                            <w:rPr>
                              <w:rFonts w:ascii="Georgia" w:hAnsi="Georg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Антимонопольная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 xml:space="preserve">система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2"/>
                              <w:sz w:val="20"/>
                            </w:rPr>
                            <w:t>Казахстана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7pt;margin-top:29.55pt;width:199.15pt;height:12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" filled="f" stroked="f">
              <v:path arrowok="t"/>
              <v:textbox inset="0,0,0,0">
                <w:txbxContent>
                  <w:p w:rsidR="00013CCB" w:rsidRDefault="008C3EEC">
                    <w:pPr>
                      <w:spacing w:line="217" w:lineRule="exact"/>
                      <w:ind w:left="20"/>
                      <w:rPr>
                        <w:rFonts w:ascii="Georgia" w:hAnsi="Georgia"/>
                        <w:i/>
                        <w:sz w:val="20"/>
                      </w:rPr>
                    </w:pP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Антимонопольная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 xml:space="preserve">система 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2"/>
                        <w:sz w:val="20"/>
                      </w:rPr>
                      <w:t>Казахстана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CCB" w:rsidRDefault="008C3EEC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7008" behindDoc="1" locked="0" layoutInCell="1" allowOverlap="1">
              <wp:simplePos x="0" y="0"/>
              <wp:positionH relativeFrom="page">
                <wp:posOffset>647999</wp:posOffset>
              </wp:positionH>
              <wp:positionV relativeFrom="page">
                <wp:posOffset>526242</wp:posOffset>
              </wp:positionV>
              <wp:extent cx="396049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604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60495">
                            <a:moveTo>
                              <a:pt x="0" y="0"/>
                            </a:moveTo>
                            <a:lnTo>
                              <a:pt x="3959999" y="0"/>
                            </a:lnTo>
                          </a:path>
                        </a:pathLst>
                      </a:custGeom>
                      <a:ln w="9525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A5B539" id="Graphic 3" o:spid="_x0000_s1026" style="position:absolute;margin-left:51pt;margin-top:41.45pt;width:311.85pt;height:.1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6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" path="m,l3959999,e" filled="f" strokecolor="#231f2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7520" behindDoc="1" locked="0" layoutInCell="1" allowOverlap="1">
              <wp:simplePos x="0" y="0"/>
              <wp:positionH relativeFrom="page">
                <wp:posOffset>3327858</wp:posOffset>
              </wp:positionH>
              <wp:positionV relativeFrom="page">
                <wp:posOffset>375586</wp:posOffset>
              </wp:positionV>
              <wp:extent cx="1292860" cy="152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28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CCB" w:rsidRDefault="008C3EEC">
                          <w:pPr>
                            <w:spacing w:line="217" w:lineRule="exact"/>
                            <w:ind w:left="20"/>
                            <w:rPr>
                              <w:rFonts w:ascii="Georgia" w:hAnsi="Georg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II.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z w:val="20"/>
                            </w:rPr>
                            <w:t>Правовые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Georgia" w:hAnsi="Georgia"/>
                              <w:i/>
                              <w:color w:val="231F20"/>
                              <w:spacing w:val="-2"/>
                              <w:sz w:val="20"/>
                            </w:rPr>
                            <w:t>основы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62.05pt;margin-top:29.55pt;width:101.8pt;height:12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" filled="f" stroked="f">
              <v:path arrowok="t"/>
              <v:textbox inset="0,0,0,0">
                <w:txbxContent>
                  <w:p w:rsidR="00013CCB" w:rsidRDefault="008C3EEC">
                    <w:pPr>
                      <w:spacing w:line="217" w:lineRule="exact"/>
                      <w:ind w:left="20"/>
                      <w:rPr>
                        <w:rFonts w:ascii="Georgia" w:hAnsi="Georgia"/>
                        <w:i/>
                        <w:sz w:val="20"/>
                      </w:rPr>
                    </w:pP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II.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z w:val="20"/>
                      </w:rPr>
                      <w:t>Правовые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36"/>
                        <w:sz w:val="20"/>
                      </w:rPr>
                      <w:t xml:space="preserve"> </w:t>
                    </w:r>
                    <w:r>
                      <w:rPr>
                        <w:rFonts w:ascii="Georgia" w:hAnsi="Georgia"/>
                        <w:i/>
                        <w:color w:val="231F20"/>
                        <w:spacing w:val="-2"/>
                        <w:sz w:val="20"/>
                      </w:rPr>
                      <w:t>основы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F1173"/>
    <w:multiLevelType w:val="hybridMultilevel"/>
    <w:tmpl w:val="36C8177A"/>
    <w:lvl w:ilvl="0" w:tplc="FE1AE74A">
      <w:numFmt w:val="bullet"/>
      <w:lvlText w:val="–"/>
      <w:lvlJc w:val="left"/>
      <w:pPr>
        <w:ind w:left="28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ru-RU" w:eastAsia="en-US" w:bidi="ar-SA"/>
      </w:rPr>
    </w:lvl>
    <w:lvl w:ilvl="1" w:tplc="AF5E17F2">
      <w:numFmt w:val="bullet"/>
      <w:lvlText w:val="•"/>
      <w:lvlJc w:val="left"/>
      <w:pPr>
        <w:ind w:left="658" w:hanging="167"/>
      </w:pPr>
      <w:rPr>
        <w:rFonts w:hint="default"/>
        <w:lang w:val="ru-RU" w:eastAsia="en-US" w:bidi="ar-SA"/>
      </w:rPr>
    </w:lvl>
    <w:lvl w:ilvl="2" w:tplc="F3F25064">
      <w:numFmt w:val="bullet"/>
      <w:lvlText w:val="•"/>
      <w:lvlJc w:val="left"/>
      <w:pPr>
        <w:ind w:left="1297" w:hanging="167"/>
      </w:pPr>
      <w:rPr>
        <w:rFonts w:hint="default"/>
        <w:lang w:val="ru-RU" w:eastAsia="en-US" w:bidi="ar-SA"/>
      </w:rPr>
    </w:lvl>
    <w:lvl w:ilvl="3" w:tplc="A5EE2A74">
      <w:numFmt w:val="bullet"/>
      <w:lvlText w:val="•"/>
      <w:lvlJc w:val="left"/>
      <w:pPr>
        <w:ind w:left="1935" w:hanging="167"/>
      </w:pPr>
      <w:rPr>
        <w:rFonts w:hint="default"/>
        <w:lang w:val="ru-RU" w:eastAsia="en-US" w:bidi="ar-SA"/>
      </w:rPr>
    </w:lvl>
    <w:lvl w:ilvl="4" w:tplc="2D9E7514">
      <w:numFmt w:val="bullet"/>
      <w:lvlText w:val="•"/>
      <w:lvlJc w:val="left"/>
      <w:pPr>
        <w:ind w:left="2574" w:hanging="167"/>
      </w:pPr>
      <w:rPr>
        <w:rFonts w:hint="default"/>
        <w:lang w:val="ru-RU" w:eastAsia="en-US" w:bidi="ar-SA"/>
      </w:rPr>
    </w:lvl>
    <w:lvl w:ilvl="5" w:tplc="0478BE74">
      <w:numFmt w:val="bullet"/>
      <w:lvlText w:val="•"/>
      <w:lvlJc w:val="left"/>
      <w:pPr>
        <w:ind w:left="3213" w:hanging="167"/>
      </w:pPr>
      <w:rPr>
        <w:rFonts w:hint="default"/>
        <w:lang w:val="ru-RU" w:eastAsia="en-US" w:bidi="ar-SA"/>
      </w:rPr>
    </w:lvl>
    <w:lvl w:ilvl="6" w:tplc="13ACF066">
      <w:numFmt w:val="bullet"/>
      <w:lvlText w:val="•"/>
      <w:lvlJc w:val="left"/>
      <w:pPr>
        <w:ind w:left="3851" w:hanging="167"/>
      </w:pPr>
      <w:rPr>
        <w:rFonts w:hint="default"/>
        <w:lang w:val="ru-RU" w:eastAsia="en-US" w:bidi="ar-SA"/>
      </w:rPr>
    </w:lvl>
    <w:lvl w:ilvl="7" w:tplc="FA3EC8DE">
      <w:numFmt w:val="bullet"/>
      <w:lvlText w:val="•"/>
      <w:lvlJc w:val="left"/>
      <w:pPr>
        <w:ind w:left="4490" w:hanging="167"/>
      </w:pPr>
      <w:rPr>
        <w:rFonts w:hint="default"/>
        <w:lang w:val="ru-RU" w:eastAsia="en-US" w:bidi="ar-SA"/>
      </w:rPr>
    </w:lvl>
    <w:lvl w:ilvl="8" w:tplc="8578F22C">
      <w:numFmt w:val="bullet"/>
      <w:lvlText w:val="•"/>
      <w:lvlJc w:val="left"/>
      <w:pPr>
        <w:ind w:left="5129" w:hanging="1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1" w:cryptProviderType="rsaAES" w:cryptAlgorithmClass="hash" w:cryptAlgorithmType="typeAny" w:cryptAlgorithmSid="14" w:cryptSpinCount="100000" w:hash="LZgm/O/TJtcZKAOoW+oLS6w6KOZLDmiptqjvmvw0jg+xuLk+wtD+6wYhKnlIo4c/WezjO8VMG1IYqHG0tBbumQ==" w:salt="9UECpRGS0TTlPQXrJmaHaw==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13CCB"/>
    <w:rsid w:val="00013CCB"/>
    <w:rsid w:val="002074AF"/>
    <w:rsid w:val="00441210"/>
    <w:rsid w:val="008C3EEC"/>
    <w:rsid w:val="0096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48E37-3397-4E40-A377-04756712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ind w:left="656" w:firstLine="331"/>
    </w:pPr>
    <w:rPr>
      <w:rFonts w:ascii="Cambria" w:eastAsia="Cambria" w:hAnsi="Cambria" w:cs="Cambria"/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28" w:right="139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U2000000407" TargetMode="External"/><Relationship Id="rId13" Type="http://schemas.openxmlformats.org/officeDocument/2006/relationships/footer" Target="footer3.xml"/><Relationship Id="rId18" Type="http://schemas.openxmlformats.org/officeDocument/2006/relationships/hyperlink" Target="https://adilet.zan.kz/rus/docs/U2400000542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17" Type="http://schemas.openxmlformats.org/officeDocument/2006/relationships/hyperlink" Target="https://adilet.zan.kz/rus/docs/U22000009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adilet.zan.kz/rus/docs/U1800000636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U2000000484" TargetMode="External"/><Relationship Id="rId14" Type="http://schemas.openxmlformats.org/officeDocument/2006/relationships/hyperlink" Target="https://www.gov.kz/memleket/entities/zk/press/news/details/28591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3177</Words>
  <Characters>18115</Characters>
  <Application>Microsoft Office Word</Application>
  <DocSecurity>8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2026-10-14T06:14:00Z</cp:lastPrinted>
  <dcterms:created xsi:type="dcterms:W3CDTF">2026-10-11T15:05:00Z</dcterms:created>
  <dcterms:modified xsi:type="dcterms:W3CDTF">2026-10-14T06:15:00Z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LastSaved">
    <vt:filetime>2026-10-11T00:00:00Z</vt:filetime>
  </property>
  <property fmtid="{D5CDD505-2E9C-101B-9397-08002B2CF9AE}" pid="5" name="Producer">
    <vt:lpwstr>iLovePDF</vt:lpwstr>
  </property>
</Properties>
</file>