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C9" w:rsidRDefault="003D4C12" w:rsidP="003D4C12">
      <w:pPr>
        <w:pStyle w:val="a3"/>
        <w:ind w:firstLine="851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053AC9">
        <w:rPr>
          <w:rFonts w:ascii="Times New Roman" w:hAnsi="Times New Roman" w:cs="Times New Roman"/>
          <w:b/>
          <w:sz w:val="40"/>
          <w:szCs w:val="28"/>
        </w:rPr>
        <w:t>Система управления рисками</w:t>
      </w:r>
    </w:p>
    <w:p w:rsidR="003D4C12" w:rsidRPr="00053AC9" w:rsidRDefault="003D4C12" w:rsidP="003D4C12">
      <w:pPr>
        <w:pStyle w:val="a3"/>
        <w:ind w:firstLine="851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053AC9">
        <w:rPr>
          <w:rFonts w:ascii="Times New Roman" w:hAnsi="Times New Roman" w:cs="Times New Roman"/>
          <w:b/>
          <w:sz w:val="40"/>
          <w:szCs w:val="28"/>
        </w:rPr>
        <w:t>в Республике Казахстан</w:t>
      </w:r>
    </w:p>
    <w:p w:rsidR="003D4C12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D4C12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При выборе объектов таможенного контроля, форм таможенного контроля и (или) мер, обеспечивающих проведение таможенного контроля, используется система управления рисками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Под системой управления рисками понимается комплекс мероприятий, проводимый таможенными органами для реализации целей, определенных главой</w:t>
      </w:r>
      <w:r>
        <w:rPr>
          <w:rFonts w:ascii="Times New Roman" w:hAnsi="Times New Roman" w:cs="Times New Roman"/>
          <w:sz w:val="28"/>
          <w:szCs w:val="28"/>
        </w:rPr>
        <w:t xml:space="preserve"> 51 Кодекса Республики Казахстан «О таможенном регулировании в Республике Казахстан» (далее – Кодекс)</w:t>
      </w:r>
      <w:r w:rsidRPr="00C17A99">
        <w:rPr>
          <w:rFonts w:ascii="Times New Roman" w:hAnsi="Times New Roman" w:cs="Times New Roman"/>
          <w:sz w:val="28"/>
          <w:szCs w:val="28"/>
        </w:rPr>
        <w:t>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системы управления рисками</w:t>
      </w:r>
      <w:r w:rsidRPr="00C17A99">
        <w:rPr>
          <w:rFonts w:ascii="Times New Roman" w:hAnsi="Times New Roman" w:cs="Times New Roman"/>
          <w:sz w:val="28"/>
          <w:szCs w:val="28"/>
        </w:rPr>
        <w:t xml:space="preserve"> используются следующие основные понятия: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риск – вероятность несоблюдения таможенного законодательства Евразийского экономического союза и Республики Казахстан;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профиль риска – совокупность сведений об области риска, индикаторах риска и о мерах по минимизации рисков;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уровень риска – величина, характеризующая соотношение частоты наступления события, связанного с несоблюдением таможенного законодательства Евразийского экономического союза и Республики Казахстан и возможных последствий (ущерба) от наступления указанного события;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меры по минимизации рисков – предусмотренные настоящим Кодексом формы таможенного контроля, меры, обеспечивающие проведение таможенного контроля, а также иные меры, установленные таможенным законодательством Евразийского экономического союза и Республики Казахстан, применяемые на основании оценки рисков;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управление рисками – систематизированная деятельность таможенных органов по минимизации вероятности наступления событий, связанных с несоблюдением таможенного законодательства Евразийского экономического союза и Республики Казахстан, и возможного последствия (ущерба) от их наступления;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оценка риска – действия по идентификации, анализу риска и определению уровня риска;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идентификация риска – действия, направленные на обнаружение, распознавание и описание риска;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анализ риска – использование имеющейся у таможенных органов информации для определения области и индикаторов риска;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индикатор риска – признак или совокупность признаков, позволяющих выбрать объект таможенного контроля;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область риска – описание риска и условий, при котором он возникает.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Таможенные органы используют систему управления рисками для выбора объектов таможенного контроля и мер по минимизации рисков.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 xml:space="preserve">Таможенные органы используют систему управления рисками для проведения таможенного контроля в период нахождения товаров под </w:t>
      </w:r>
      <w:r w:rsidRPr="00C17A99">
        <w:rPr>
          <w:rFonts w:ascii="Times New Roman" w:hAnsi="Times New Roman" w:cs="Times New Roman"/>
          <w:sz w:val="28"/>
          <w:szCs w:val="28"/>
        </w:rPr>
        <w:lastRenderedPageBreak/>
        <w:t>таможенным контролем и в сроки, установленные пунктом 8 статьи 393 Кодекса, а также для проведения таможенного контроля в соответствии с пунктом 9 статьи 393 Кодекса.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Основными целями использования таможенными органами системы управления рисками являются: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обеспечение эффективности таможенного контроля;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сосредоточение внимания на областях риска с высоким уровнем и обеспечение эффективного использования ресурсов таможенных органов;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создание условий для ускорения и упрощения перемещения через таможенную границу Евразийского экономического союза товаров, по которым не выявлена необходимость применения мер по минимизации рисков.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Таможенные органы могут применять систему управления рисками при проведении иных видов государственного контроля (надзора), возложенного на них таможенным законодательством Евразийского экономического союза и (или) законодательством Республики Казахстан.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 xml:space="preserve">Стратегия и тактика применения таможенными органами системы управления рисками, а также порядок ее функционирования </w:t>
      </w:r>
      <w:r>
        <w:rPr>
          <w:rFonts w:ascii="Times New Roman" w:hAnsi="Times New Roman" w:cs="Times New Roman"/>
          <w:sz w:val="28"/>
          <w:szCs w:val="28"/>
        </w:rPr>
        <w:t xml:space="preserve">утверждена приказом </w:t>
      </w:r>
      <w:r w:rsidRPr="008A3FE6">
        <w:rPr>
          <w:rFonts w:ascii="Times New Roman" w:hAnsi="Times New Roman" w:cs="Times New Roman"/>
          <w:sz w:val="28"/>
          <w:szCs w:val="28"/>
        </w:rPr>
        <w:t>Министра финансов Республики Казахстан от 1 февраля 2018 года № 100</w:t>
      </w:r>
      <w:r w:rsidRPr="00C17A99">
        <w:rPr>
          <w:rFonts w:ascii="Times New Roman" w:hAnsi="Times New Roman" w:cs="Times New Roman"/>
          <w:sz w:val="28"/>
          <w:szCs w:val="28"/>
        </w:rPr>
        <w:t>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Процесс управления рисками таможенными органами включает в себя: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сбор и обработку информации об объектах таможенного контроля, совершенных таможенных операциях и результатах таможенного контроля, проведенного как до, так и после выпуска товаров;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оценку риска;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описание индикатора риска;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определение мер по минимизации рисков и порядка их применения;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разработку и утверждение профилей рисков;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выбор объектов таможенного контроля;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применение мер по минимизации рисков;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анализ и контроль результатов применения мер по минимизации рисков;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оценку эффективности мероприятий, указанных в настоящем пункте.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 xml:space="preserve">При осуществлении деятельности по управлению рисками таможенные органы преимущественно используют </w:t>
      </w:r>
      <w:r w:rsidR="000B37EE">
        <w:rPr>
          <w:rFonts w:ascii="Times New Roman" w:hAnsi="Times New Roman" w:cs="Times New Roman"/>
          <w:sz w:val="28"/>
          <w:szCs w:val="28"/>
          <w:lang w:val="kk-KZ"/>
        </w:rPr>
        <w:t>цифровые</w:t>
      </w:r>
      <w:r w:rsidRPr="00C17A99">
        <w:rPr>
          <w:rFonts w:ascii="Times New Roman" w:hAnsi="Times New Roman" w:cs="Times New Roman"/>
          <w:sz w:val="28"/>
          <w:szCs w:val="28"/>
        </w:rPr>
        <w:t xml:space="preserve"> системы и </w:t>
      </w:r>
      <w:r w:rsidR="000B37EE">
        <w:rPr>
          <w:rFonts w:ascii="Times New Roman" w:hAnsi="Times New Roman" w:cs="Times New Roman"/>
          <w:sz w:val="28"/>
          <w:szCs w:val="28"/>
          <w:lang w:val="kk-KZ"/>
        </w:rPr>
        <w:t>цифровые</w:t>
      </w:r>
      <w:r w:rsidRPr="00C17A99">
        <w:rPr>
          <w:rFonts w:ascii="Times New Roman" w:hAnsi="Times New Roman" w:cs="Times New Roman"/>
          <w:sz w:val="28"/>
          <w:szCs w:val="28"/>
        </w:rPr>
        <w:t xml:space="preserve"> технологии.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t>Реал</w:t>
      </w:r>
      <w:bookmarkStart w:id="0" w:name="_GoBack"/>
      <w:bookmarkEnd w:id="0"/>
      <w:r w:rsidRPr="00C17A99">
        <w:rPr>
          <w:rFonts w:ascii="Times New Roman" w:hAnsi="Times New Roman" w:cs="Times New Roman"/>
          <w:sz w:val="28"/>
          <w:szCs w:val="28"/>
        </w:rPr>
        <w:t>изация таможенными органами процесса управления рисками осуществляется в порядке, определенном уполномоченным органом</w:t>
      </w:r>
      <w:r>
        <w:rPr>
          <w:rFonts w:ascii="Times New Roman" w:hAnsi="Times New Roman" w:cs="Times New Roman"/>
          <w:sz w:val="28"/>
          <w:szCs w:val="28"/>
        </w:rPr>
        <w:t xml:space="preserve"> (конфиденциальная информация)</w:t>
      </w:r>
      <w:r w:rsidRPr="00C17A99">
        <w:rPr>
          <w:rFonts w:ascii="Times New Roman" w:hAnsi="Times New Roman" w:cs="Times New Roman"/>
          <w:sz w:val="28"/>
          <w:szCs w:val="28"/>
        </w:rPr>
        <w:t>.</w:t>
      </w:r>
    </w:p>
    <w:p w:rsidR="003D4C12" w:rsidRPr="00C17A99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402F">
        <w:rPr>
          <w:rFonts w:ascii="Times New Roman" w:hAnsi="Times New Roman" w:cs="Times New Roman"/>
          <w:b/>
          <w:sz w:val="28"/>
          <w:szCs w:val="28"/>
        </w:rPr>
        <w:t>Информация, содержащаяся в профилях и индикаторах рисков, является конфиденциальной</w:t>
      </w:r>
      <w:r w:rsidRPr="00C17A99">
        <w:rPr>
          <w:rFonts w:ascii="Times New Roman" w:hAnsi="Times New Roman" w:cs="Times New Roman"/>
          <w:sz w:val="28"/>
          <w:szCs w:val="28"/>
        </w:rPr>
        <w:t>, за исключением случаев, устанавливаемых законод</w:t>
      </w:r>
      <w:r>
        <w:rPr>
          <w:rFonts w:ascii="Times New Roman" w:hAnsi="Times New Roman" w:cs="Times New Roman"/>
          <w:sz w:val="28"/>
          <w:szCs w:val="28"/>
        </w:rPr>
        <w:t>ательством Республики Казахстан.</w:t>
      </w:r>
    </w:p>
    <w:p w:rsidR="003D4C12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D4C12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D4C12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7A99">
        <w:rPr>
          <w:rFonts w:ascii="Times New Roman" w:hAnsi="Times New Roman" w:cs="Times New Roman"/>
          <w:sz w:val="28"/>
          <w:szCs w:val="28"/>
        </w:rPr>
        <w:lastRenderedPageBreak/>
        <w:t>В целях дифференцированного применения мер по минимизации рисков таможенные органы могут осуществлять категорирование лиц, совершающих таможенные операции, путем отнесения их к категориям низкого, среднего или высокого уровня риска.</w:t>
      </w:r>
    </w:p>
    <w:p w:rsidR="003D4C12" w:rsidRPr="006011B4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B7DFD">
        <w:rPr>
          <w:rFonts w:ascii="Times New Roman" w:hAnsi="Times New Roman" w:cs="Times New Roman"/>
          <w:sz w:val="28"/>
          <w:szCs w:val="28"/>
        </w:rPr>
        <w:t xml:space="preserve"> течение последних </w:t>
      </w:r>
      <w:r>
        <w:rPr>
          <w:rFonts w:ascii="Times New Roman" w:hAnsi="Times New Roman" w:cs="Times New Roman"/>
          <w:sz w:val="28"/>
          <w:szCs w:val="28"/>
        </w:rPr>
        <w:t xml:space="preserve">нескольких </w:t>
      </w:r>
      <w:r w:rsidRPr="00AB7DFD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DFD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AB7DFD">
        <w:rPr>
          <w:rFonts w:ascii="Times New Roman" w:hAnsi="Times New Roman" w:cs="Times New Roman"/>
          <w:sz w:val="28"/>
          <w:szCs w:val="28"/>
        </w:rPr>
        <w:t xml:space="preserve"> </w:t>
      </w:r>
      <w:r w:rsidRPr="00C17A99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17A99">
        <w:rPr>
          <w:rFonts w:ascii="Times New Roman" w:hAnsi="Times New Roman" w:cs="Times New Roman"/>
          <w:sz w:val="28"/>
          <w:szCs w:val="28"/>
        </w:rPr>
        <w:t xml:space="preserve"> управления рисками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DFD">
        <w:rPr>
          <w:rFonts w:ascii="Times New Roman" w:hAnsi="Times New Roman" w:cs="Times New Roman"/>
          <w:sz w:val="28"/>
          <w:szCs w:val="28"/>
        </w:rPr>
        <w:t>успешно применяе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Pr="00C17A99">
        <w:rPr>
          <w:rFonts w:ascii="Times New Roman" w:hAnsi="Times New Roman" w:cs="Times New Roman"/>
          <w:sz w:val="28"/>
          <w:szCs w:val="28"/>
        </w:rPr>
        <w:t>категорировани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7A99">
        <w:rPr>
          <w:rFonts w:ascii="Times New Roman" w:hAnsi="Times New Roman" w:cs="Times New Roman"/>
          <w:sz w:val="28"/>
          <w:szCs w:val="28"/>
        </w:rPr>
        <w:t xml:space="preserve"> лиц, </w:t>
      </w:r>
      <w:r>
        <w:rPr>
          <w:rFonts w:ascii="Times New Roman" w:hAnsi="Times New Roman" w:cs="Times New Roman"/>
          <w:sz w:val="28"/>
          <w:szCs w:val="28"/>
        </w:rPr>
        <w:t>совершающих таможенные операции</w:t>
      </w:r>
      <w:r w:rsidRPr="006011B4">
        <w:rPr>
          <w:rFonts w:ascii="Times New Roman" w:hAnsi="Times New Roman" w:cs="Times New Roman"/>
          <w:b/>
          <w:sz w:val="28"/>
          <w:szCs w:val="28"/>
        </w:rPr>
        <w:t>.</w:t>
      </w:r>
    </w:p>
    <w:p w:rsidR="003D4C12" w:rsidRPr="00D51E3B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207C">
        <w:rPr>
          <w:rFonts w:ascii="Times New Roman" w:eastAsia="Times New Roman" w:hAnsi="Times New Roman" w:cs="Times New Roman"/>
          <w:sz w:val="28"/>
          <w:szCs w:val="27"/>
        </w:rPr>
        <w:t xml:space="preserve">Категорирование осуществляется на основании анализа сведений, характеризующих деятельность </w:t>
      </w:r>
      <w:r>
        <w:rPr>
          <w:rFonts w:ascii="Times New Roman" w:eastAsia="Times New Roman" w:hAnsi="Times New Roman" w:cs="Times New Roman"/>
          <w:sz w:val="28"/>
          <w:szCs w:val="27"/>
        </w:rPr>
        <w:t>У</w:t>
      </w:r>
      <w:r w:rsidRPr="00DA207C">
        <w:rPr>
          <w:rFonts w:ascii="Times New Roman" w:eastAsia="Times New Roman" w:hAnsi="Times New Roman" w:cs="Times New Roman"/>
          <w:sz w:val="28"/>
          <w:szCs w:val="27"/>
        </w:rPr>
        <w:t xml:space="preserve">ВЭД за предыдущие периоды, предшествующих </w:t>
      </w:r>
      <w:r>
        <w:rPr>
          <w:rFonts w:ascii="Times New Roman" w:eastAsia="Times New Roman" w:hAnsi="Times New Roman" w:cs="Times New Roman"/>
          <w:sz w:val="28"/>
          <w:szCs w:val="27"/>
        </w:rPr>
        <w:t>периоду</w:t>
      </w:r>
      <w:r w:rsidRPr="00DA207C">
        <w:rPr>
          <w:rFonts w:ascii="Times New Roman" w:eastAsia="Times New Roman" w:hAnsi="Times New Roman" w:cs="Times New Roman"/>
          <w:sz w:val="28"/>
          <w:szCs w:val="27"/>
        </w:rPr>
        <w:t xml:space="preserve"> пров</w:t>
      </w:r>
      <w:r>
        <w:rPr>
          <w:rFonts w:ascii="Times New Roman" w:eastAsia="Times New Roman" w:hAnsi="Times New Roman" w:cs="Times New Roman"/>
          <w:sz w:val="28"/>
          <w:szCs w:val="27"/>
        </w:rPr>
        <w:t>е</w:t>
      </w:r>
      <w:r w:rsidRPr="00DA207C">
        <w:rPr>
          <w:rFonts w:ascii="Times New Roman" w:eastAsia="Times New Roman" w:hAnsi="Times New Roman" w:cs="Times New Roman"/>
          <w:sz w:val="28"/>
          <w:szCs w:val="27"/>
        </w:rPr>
        <w:t>д</w:t>
      </w:r>
      <w:r>
        <w:rPr>
          <w:rFonts w:ascii="Times New Roman" w:eastAsia="Times New Roman" w:hAnsi="Times New Roman" w:cs="Times New Roman"/>
          <w:sz w:val="28"/>
          <w:szCs w:val="27"/>
        </w:rPr>
        <w:t>ения</w:t>
      </w:r>
      <w:r w:rsidRPr="00DA207C">
        <w:rPr>
          <w:rFonts w:ascii="Times New Roman" w:eastAsia="Times New Roman" w:hAnsi="Times New Roman" w:cs="Times New Roman"/>
          <w:sz w:val="28"/>
          <w:szCs w:val="27"/>
        </w:rPr>
        <w:t xml:space="preserve"> категорировани</w:t>
      </w:r>
      <w:r>
        <w:rPr>
          <w:rFonts w:ascii="Times New Roman" w:eastAsia="Times New Roman" w:hAnsi="Times New Roman" w:cs="Times New Roman"/>
          <w:sz w:val="28"/>
          <w:szCs w:val="27"/>
        </w:rPr>
        <w:t>я</w:t>
      </w:r>
      <w:r w:rsidRPr="00DA207C">
        <w:rPr>
          <w:rFonts w:ascii="Times New Roman" w:eastAsia="Times New Roman" w:hAnsi="Times New Roman" w:cs="Times New Roman"/>
          <w:sz w:val="28"/>
          <w:szCs w:val="27"/>
        </w:rPr>
        <w:t>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</w:t>
      </w:r>
      <w:r w:rsidRPr="00723B5B">
        <w:rPr>
          <w:rFonts w:ascii="Times New Roman" w:hAnsi="Times New Roman" w:cs="Times New Roman"/>
          <w:sz w:val="28"/>
          <w:szCs w:val="28"/>
        </w:rPr>
        <w:t xml:space="preserve">Для категорирования используются сведения об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23B5B">
        <w:rPr>
          <w:rFonts w:ascii="Times New Roman" w:hAnsi="Times New Roman" w:cs="Times New Roman"/>
          <w:sz w:val="28"/>
          <w:szCs w:val="28"/>
        </w:rPr>
        <w:t xml:space="preserve">ВЭД, полученные из </w:t>
      </w:r>
      <w:r w:rsidR="003E08B5">
        <w:rPr>
          <w:rFonts w:ascii="Times New Roman" w:hAnsi="Times New Roman" w:cs="Times New Roman"/>
          <w:sz w:val="28"/>
          <w:szCs w:val="28"/>
          <w:lang w:val="kk-KZ"/>
        </w:rPr>
        <w:t>цифров</w:t>
      </w:r>
      <w:proofErr w:type="spellStart"/>
      <w:r w:rsidRPr="00723B5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23B5B">
        <w:rPr>
          <w:rFonts w:ascii="Times New Roman" w:hAnsi="Times New Roman" w:cs="Times New Roman"/>
          <w:sz w:val="28"/>
          <w:szCs w:val="28"/>
        </w:rPr>
        <w:t xml:space="preserve"> систем налоговых, таможенных и других государственных органов</w:t>
      </w:r>
      <w:r w:rsidRPr="002E2F74">
        <w:rPr>
          <w:rFonts w:ascii="Times New Roman" w:hAnsi="Times New Roman" w:cs="Times New Roman"/>
          <w:sz w:val="28"/>
          <w:szCs w:val="24"/>
        </w:rPr>
        <w:t>.</w:t>
      </w:r>
    </w:p>
    <w:p w:rsidR="003D4C12" w:rsidRDefault="003D4C12" w:rsidP="003D4C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 xml:space="preserve">При категорировании УВЭД, учитываются наличие фактов нарушения </w:t>
      </w:r>
      <w:r w:rsidRPr="0020071D">
        <w:rPr>
          <w:rFonts w:ascii="Times New Roman" w:eastAsia="Times New Roman" w:hAnsi="Times New Roman" w:cs="Times New Roman"/>
          <w:sz w:val="28"/>
          <w:szCs w:val="27"/>
        </w:rPr>
        <w:t>таможенного законодательства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Евразийского экономического союза  и Республики Казахстан.</w:t>
      </w:r>
    </w:p>
    <w:p w:rsidR="003D4C12" w:rsidRDefault="003D4C12" w:rsidP="003D4C1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23B5B">
        <w:rPr>
          <w:rFonts w:ascii="Times New Roman" w:hAnsi="Times New Roman" w:cs="Times New Roman"/>
          <w:sz w:val="28"/>
          <w:szCs w:val="28"/>
        </w:rPr>
        <w:t>ведения о порядке категорирования</w:t>
      </w:r>
      <w:r>
        <w:rPr>
          <w:rFonts w:ascii="Times New Roman" w:hAnsi="Times New Roman" w:cs="Times New Roman"/>
          <w:sz w:val="28"/>
          <w:szCs w:val="28"/>
        </w:rPr>
        <w:t>, критериях,</w:t>
      </w:r>
      <w:r w:rsidRPr="00723B5B">
        <w:rPr>
          <w:rFonts w:ascii="Times New Roman" w:hAnsi="Times New Roman" w:cs="Times New Roman"/>
          <w:sz w:val="28"/>
          <w:szCs w:val="28"/>
        </w:rPr>
        <w:t xml:space="preserve"> и импортерах по категориям являются </w:t>
      </w:r>
      <w:r w:rsidRPr="00B94522">
        <w:rPr>
          <w:rFonts w:ascii="Times New Roman" w:hAnsi="Times New Roman" w:cs="Times New Roman"/>
          <w:b/>
          <w:sz w:val="28"/>
          <w:szCs w:val="28"/>
        </w:rPr>
        <w:t xml:space="preserve">конфиденциальной </w:t>
      </w:r>
      <w:r w:rsidRPr="00723B5B">
        <w:rPr>
          <w:rFonts w:ascii="Times New Roman" w:hAnsi="Times New Roman" w:cs="Times New Roman"/>
          <w:sz w:val="28"/>
          <w:szCs w:val="28"/>
        </w:rPr>
        <w:t xml:space="preserve">информацией </w:t>
      </w:r>
      <w:r>
        <w:rPr>
          <w:rFonts w:ascii="Times New Roman" w:hAnsi="Times New Roman" w:cs="Times New Roman"/>
          <w:sz w:val="28"/>
          <w:szCs w:val="28"/>
        </w:rPr>
        <w:t xml:space="preserve">и используются только </w:t>
      </w:r>
      <w:r w:rsidRPr="00723B5B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целей</w:t>
      </w:r>
      <w:r w:rsidRPr="00723B5B">
        <w:rPr>
          <w:rFonts w:ascii="Times New Roman" w:hAnsi="Times New Roman" w:cs="Times New Roman"/>
          <w:sz w:val="28"/>
          <w:szCs w:val="28"/>
        </w:rPr>
        <w:t xml:space="preserve"> служебного пользования.</w:t>
      </w:r>
      <w:r>
        <w:rPr>
          <w:rFonts w:ascii="Times New Roman" w:hAnsi="Times New Roman" w:cs="Times New Roman"/>
          <w:sz w:val="28"/>
          <w:szCs w:val="28"/>
        </w:rPr>
        <w:t xml:space="preserve"> Данный подход является </w:t>
      </w:r>
      <w:r w:rsidRPr="008253F1">
        <w:rPr>
          <w:rFonts w:ascii="Times New Roman" w:hAnsi="Times New Roman" w:cs="Times New Roman"/>
          <w:b/>
          <w:sz w:val="28"/>
          <w:szCs w:val="28"/>
        </w:rPr>
        <w:t>общемировой практикой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рекомендован </w:t>
      </w:r>
      <w:r w:rsidRPr="008253F1">
        <w:rPr>
          <w:rFonts w:ascii="Times New Roman" w:hAnsi="Times New Roman" w:cs="Times New Roman"/>
          <w:b/>
          <w:sz w:val="28"/>
          <w:szCs w:val="28"/>
        </w:rPr>
        <w:t xml:space="preserve">экспертами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Всемирной таможенной организации (далее – ВТамО)</w:t>
      </w:r>
      <w:r>
        <w:rPr>
          <w:rFonts w:ascii="Times New Roman" w:hAnsi="Times New Roman" w:cs="Times New Roman"/>
          <w:sz w:val="28"/>
          <w:szCs w:val="28"/>
        </w:rPr>
        <w:t>, в том числе и в ходе проведения диагностической миссии ВТамО.</w:t>
      </w:r>
    </w:p>
    <w:p w:rsidR="003D4C12" w:rsidRDefault="003D4C12" w:rsidP="003D4C1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Комитетом государственных доходов на постоянной основе проводится аналитическая работа по результатам применения </w:t>
      </w:r>
      <w:r w:rsidRPr="00C17A99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17A99">
        <w:rPr>
          <w:rFonts w:ascii="Times New Roman" w:hAnsi="Times New Roman" w:cs="Times New Roman"/>
          <w:sz w:val="28"/>
          <w:szCs w:val="28"/>
        </w:rPr>
        <w:t xml:space="preserve"> управления рисками</w:t>
      </w:r>
      <w:r>
        <w:rPr>
          <w:rFonts w:ascii="Times New Roman" w:hAnsi="Times New Roman" w:cs="Times New Roman"/>
          <w:sz w:val="28"/>
          <w:szCs w:val="28"/>
        </w:rPr>
        <w:t xml:space="preserve">, и в случае необходимости неэффективные индикаторы и профили риска корректируются либо отменяются. </w:t>
      </w:r>
    </w:p>
    <w:p w:rsidR="003D4C12" w:rsidRDefault="003D4C12" w:rsidP="003D4C1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D4C12" w:rsidRPr="003D4C12" w:rsidRDefault="003D4C12" w:rsidP="006F5D23">
      <w:pPr>
        <w:spacing w:line="240" w:lineRule="auto"/>
        <w:ind w:firstLine="851"/>
      </w:pPr>
    </w:p>
    <w:p w:rsidR="003D4C12" w:rsidRDefault="003D4C12" w:rsidP="006F5D23">
      <w:pPr>
        <w:spacing w:line="240" w:lineRule="auto"/>
        <w:ind w:firstLine="851"/>
        <w:rPr>
          <w:lang w:val="kk-KZ"/>
        </w:rPr>
      </w:pPr>
    </w:p>
    <w:p w:rsidR="003D4C12" w:rsidRDefault="003D4C12" w:rsidP="006F5D23">
      <w:pPr>
        <w:spacing w:line="240" w:lineRule="auto"/>
        <w:ind w:firstLine="851"/>
        <w:rPr>
          <w:lang w:val="kk-KZ"/>
        </w:rPr>
      </w:pPr>
    </w:p>
    <w:p w:rsidR="003D4C12" w:rsidRPr="003D4C12" w:rsidRDefault="003D4C12" w:rsidP="006F5D23">
      <w:pPr>
        <w:spacing w:line="240" w:lineRule="auto"/>
        <w:ind w:firstLine="851"/>
        <w:rPr>
          <w:lang w:val="kk-KZ"/>
        </w:rPr>
      </w:pPr>
    </w:p>
    <w:sectPr w:rsidR="003D4C12" w:rsidRPr="003D4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B5F"/>
    <w:rsid w:val="00053AC9"/>
    <w:rsid w:val="00075331"/>
    <w:rsid w:val="000A49DA"/>
    <w:rsid w:val="000B37EE"/>
    <w:rsid w:val="000B6C7A"/>
    <w:rsid w:val="000C0541"/>
    <w:rsid w:val="00101D74"/>
    <w:rsid w:val="0013676F"/>
    <w:rsid w:val="001E400F"/>
    <w:rsid w:val="00204423"/>
    <w:rsid w:val="002A2EA6"/>
    <w:rsid w:val="002D19CD"/>
    <w:rsid w:val="00385E47"/>
    <w:rsid w:val="003D4C12"/>
    <w:rsid w:val="003E08B5"/>
    <w:rsid w:val="00477A1F"/>
    <w:rsid w:val="0048498E"/>
    <w:rsid w:val="004D0581"/>
    <w:rsid w:val="004D22BD"/>
    <w:rsid w:val="005D52C4"/>
    <w:rsid w:val="00601139"/>
    <w:rsid w:val="006C1CD8"/>
    <w:rsid w:val="006C6B16"/>
    <w:rsid w:val="006F5D23"/>
    <w:rsid w:val="00707230"/>
    <w:rsid w:val="00773B79"/>
    <w:rsid w:val="0079370E"/>
    <w:rsid w:val="007A3F63"/>
    <w:rsid w:val="008439FF"/>
    <w:rsid w:val="00852297"/>
    <w:rsid w:val="00977632"/>
    <w:rsid w:val="009821BC"/>
    <w:rsid w:val="009D484F"/>
    <w:rsid w:val="00A2362B"/>
    <w:rsid w:val="00A338BA"/>
    <w:rsid w:val="00B24B8C"/>
    <w:rsid w:val="00B25299"/>
    <w:rsid w:val="00B66B38"/>
    <w:rsid w:val="00B84A66"/>
    <w:rsid w:val="00B91634"/>
    <w:rsid w:val="00BE0829"/>
    <w:rsid w:val="00CC65A4"/>
    <w:rsid w:val="00CF7613"/>
    <w:rsid w:val="00D13FE1"/>
    <w:rsid w:val="00D255D5"/>
    <w:rsid w:val="00D4664F"/>
    <w:rsid w:val="00DF0713"/>
    <w:rsid w:val="00EA491D"/>
    <w:rsid w:val="00ED78B1"/>
    <w:rsid w:val="00F007BC"/>
    <w:rsid w:val="00F10B5F"/>
    <w:rsid w:val="00FF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2FFC"/>
  <w15:docId w15:val="{ED10A698-4E38-4F6C-924E-63EF4EE3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B5F"/>
    <w:pPr>
      <w:spacing w:after="0" w:line="240" w:lineRule="auto"/>
    </w:pPr>
  </w:style>
  <w:style w:type="paragraph" w:styleId="a4">
    <w:name w:val="List Paragraph"/>
    <w:aliases w:val="Bullet List,FooterText,numbered,Списки,List Paragraph2"/>
    <w:basedOn w:val="a"/>
    <w:link w:val="a5"/>
    <w:uiPriority w:val="34"/>
    <w:qFormat/>
    <w:rsid w:val="0079370E"/>
    <w:pPr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Списки Знак,List Paragraph2 Знак"/>
    <w:link w:val="a4"/>
    <w:uiPriority w:val="34"/>
    <w:locked/>
    <w:rsid w:val="00793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Елдос Кулжабай</dc:creator>
  <cp:lastModifiedBy>Гульжан Мурзабекова Калымбековна</cp:lastModifiedBy>
  <cp:revision>5</cp:revision>
  <dcterms:created xsi:type="dcterms:W3CDTF">2026-10-09T09:58:00Z</dcterms:created>
  <dcterms:modified xsi:type="dcterms:W3CDTF">2026-10-12T05:12:00Z</dcterms:modified>
</cp:coreProperties>
</file>