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F4ED" w14:textId="77777777" w:rsidR="00AF3ABD" w:rsidRPr="001B5E17" w:rsidRDefault="008C5310" w:rsidP="001B5E17">
      <w:pPr>
        <w:pStyle w:val="aa"/>
        <w:keepNext/>
        <w:spacing w:after="0"/>
        <w:jc w:val="center"/>
        <w:rPr>
          <w:sz w:val="28"/>
          <w:szCs w:val="56"/>
          <w:lang w:val="kk-KZ"/>
        </w:rPr>
      </w:pPr>
      <w:r>
        <w:rPr>
          <w:rFonts w:ascii="Times New Roman" w:eastAsia="Times New Roman" w:hAnsi="Times New Roman" w:cs="Times New Roman"/>
          <w:b/>
          <w:sz w:val="28"/>
          <w:szCs w:val="56"/>
          <w:lang w:val="kk-KZ"/>
        </w:rPr>
        <w:t>ТАЛДАМАЛЫҚ АНЫҚТАМА</w:t>
        <w:br/>
        <w:t>Алматы облысының тұрғын үй-коммуналдық шаруашылығы және абаттандыру басқармасының қызметіндегі сыбайлас жемқорлық тәуекелдеріне жүргізілген ішкі талдаудың нәтижелері туралы</w:t>
      </w:r>
    </w:p>
    <w:p w14:paraId="2CCCEB03" w14:textId="7EDCB412" w:rsidR="00AF3ABD" w:rsidRPr="001B5E17" w:rsidRDefault="008C5310" w:rsidP="001B5E17">
      <w:pPr>
        <w:keepNext/>
        <w:tabs>
          <w:tab w:pos="10290" w:val="right"/>
        </w:tabs>
        <w:spacing w:after="0" w:line="240" w:lineRule="auto"/>
        <w:ind w:firstLine="0" w:left="0"/>
        <w:rPr>
          <w:lang w:val="kk-KZ"/>
        </w:rPr>
      </w:pPr>
      <w:r>
        <w:rPr>
          <w:rFonts w:eastAsia="Times New Roman" w:cs="Times New Roman"/>
          <w:lang w:val="kk-KZ"/>
        </w:rPr>
        <w:t>Қонаев қаласы</w:t>
        <w:tab/>
        <w:t>2026 жылғы «___» __________</w:t>
      </w:r>
    </w:p>
    <w:p w14:paraId="276BAD02" w14:textId="77777777" w:rsidR="001B5E17" w:rsidRDefault="001B5E17" w:rsidP="001B5E17">
      <w:pPr>
        <w:spacing w:after="0" w:line="240" w:lineRule="auto"/>
        <w:jc w:val="center"/>
        <w:rPr>
          <w:b/>
          <w:bCs/>
          <w:lang w:val="kk-KZ"/>
        </w:rPr>
      </w:pPr>
    </w:p>
    <w:p w14:paraId="65FCA46D" w14:textId="40FF7062" w:rsidR="001B5E17" w:rsidRPr="001B5E17" w:rsidRDefault="008C5310" w:rsidP="001B5E17">
      <w:pPr>
        <w:keepNext/>
        <w:spacing w:after="0" w:line="240" w:lineRule="auto"/>
        <w:jc w:val="center"/>
        <w:rPr>
          <w:b/>
          <w:bCs/>
          <w:sz w:val="28"/>
          <w:szCs w:val="24"/>
          <w:lang w:val="kk-KZ"/>
        </w:rPr>
      </w:pPr>
      <w:r>
        <w:rPr>
          <w:b/>
          <w:bCs/>
          <w:sz w:val="28"/>
          <w:szCs w:val="24"/>
          <w:lang w:val="kk-KZ"/>
        </w:rPr>
        <w:t>КІРІСПЕ БӨЛІМ</w:t>
      </w:r>
    </w:p>
    <w:p w14:paraId="228729EF" w14:textId="77777777" w:rsidR="001B5E17" w:rsidRPr="001B5E17" w:rsidRDefault="001B5E17" w:rsidP="001B5E17">
      <w:pPr>
        <w:spacing w:after="0" w:line="240" w:lineRule="auto"/>
        <w:jc w:val="center"/>
        <w:rPr>
          <w:b/>
          <w:bCs/>
          <w:lang w:val="kk-KZ"/>
        </w:rPr>
      </w:pPr>
    </w:p>
    <w:p w14:paraId="2F1EAFC5" w14:textId="5626B418"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«Сыбайлас жемқорлыққа қарсы іс-қимыл туралы» Қазақстан Республикасы Заңының 8-бабының 5-тармағына және 2016 жылғы 19 қазандағы № 12 бұйрықпен бекітілген Сыбайлас жемқорлық тәуекелдеріне ішкі талдау жүргізудің үлгілік қағидаларына сәйкес Алматы облысының тұрғын үй-коммуналдық шаруашылығы және абаттандыру басқармасының (бұдан әрі — Басқарма) қызметіндегі сыбайлас жемқорлық тәуекелдеріне ішкі талдау жүргізілді.</w:t>
      </w:r>
    </w:p>
    <w:p w14:paraId="4749E73E" w14:textId="2F2B023E"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 басшысының 2026 жылғы 29 мамырдағы № 196-н/қ бұйрығына сәйкес талдау 2026 жылғы 6–31 шілде аралығында жүргізілді. Алдын ала ұсынымдар 2026 жылғы 27 шілдедегі хаттамамен ресімделген қоғамдық талқылау барысында қаралды.</w:t>
      </w:r>
    </w:p>
    <w:p w14:paraId="793904B8" w14:textId="73F5189D"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Талдау Басқарманың нормативтік құқықтық актілері мен ұйымдастырушылық-басқарушылық қызметін қамтыды. Оның құрылымында тұрғын үй-коммуналдық шаруашылық және тұрғын үй инспекциясы бөлімі мен абаттандыру және көгалдандыру бөлімі жұмыс істейді. Басқарма тиісті бағыттар бойынша жұмысты үйлестіреді, салалық мәселелерді қарайды және өз құзыреті шегінде ұсыныстар мен шешімдер дайындайды.</w:t>
      </w:r>
    </w:p>
    <w:p w14:paraId="1B7706D3"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Басқарманың қызметін қарау кезінде ішкі құжат айналымы, әкімшілік қажеттіліктерге арналған сатып алу, персоналмен жұмыс және ақпараттық материалдарды дайындау ескерілді. Жекелеген қызметкерлер салалық мәселелермен қатар мемлекеттік сатып алу немесе кадр жұмысы жөніндегі функцияларды орындайды. Басқарма мемлекеттік қызметтер көрсетпейді; оның тікелей ведомстволық бағынысты ұйымдары мен квазимемлекеттік сектор субъектілері жоқ.</w:t>
      </w:r>
    </w:p>
    <w:p w14:paraId="404D896B"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Талдаудың мақсаты — қызметтік шешімдердің объективтілігіне және азаматтардың шынайы түсіндірмелерге тең қол жеткізуіне ықпал етуі мүмкін жағдайларды анықтау. Ұсынымдарды дайындау кезінде қолданыстағы жұмыс тәртібі, міндеттердің іс жүзінде бөлінуі және шараларды Басқарма қызметкерлерінің күшімен орындау мүмкіндігі ескерілді.</w:t>
      </w:r>
    </w:p>
    <w:p w14:paraId="2CC8743B" w14:textId="77777777" w:rsidR="001B5E17" w:rsidRDefault="001B5E17" w:rsidP="001B5E17">
      <w:pPr>
        <w:spacing w:after="0" w:line="240" w:lineRule="auto"/>
        <w:jc w:val="center"/>
        <w:rPr>
          <w:b/>
          <w:bCs/>
          <w:sz w:val="28"/>
          <w:szCs w:val="24"/>
          <w:lang w:val="kk-KZ"/>
        </w:rPr>
      </w:pPr>
    </w:p>
    <w:p w14:paraId="799DB39F" w14:textId="211FC8D6" w:rsidR="00AF3ABD" w:rsidRDefault="008C5310" w:rsidP="001B5E17">
      <w:pPr>
        <w:keepNext/>
        <w:spacing w:after="0" w:line="240" w:lineRule="auto"/>
        <w:ind w:firstLine="510"/>
        <w:jc w:val="both"/>
        <w:rPr>
          <w:b/>
          <w:bCs/>
          <w:sz w:val="28"/>
          <w:szCs w:val="24"/>
          <w:lang w:val="kk-KZ"/>
        </w:rPr>
      </w:pPr>
      <w:r>
        <w:rPr>
          <w:b/>
          <w:bCs/>
          <w:sz w:val="28"/>
          <w:szCs w:val="24"/>
          <w:lang w:val="kk-KZ"/>
        </w:rPr>
        <w:t>БАСҚАРМА ҚЫЗМЕТІН ҚҰҚЫҚТЫҚ РЕТТЕУДІ ТАЛДАУ</w:t>
      </w:r>
    </w:p>
    <w:p w14:paraId="5B688591" w14:textId="77777777" w:rsidR="001B5E17" w:rsidRPr="001B5E17" w:rsidRDefault="001B5E17" w:rsidP="001B5E17">
      <w:pPr>
        <w:spacing w:after="0" w:line="240" w:lineRule="auto"/>
        <w:jc w:val="center"/>
        <w:rPr>
          <w:b/>
          <w:bCs/>
          <w:sz w:val="28"/>
          <w:szCs w:val="24"/>
          <w:lang w:val="kk-KZ"/>
        </w:rPr>
      </w:pPr>
    </w:p>
    <w:p w14:paraId="3200CE3A"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Басқарманың қызметі сыбайлас жемқорлыққа қарсы іс-қимыл, мемлекеттік қызмет, мемлекеттік сатып алу және еңбек қатынастары салаларындағы заңнамамен, сондай-ақ тұрғын үй-коммуналдық шаруашылық және абаттандыру мәселелері бойынша оның құзыретін айқындайтын актілермен реттеледі. Аталған нормаларды қолдану берілген өкілеттіктер шегінде шешімдер қабылдауды және қызметтік мәселелерді қараудың белгіленген тәртібін сақтауды көздейді.</w:t>
      </w:r>
    </w:p>
    <w:p w14:paraId="63F45D7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Салалық ұсыныстарды, жауаптар мен түсіндірмелерді дайындау кезінде Басқарма мен басқа мемлекеттік органдардың өкілеттіктерін ажыратудың елеулі маңызы бар. Мәселені шешу тәртібі туралы ақпарат қолданыстағы құқықтық реттеуге сәйкес келуге және онда құзыретті орган дұрыс көрсетілуге тиіс. Бұл өкілеттіктерді әртүрлі түсіндіруге және өтініш берушілерде негізсіз үміттердің қалыптасуына жол бермеуге мүмкіндік береді.</w:t>
      </w:r>
    </w:p>
    <w:p w14:paraId="30B26244"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Басқарманың ағымдағы қажеттіліктеріне арналған мемлекеттік сатып алу заңнамада белгіленген рәсімдер шеңберінде жүзеге асырылады. Мерзімдер, міндетті құжаттардың құрамы және мәліметтерді орналастыру тәртібі тиісті құқықтық актілермен айқындалады. Осы бағытты бағалау кезінде сатып алу функцияларын салалық міндеттермен қатар орындайтын қызметкерлердің сыбайлас жемқорлыққа қарсы шектеулерді сақтауына назар аударылды.</w:t>
      </w:r>
    </w:p>
    <w:p w14:paraId="4670A1D8"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Қызметкердің бір мезгілде бірнеше жұмыс бағыты бойынша міндеттерді орындауы өздігінен мүдделер қақтығысының бар екенін білдірмейді. Тәуекел лауазымдық міндеттердің орындалуына ықпал етуі мүмкін жеке мүдделілік болған кезде туындайды. Сондықтан профилактикалық жұмыс қызметкерлерге тиісті жағдайларды анықтауға және хабарлау мен реттеудің белгіленген тәртібін уақтылы қолдануға көмектесуге тиіс.</w:t>
      </w:r>
    </w:p>
    <w:p w14:paraId="42DE292F" w14:textId="77777777" w:rsidR="001B5E17" w:rsidRDefault="001B5E17" w:rsidP="001B5E17">
      <w:pPr>
        <w:spacing w:after="0" w:line="240" w:lineRule="auto"/>
        <w:jc w:val="center"/>
        <w:rPr>
          <w:b/>
          <w:bCs/>
          <w:sz w:val="28"/>
          <w:szCs w:val="24"/>
          <w:lang w:val="kk-KZ"/>
        </w:rPr>
      </w:pPr>
    </w:p>
    <w:p w14:paraId="69FDBED2" w14:textId="0609D933" w:rsidR="00AF3ABD" w:rsidRPr="001B5E17" w:rsidRDefault="008C5310" w:rsidP="001B5E17">
      <w:pPr>
        <w:keepNext/>
        <w:spacing w:after="0" w:line="240" w:lineRule="auto"/>
        <w:ind w:firstLine="510"/>
        <w:rPr>
          <w:b/>
          <w:bCs/>
          <w:sz w:val="28"/>
          <w:szCs w:val="24"/>
          <w:lang w:val="kk-KZ"/>
        </w:rPr>
      </w:pPr>
      <w:r>
        <w:rPr>
          <w:b/>
          <w:bCs/>
          <w:sz w:val="28"/>
          <w:szCs w:val="24"/>
          <w:lang w:val="kk-KZ"/>
        </w:rPr>
        <w:t>ҰЙЫМДАСТЫРУШЫЛЫҚ-БАСҚАРУШЫЛЫҚ ҚЫЗМЕТТІ ТАЛДАУ</w:t>
      </w:r>
    </w:p>
    <w:p w14:paraId="7E37873B" w14:textId="77777777" w:rsidR="001B5E17" w:rsidRDefault="001B5E17" w:rsidP="001B5E17">
      <w:pPr>
        <w:spacing w:after="0" w:line="240" w:lineRule="auto"/>
        <w:ind w:firstLine="510"/>
        <w:jc w:val="both"/>
        <w:rPr>
          <w:rFonts w:eastAsia="Times New Roman" w:cs="Times New Roman"/>
          <w:sz w:val="28"/>
          <w:szCs w:val="24"/>
          <w:lang w:val="kk-KZ"/>
        </w:rPr>
      </w:pPr>
    </w:p>
    <w:p w14:paraId="468E78F2" w14:textId="5FDEB7A1"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Осы бағыт бойынша құжаттарды келісудің қолданыстағы рәсімдері, әкімшілік қажеттіліктерге арналған сатып алу, мүдделер қақтығысының алдын алу және жұртшылыққа арналған түсіндірмелерді дайындау қаралды. Ұсынымдар қызметкерлермен практикалық түсіндіру жұмысын ұйымдастыруға және Басқарманың ақпараттық материалдарының өзектілігін қамтамасыз етуге бағытталған.</w:t>
      </w:r>
    </w:p>
    <w:p w14:paraId="62C2C303" w14:textId="0B212272" w:rsidR="00AF3ABD" w:rsidRPr="001B5E17" w:rsidRDefault="008C5310" w:rsidP="001B5E17">
      <w:pPr>
        <w:keepNext/>
        <w:spacing w:after="0" w:line="240" w:lineRule="auto"/>
        <w:ind w:firstLine="510"/>
        <w:rPr>
          <w:b/>
          <w:bCs/>
          <w:sz w:val="28"/>
          <w:szCs w:val="24"/>
          <w:lang w:val="kk-KZ"/>
        </w:rPr>
      </w:pPr>
      <w:r>
        <w:rPr>
          <w:b/>
          <w:bCs/>
          <w:sz w:val="28"/>
          <w:szCs w:val="24"/>
          <w:lang w:val="kk-KZ"/>
        </w:rPr>
        <w:t>1. Ішкі құжаттарды келісу</w:t>
      </w:r>
    </w:p>
    <w:p w14:paraId="64C047E4"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Басқармада қызметтік құжаттарды келісудің мынадай кезектілігі қолданылады: орындаушы — бас маман, тиісті бөлімнің басшысы, Басқарма басшысы. Жобаны бөлім басшысы қарайды, содан кейін ол қол қою үшін Басқарма басшысына жіберіледі. Құжаттарды дайындау, ескертулерді қарау және келісу қолданыстағы электрондық құжат айналымы жүйесінде жүзеге асырылады.</w:t>
      </w:r>
    </w:p>
    <w:p w14:paraId="3F92F50F"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Бұл тәртіп орындаушы мен келісуші тұлғаларды анықтауға, ескертулерді және құжаттың түпкілікті редакциясын сақтауға мүмкіндік береді. Жұртшылыққа арналған жаңартылатын түсіндірмелерді келісу үшін де осы тәртіпті қолдану ұсынылады: ресми интернет-ресурста орналастырылғанға дейін олардың мазмұны тиісті қызмет бағыты бойынша тексеріледі. Материалдарды өзектендіру қолданыстағы келісу бағыты шеңберінде жүзеге асырылады.</w:t>
      </w:r>
    </w:p>
    <w:p w14:paraId="03D00443" w14:textId="113324EB" w:rsidR="00AF3ABD" w:rsidRPr="001B5E17" w:rsidRDefault="008C5310" w:rsidP="001B5E17">
      <w:pPr>
        <w:keepNext/>
        <w:spacing w:after="0" w:line="240" w:lineRule="auto"/>
        <w:ind w:firstLine="510"/>
        <w:rPr>
          <w:b/>
          <w:bCs/>
          <w:sz w:val="28"/>
          <w:szCs w:val="24"/>
          <w:lang w:val="kk-KZ"/>
        </w:rPr>
      </w:pPr>
      <w:r>
        <w:rPr>
          <w:b/>
          <w:bCs/>
          <w:sz w:val="28"/>
          <w:szCs w:val="24"/>
          <w:lang w:val="kk-KZ"/>
        </w:rPr>
        <w:t>2. Басқарманың әкімшілік қажеттіліктеріне арналған мемлекеттік сатып алу</w:t>
      </w:r>
    </w:p>
    <w:p w14:paraId="5E404093"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Әкімшілік қажеттіліктерге арналған сатып алу Басқарманың ағымдағы қызметіне қажетті тауарлар мен көрсетілетін қызметтерді сатып алуды көздейді. Сатып алу құжаттары және мемлекеттік сатып алу порталында орналастырылатын мәліметтер заңнамада белгіленген тәртіппен ресімделеді. Тапсырмаларды бөлу кезінде сатып алу функцияларының басқа міндеттермен қатар орындалуы ескеріледі.</w:t>
      </w:r>
    </w:p>
    <w:p w14:paraId="61FA371E"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Осы бағыттағы сыбайлас жемқорлықтың алдын алу қызметкердің әлеуетті өнім берушілермен өзара іс-қимыл кезіндегі әрекеттерінің объективтілігімен, жеке артықшылықтарға жол бермеумен және мүдделер қақтығысы туралы уақтылы хабарлаумен байланысты. Сатып алу барысында туындайтын практикалық жағдайлар кадрлық және салалық мәселелермен қатар түсіндіру іс-шараларының тақырыптарына енгізіледі.</w:t>
      </w:r>
    </w:p>
    <w:p w14:paraId="5721736E" w14:textId="721BF301" w:rsidR="00AF3ABD" w:rsidRPr="001B5E17" w:rsidRDefault="008C5310" w:rsidP="001B5E17">
      <w:pPr>
        <w:keepNext/>
        <w:spacing w:after="0" w:line="240" w:lineRule="auto"/>
        <w:ind w:firstLine="510"/>
        <w:rPr>
          <w:b/>
          <w:bCs/>
          <w:sz w:val="28"/>
          <w:szCs w:val="24"/>
          <w:lang w:val="kk-KZ"/>
        </w:rPr>
      </w:pPr>
      <w:r>
        <w:rPr>
          <w:b/>
          <w:bCs/>
          <w:sz w:val="28"/>
          <w:szCs w:val="24"/>
          <w:lang w:val="kk-KZ"/>
        </w:rPr>
        <w:t>3. Мүдделер қақтығысының алдын алу және персоналмен жұмыс</w:t>
      </w:r>
    </w:p>
    <w:p w14:paraId="395634A1" w14:textId="77777777" w:rsidR="00AF3ABD" w:rsidRPr="001B5E17" w:rsidRDefault="008C5310" w:rsidP="001B5E17">
      <w:pPr>
        <w:keepNext/>
        <w:spacing w:after="0" w:line="240" w:lineRule="auto"/>
        <w:ind w:firstLine="510"/>
        <w:jc w:val="both"/>
        <w:rPr>
          <w:sz w:val="28"/>
          <w:szCs w:val="24"/>
          <w:lang w:val="kk-KZ"/>
        </w:rPr>
      </w:pPr>
      <w:r>
        <w:rPr>
          <w:rFonts w:eastAsia="Times New Roman" w:cs="Times New Roman"/>
          <w:sz w:val="28"/>
          <w:szCs w:val="24"/>
          <w:lang w:val="kk-KZ"/>
        </w:rPr>
        <w:t>№ 1 сыбайлас жемқорлық тәуекелі. Мүдделер қақтығысы реттелмеген жағдайда қызметкердің жеке мүдделілігінің қызметтік шешімді дайындауға немесе қарауға ықпал ету мүмкіндігі.</w:t>
      </w:r>
    </w:p>
    <w:p w14:paraId="3B2DCD05"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Қызметкерлердің сыбайлас жемқорлыққа қарсы шектеулерді және жеке мүдделілік болған кездегі әрекет ету тәртібін әртүрлі түсінуі тәуекелдің туындауына жағдай болуы мүмкін. Бұл таныстарының немесе қызметкермен байланысты тұлғалардың мүдделерін қозғайтын мәселелерді қарау, өтініш берушілермен және ұйымдармен өзара іс-қимыл жасау, сондай-ақ сатып алу және кадрлық функцияларды орындау кезінде маңызды.</w:t>
      </w:r>
    </w:p>
    <w:p w14:paraId="671F0C0F"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Түсіндіру жұмысы нақты қызметтік жағдайларды қамтуға тиіс: сыйлықтар мен өзге де артықшылықтарды алу, жеке мүдделілік болған кезде шешімдерді дайындауға қатысу, мүдделер қақтығысы туралы хабарлау және қызметкердің одан кейінгі әрекеттері. Бірнеше функция орындалған жағдайда бекітілген бағыттардың әрқайсысы бойынша мысалдар қаралады.</w:t>
      </w:r>
    </w:p>
    <w:p w14:paraId="2D1E941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Тәуекелдің алдын алу үшін тоқсанына бір қысқаша түсіндіру іс-шарасын өткізуді көздейтін жоспарды бекіту ұсынылады. Жоспарда тақырыптар, мерзімдер және жауапты бөлімше көрсетіледі. Іс-шараларды дайындау атқаратын функцияларын ескере отырып, тұрғын үй-коммуналдық шаруашылық және тұрғын үй инспекциясы бөлімі мен абаттандыру және көгалдандыру бөліміне кезекпен жүктеледі. Іс-шараның өткізілгені танысу парағымен немесе қысқаша хаттамамен расталады.</w:t>
      </w:r>
    </w:p>
    <w:p w14:paraId="0923D468" w14:textId="1F943DCE" w:rsidR="00AF3ABD" w:rsidRPr="001B5E17" w:rsidRDefault="008C5310" w:rsidP="001B5E17">
      <w:pPr>
        <w:keepNext/>
        <w:spacing w:after="0" w:line="240" w:lineRule="auto"/>
        <w:ind w:firstLine="510"/>
        <w:rPr>
          <w:b/>
          <w:bCs/>
          <w:lang w:val="kk-KZ"/>
        </w:rPr>
      </w:pPr>
      <w:r>
        <w:rPr>
          <w:b/>
          <w:bCs/>
          <w:sz w:val="28"/>
          <w:szCs w:val="24"/>
          <w:lang w:val="kk-KZ"/>
        </w:rPr>
        <w:t>4. Ақпараттық материалдар мен түсіндірмелердің өзектілігі</w:t>
      </w:r>
    </w:p>
    <w:p w14:paraId="3E98470A" w14:textId="77777777" w:rsidR="00AF3ABD" w:rsidRPr="001B5E17" w:rsidRDefault="008C5310" w:rsidP="001B5E17">
      <w:pPr>
        <w:keepNext/>
        <w:spacing w:after="0" w:line="240" w:lineRule="auto"/>
        <w:ind w:firstLine="510"/>
        <w:jc w:val="both"/>
        <w:rPr>
          <w:sz w:val="28"/>
          <w:szCs w:val="24"/>
          <w:lang w:val="kk-KZ"/>
        </w:rPr>
      </w:pPr>
      <w:r>
        <w:rPr>
          <w:rFonts w:eastAsia="Times New Roman" w:cs="Times New Roman"/>
          <w:sz w:val="28"/>
          <w:szCs w:val="24"/>
          <w:lang w:val="kk-KZ"/>
        </w:rPr>
        <w:t>№ 2 сыбайлас жемқорлық тәуекелі. Өзектілігін жоғалтқан немесе бір-біріне қайшы ақпараттық материалдарды пайдалану кезінде түсіндірмелерді іріктеп ұсыну және жекелеген өтініш берушілерге негізсіз артықшылықтар жасау мүмкіндігі.</w:t>
      </w:r>
    </w:p>
    <w:p w14:paraId="72EA1961"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Азаматтар Басқарма жариялаған түсіндірмелерді жүгіну тәсілін таңдағанда және өз мәселесін қарауға уәкілетті органды анықтағанда пайдаланады. Тұрғын үй рәсімдері, абаттандыру және көгалдандыру туралы мәліметтер түсінікті, өзекті әрі қазақ және орыс тілдерінде мағынасы бірдей болуға тиіс.</w:t>
      </w:r>
    </w:p>
    <w:p w14:paraId="19DC9AC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Ескірген мәліметтерді немесе мағынасы әртүрлі мәтіндерді пайдалану бірдей мәселелер бойынша әртүрлі түсіндірмелер беруге мүмкіндік туғызады. Мұндай жағдайда өтініш беруші қызметкердің жеке түсіндіруіне тәуелді болуы, ал жекелеген тұлғалар негізсіз ақпараттық артықшылыққа ие болуы мүмкін. Алдын алу шарасы осындай әртүрлі түсіндіруге әкелетін себепті жоюға тиіс.</w:t>
      </w:r>
    </w:p>
    <w:p w14:paraId="3F2A4D3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Басқарманың қолданыстағы ақпараттық материалдарын қайта қарап, рәсімдер, құзыретті органдар және жүгінудің ресми тәсілдері туралы мәліметтерді жаңарту ұсынылады. Қазақ және орыс тілдеріндегі нұсқалар мазмұны бойынша салыстырылуға тиіс. Ескірген түсіндірмелер өзекті түсіндірмелермен ауыстырылады не жаңартылған жарияланымға сілтеме беріле отырып, мұрағаттық материалдар ретінде белгіленеді.</w:t>
      </w:r>
    </w:p>
    <w:p w14:paraId="523BE563" w14:textId="77777777" w:rsidR="001B5E17" w:rsidRDefault="008C5310" w:rsidP="001B5E17">
      <w:pPr>
        <w:spacing w:after="0" w:line="240" w:lineRule="auto"/>
        <w:ind w:firstLine="510"/>
        <w:jc w:val="both"/>
        <w:rPr>
          <w:rFonts w:eastAsia="Times New Roman" w:cs="Times New Roman"/>
          <w:sz w:val="28"/>
          <w:szCs w:val="24"/>
          <w:lang w:val="kk-KZ"/>
        </w:rPr>
      </w:pPr>
      <w:r>
        <w:rPr>
          <w:rFonts w:eastAsia="Times New Roman" w:cs="Times New Roman"/>
          <w:sz w:val="28"/>
          <w:szCs w:val="24"/>
          <w:lang w:val="kk-KZ"/>
        </w:rPr>
        <w:t>Түзетілген мәтіндер қолданыстағы тәртіппен келісіледі және ресми интернет-ресурста орналастырылады. Орындалуы жаңартылған жарияланымдардың өзімен және оларға сілтемелер тізбесімен расталады. Мұндай аяқталу нысаны қандай материалдардың өзектендірілгенін және азаматтарға қолжетімді екенін тексеруге мүмкіндік береді.</w:t>
      </w:r>
    </w:p>
    <w:p w14:paraId="35F85D3D" w14:textId="77777777" w:rsidR="001B5E17" w:rsidRDefault="001B5E17" w:rsidP="001B5E17">
      <w:pPr>
        <w:spacing w:after="0" w:line="240" w:lineRule="auto"/>
        <w:ind w:firstLine="510"/>
        <w:jc w:val="both"/>
        <w:rPr>
          <w:rFonts w:eastAsia="Times New Roman" w:cs="Times New Roman"/>
          <w:sz w:val="28"/>
          <w:szCs w:val="24"/>
          <w:lang w:val="kk-KZ"/>
        </w:rPr>
      </w:pPr>
    </w:p>
    <w:p w14:paraId="515915A7" w14:textId="141DC654" w:rsidR="00AF3ABD" w:rsidRDefault="008C5310" w:rsidP="001B5E17">
      <w:pPr>
        <w:keepNext/>
        <w:spacing w:after="0" w:line="240" w:lineRule="auto"/>
        <w:ind w:firstLine="510"/>
        <w:jc w:val="both"/>
        <w:rPr>
          <w:rFonts w:eastAsia="Times New Roman" w:cs="Times New Roman"/>
          <w:b/>
          <w:sz w:val="28"/>
          <w:szCs w:val="32"/>
          <w:lang w:val="kk-KZ"/>
        </w:rPr>
      </w:pPr>
      <w:r>
        <w:rPr>
          <w:rFonts w:eastAsia="Times New Roman" w:cs="Times New Roman"/>
          <w:b/>
          <w:sz w:val="28"/>
          <w:szCs w:val="32"/>
          <w:lang w:val="kk-KZ"/>
        </w:rPr>
        <w:t>ҚОРЫТЫНДЫЛАР МЕН ҰСЫНЫМДАР</w:t>
      </w:r>
    </w:p>
    <w:p w14:paraId="554E3DD6" w14:textId="77777777" w:rsidR="001B5E17" w:rsidRPr="001B5E17" w:rsidRDefault="001B5E17" w:rsidP="001B5E17">
      <w:pPr>
        <w:spacing w:after="0" w:line="240" w:lineRule="auto"/>
        <w:ind w:firstLine="510"/>
        <w:jc w:val="both"/>
        <w:rPr>
          <w:sz w:val="28"/>
          <w:szCs w:val="32"/>
          <w:lang w:val="kk-KZ"/>
        </w:rPr>
      </w:pPr>
    </w:p>
    <w:p w14:paraId="61A0874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Талдау нәтижелері бойынша ұйымдастырушылық-басқарушылық сипаттағы екі сыбайлас жемқорлық тәуекелі анықталды: реттелмеген мүдделер қақтығысының қызметтік шешімдерге ықпалы және өзектілігін жоғалтқан не бір-біріне қайшы материалдарды пайдалану кезінде түсіндірмелерді іріктеп ұсыну мүмкіндігі. Олардың алдын алу үшін мынадай шаралар ұсынылады.</w:t>
      </w:r>
    </w:p>
    <w:p w14:paraId="66727FF0" w14:textId="77777777" w:rsidR="00AF3ABD" w:rsidRPr="001B5E17" w:rsidRDefault="008C5310" w:rsidP="001B5E17">
      <w:pPr>
        <w:keepNext/>
        <w:spacing w:after="0" w:line="240" w:lineRule="auto"/>
        <w:ind w:firstLine="510"/>
        <w:jc w:val="both"/>
        <w:rPr>
          <w:sz w:val="28"/>
          <w:szCs w:val="24"/>
          <w:lang w:val="kk-KZ"/>
        </w:rPr>
      </w:pPr>
      <w:r>
        <w:rPr>
          <w:rFonts w:eastAsia="Times New Roman" w:cs="Times New Roman"/>
          <w:sz w:val="28"/>
          <w:szCs w:val="24"/>
          <w:lang w:val="kk-KZ"/>
        </w:rPr>
        <w:t>1. Басқарма қызметкерлеріне сыбайлас жемқорлыққа қарсы шектеулер және мүдделер қақтығысын реттеу мәселелері бойынша тоқсанына бір іс-шара өткізуді көздейтін түсіндіру іс-шараларының жоспарын бекіту. Іс-шаралардың тақырыптарын, мерзімдерін және оларды дайындауға екі бөлімнің кезекпен қатысуын айқындау.</w:t>
      </w:r>
    </w:p>
    <w:p w14:paraId="51A30F8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Аяқталу нысаны: Басқарма басшысы бекіткен жоспар. Іс-шаралардың өткізілгені танысу парақтарымен немесе қысқаша хаттамалармен расталады. Мерзімі: Жоспарды бекіту — 2026 жылғы қараша. Іс-шараларды өткізу — бекітілген жоспарға сәйкес тоқсанына бір рет.</w:t>
      </w:r>
    </w:p>
    <w:p w14:paraId="779772C0" w14:textId="77777777" w:rsidR="00AF3ABD" w:rsidRPr="001B5E17" w:rsidRDefault="008C5310" w:rsidP="001B5E17">
      <w:pPr>
        <w:keepNext/>
        <w:spacing w:after="0" w:line="240" w:lineRule="auto"/>
        <w:ind w:firstLine="510"/>
        <w:jc w:val="both"/>
        <w:rPr>
          <w:sz w:val="28"/>
          <w:szCs w:val="24"/>
          <w:lang w:val="kk-KZ"/>
        </w:rPr>
      </w:pPr>
      <w:r>
        <w:rPr>
          <w:rFonts w:eastAsia="Times New Roman" w:cs="Times New Roman"/>
          <w:sz w:val="28"/>
          <w:szCs w:val="24"/>
          <w:lang w:val="kk-KZ"/>
        </w:rPr>
        <w:t>2. Басқарма жариялаған тұрғын үй мәселелері, абаттандыру және көгалдандыру жөніндегі ақпараттық материалдарды өзектендіру. Қолданыстағы рәсімдер, құзыретті органдар және жүгіну тәсілдері туралы мәліметтерді жаңарту, қазақ және орыс тілдеріндегі мәтіндер арасындағы мағыналық алшақтықтарды жою. Ескірген түсіндірмелерді өзекті түсіндірмелермен ауыстыру не өзекті жарияланымға сілтеме бере отырып, оларды мұрағаттық материалдар ретінде белгілеу.</w:t>
      </w:r>
    </w:p>
    <w:p w14:paraId="081A1F3F" w14:textId="1CBE25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Аяқталу нысаны: Келісілген және ресми интернет-ресурста орналастырылған өзектендірілген материалдар; жаңартылған жарияланымдарға сілтемелер тізбесі. Мерзімі: 2026 жылғы қараша.</w:t>
      </w:r>
    </w:p>
    <w:p w14:paraId="6D2D7226" w14:textId="77777777" w:rsidR="00AF3ABD" w:rsidRPr="001B5E17" w:rsidRDefault="008C5310" w:rsidP="001B5E17">
      <w:pPr>
        <w:spacing w:after="0" w:line="240" w:lineRule="auto"/>
        <w:ind w:firstLine="510"/>
        <w:jc w:val="both"/>
        <w:rPr>
          <w:sz w:val="28"/>
          <w:szCs w:val="24"/>
          <w:lang w:val="kk-KZ"/>
        </w:rPr>
      </w:pPr>
      <w:r>
        <w:rPr>
          <w:rFonts w:eastAsia="Times New Roman" w:cs="Times New Roman"/>
          <w:sz w:val="28"/>
          <w:szCs w:val="24"/>
          <w:lang w:val="kk-KZ"/>
        </w:rPr>
        <w:t>Ұсынымдар ішкі талдау нәтижелері бойынша әзірленетін іс-шаралар жоспарына енгізіледі. Олардың орындалуы түсіндіру жұмысының бекітілген жоспары, өткізілген іс-шаралар туралы құжаттар және жаңартылған жарияланымдар бойынша бағаланады. Сыбайлас жемқорлық тәуекелдеріне бейім лауазымдар тізбесі белгіленген нысан бойынша ресімделіп, осы анықтамаға қоса беріледі.</w:t>
      </w:r>
    </w:p>
    <w:p w14:paraId="658B4CC6" w14:textId="77777777" w:rsidR="001B5E17" w:rsidRDefault="001B5E17" w:rsidP="001B5E17">
      <w:pPr>
        <w:keepLines/>
        <w:tabs>
          <w:tab w:val="left" w:pos="7143"/>
        </w:tabs>
        <w:spacing w:after="0" w:line="240" w:lineRule="auto"/>
        <w:rPr>
          <w:rFonts w:eastAsia="Times New Roman" w:cs="Times New Roman"/>
          <w:b/>
          <w:sz w:val="28"/>
          <w:szCs w:val="24"/>
          <w:lang w:val="kk-KZ"/>
        </w:rPr>
      </w:pPr>
    </w:p>
    <w:p w14:paraId="041F8DE5" w14:textId="77777777" w:rsidR="001B5E17" w:rsidRDefault="001B5E17" w:rsidP="001B5E17">
      <w:pPr>
        <w:keepLines/>
        <w:tabs>
          <w:tab w:val="left" w:pos="7143"/>
        </w:tabs>
        <w:spacing w:after="0" w:line="240" w:lineRule="auto"/>
        <w:rPr>
          <w:rFonts w:eastAsia="Times New Roman" w:cs="Times New Roman"/>
          <w:b/>
          <w:sz w:val="28"/>
          <w:szCs w:val="24"/>
          <w:lang w:val="kk-KZ"/>
        </w:rPr>
      </w:pPr>
    </w:p>
    <w:p w14:paraId="5D71280B" w14:textId="7CF3D25C" w:rsidR="008C5310" w:rsidRPr="001B5E17" w:rsidRDefault="008C5310" w:rsidP="001B5E17">
      <w:pPr>
        <w:keepLines/>
        <w:tabs>
          <w:tab w:pos="10290" w:val="right"/>
        </w:tabs>
        <w:spacing w:after="0" w:line="240" w:lineRule="auto"/>
        <w:ind w:left="0" w:firstLine="0"/>
        <w:rPr>
          <w:rFonts w:eastAsia="Times New Roman" w:cs="Times New Roman"/>
          <w:b/>
          <w:sz w:val="28"/>
          <w:szCs w:val="24"/>
          <w:lang w:val="kk-KZ"/>
        </w:rPr>
      </w:pPr>
      <w:r>
        <w:rPr>
          <w:rFonts w:eastAsia="Times New Roman" w:cs="Times New Roman"/>
          <w:b/>
          <w:sz w:val="28"/>
          <w:szCs w:val="24"/>
          <w:lang w:val="kk-KZ"/>
        </w:rPr>
        <w:t>Басқарма басшысы</w:t>
        <w:tab/>
        <w:t>Д. Қожабеков</w:t>
      </w:r>
    </w:p>
    <w:sectPr w:rsidR="008C5310" w:rsidRPr="001B5E17" w:rsidSect="001B5E17">
      <w:footerReference w:type="default" r:id="rId8"/>
      <w:pgSz w:w="11906" w:h="16838"/>
      <w:pgMar w:top="850" w:right="794" w:bottom="850" w:left="822"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C791B" w14:textId="77777777" w:rsidR="007A6CFE" w:rsidRDefault="007A6CFE">
      <w:pPr>
        <w:spacing w:after="0" w:line="240" w:lineRule="auto"/>
      </w:pPr>
      <w:r>
        <w:separator/>
      </w:r>
    </w:p>
  </w:endnote>
  <w:endnote w:type="continuationSeparator" w:id="0">
    <w:p w14:paraId="545CFABD" w14:textId="77777777" w:rsidR="007A6CFE" w:rsidRDefault="007A6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C8ED" w14:textId="77777777" w:rsidR="00AF3ABD" w:rsidRDefault="008C5310">
    <w:pPr>
      <w:pStyle w:val="a7"/>
      <w:jc w:val="center"/>
    </w:pPr>
    <w:r>
      <w:fldChar w:fldCharType="begin"/>
    </w:r>
    <w:r>
      <w:instrText>PAGE</w:instrText>
    </w:r>
    <w:r>
      <w:fldChar w:fldCharType="separate"/>
    </w:r>
    <w:r w:rsidR="001B5E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794D6" w14:textId="77777777" w:rsidR="007A6CFE" w:rsidRDefault="007A6CFE">
      <w:pPr>
        <w:spacing w:after="0" w:line="240" w:lineRule="auto"/>
      </w:pPr>
      <w:r>
        <w:separator/>
      </w:r>
    </w:p>
  </w:footnote>
  <w:footnote w:type="continuationSeparator" w:id="0">
    <w:p w14:paraId="47F87130" w14:textId="77777777" w:rsidR="007A6CFE" w:rsidRDefault="007A6C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BFD"/>
    <w:rsid w:val="0015074B"/>
    <w:rsid w:val="001B5E17"/>
    <w:rsid w:val="0029639D"/>
    <w:rsid w:val="00326F90"/>
    <w:rsid w:val="00385F3F"/>
    <w:rsid w:val="007A6CFE"/>
    <w:rsid w:val="008C5310"/>
    <w:rsid w:val="009C416E"/>
    <w:rsid w:val="00AA1D8D"/>
    <w:rsid w:val="00AD5460"/>
    <w:rsid w:val="00AF3ABD"/>
    <w:rsid w:val="00B47730"/>
    <w:rsid w:val="00CB0664"/>
    <w:rsid w:val="00D24C22"/>
    <w:rsid w:val="00D443C5"/>
    <w:rsid w:val="00E64A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94F60C"/>
  <w14:defaultImageDpi w14:val="300"/>
  <w15:docId w15:val="{096FB47C-1350-4292-8401-B8226101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kk-K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2" w:lineRule="auto"/>
    </w:pPr>
    <w:rPr>
      <w:rFonts w:ascii="Times New Roman" w:hAnsi="Times New Roman"/>
      <w:color w:val="000000"/>
      <w:sz w:val="24"/>
      <w:lang w:val="kk-KZ"/>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lang w:val="kk-KZ"/>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lang w:val="kk-KZ"/>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kk-KZ"/>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kk-KZ"/>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kk-KZ"/>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kk-KZ"/>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kk-KZ"/>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kk-KZ"/>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kk-KZ"/>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lang w:val="kk-KZ"/>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lang w:val="kk-KZ"/>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lang w:val="kk-KZ"/>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Cs w:val="52"/>
      <w:lang w:val="kk-KZ"/>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lang w:val="kk-KZ"/>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lang w:val="kk-KZ"/>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lang w:val="kk-KZ"/>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lang w:val="kk-KZ"/>
    </w:rPr>
  </w:style>
  <w:style w:type="character" w:customStyle="1" w:styleId="34">
    <w:name w:val="Основной текст 3 Знак"/>
    <w:basedOn w:val="a2"/>
    <w:link w:val="33"/>
    <w:uiPriority w:val="99"/>
    <w:rsid w:val="00AA1D8D"/>
    <w:rPr>
      <w:sz w:val="16"/>
      <w:szCs w:val="16"/>
      <w:lang w:val="kk-KZ"/>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kk-KZ"/>
    </w:rPr>
  </w:style>
  <w:style w:type="character" w:customStyle="1" w:styleId="af4">
    <w:name w:val="Текст макроса Знак"/>
    <w:basedOn w:val="a2"/>
    <w:link w:val="af3"/>
    <w:uiPriority w:val="99"/>
    <w:rsid w:val="0029639D"/>
    <w:rPr>
      <w:rFonts w:ascii="Courier" w:hAnsi="Courier"/>
      <w:sz w:val="20"/>
      <w:szCs w:val="20"/>
      <w:lang w:val="kk-KZ"/>
    </w:rPr>
  </w:style>
  <w:style w:type="paragraph" w:styleId="27">
    <w:name w:val="Quote"/>
    <w:basedOn w:val="a1"/>
    <w:next w:val="a1"/>
    <w:link w:val="28"/>
    <w:uiPriority w:val="29"/>
    <w:qFormat/>
    <w:rsid w:val="00FC693F"/>
    <w:rPr>
      <w:i/>
      <w:iCs/>
      <w:color w:val="000000" w:themeColor="text1"/>
      <w:lang w:val="kk-KZ"/>
    </w:rPr>
  </w:style>
  <w:style w:type="character" w:customStyle="1" w:styleId="28">
    <w:name w:val="Цитата 2 Знак"/>
    <w:basedOn w:val="a2"/>
    <w:link w:val="27"/>
    <w:uiPriority w:val="29"/>
    <w:rsid w:val="00FC693F"/>
    <w:rPr>
      <w:i/>
      <w:iCs/>
      <w:color w:val="000000" w:themeColor="text1"/>
      <w:lang w:val="kk-KZ"/>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lang w:val="kk-KZ"/>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lang w:val="kk-KZ"/>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lang w:val="kk-KZ"/>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lang w:val="kk-KZ"/>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lang w:val="kk-KZ"/>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lang w:val="kk-KZ"/>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lang w:val="kk-KZ"/>
    </w:rPr>
  </w:style>
  <w:style w:type="character" w:styleId="af6">
    <w:name w:val="Strong"/>
    <w:basedOn w:val="a2"/>
    <w:uiPriority w:val="22"/>
    <w:qFormat/>
    <w:rsid w:val="00FC693F"/>
    <w:rPr>
      <w:b/>
      <w:bCs/>
      <w:lang w:val="kk-KZ"/>
    </w:rPr>
  </w:style>
  <w:style w:type="character" w:styleId="af7">
    <w:name w:val="Emphasis"/>
    <w:basedOn w:val="a2"/>
    <w:uiPriority w:val="20"/>
    <w:qFormat/>
    <w:rsid w:val="00FC693F"/>
    <w:rPr>
      <w:i/>
      <w:iCs/>
      <w:lang w:val="kk-KZ"/>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lang w:val="kk-KZ"/>
    </w:rPr>
  </w:style>
  <w:style w:type="character" w:customStyle="1" w:styleId="af9">
    <w:name w:val="Выделенная цитата Знак"/>
    <w:basedOn w:val="a2"/>
    <w:link w:val="af8"/>
    <w:uiPriority w:val="30"/>
    <w:rsid w:val="00FC693F"/>
    <w:rPr>
      <w:b/>
      <w:bCs/>
      <w:i/>
      <w:iCs/>
      <w:color w:val="4F81BD" w:themeColor="accent1"/>
      <w:lang w:val="kk-KZ"/>
    </w:rPr>
  </w:style>
  <w:style w:type="character" w:styleId="afa">
    <w:name w:val="Subtle Emphasis"/>
    <w:basedOn w:val="a2"/>
    <w:uiPriority w:val="19"/>
    <w:qFormat/>
    <w:rsid w:val="00FC693F"/>
    <w:rPr>
      <w:i/>
      <w:iCs/>
      <w:color w:val="808080" w:themeColor="text1" w:themeTint="7F"/>
      <w:lang w:val="kk-KZ"/>
    </w:rPr>
  </w:style>
  <w:style w:type="character" w:styleId="afb">
    <w:name w:val="Intense Emphasis"/>
    <w:basedOn w:val="a2"/>
    <w:uiPriority w:val="21"/>
    <w:qFormat/>
    <w:rsid w:val="00FC693F"/>
    <w:rPr>
      <w:b/>
      <w:bCs/>
      <w:i/>
      <w:iCs/>
      <w:color w:val="4F81BD" w:themeColor="accent1"/>
      <w:lang w:val="kk-KZ"/>
    </w:rPr>
  </w:style>
  <w:style w:type="character" w:styleId="afc">
    <w:name w:val="Subtle Reference"/>
    <w:basedOn w:val="a2"/>
    <w:uiPriority w:val="31"/>
    <w:qFormat/>
    <w:rsid w:val="00FC693F"/>
    <w:rPr>
      <w:smallCaps/>
      <w:color w:val="C0504D" w:themeColor="accent2"/>
      <w:u w:val="single"/>
      <w:lang w:val="kk-KZ"/>
    </w:rPr>
  </w:style>
  <w:style w:type="character" w:styleId="afd">
    <w:name w:val="Intense Reference"/>
    <w:basedOn w:val="a2"/>
    <w:uiPriority w:val="32"/>
    <w:qFormat/>
    <w:rsid w:val="00FC693F"/>
    <w:rPr>
      <w:b/>
      <w:bCs/>
      <w:smallCaps/>
      <w:color w:val="C0504D" w:themeColor="accent2"/>
      <w:spacing w:val="5"/>
      <w:u w:val="single"/>
      <w:lang w:val="kk-KZ"/>
    </w:rPr>
  </w:style>
  <w:style w:type="character" w:styleId="afe">
    <w:name w:val="Book Title"/>
    <w:basedOn w:val="a2"/>
    <w:uiPriority w:val="33"/>
    <w:qFormat/>
    <w:rsid w:val="00FC693F"/>
    <w:rPr>
      <w:b/>
      <w:bCs/>
      <w:smallCaps/>
      <w:spacing w:val="5"/>
      <w:lang w:val="kk-KZ"/>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lang w:val="kk-KZ"/>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lang w:val="kk-KZ"/>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kk-KZ"/>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lang w:val="kk-KZ"/>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lang w:val="kk-KZ"/>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kk-KZ"/>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lang w:val="kk-KZ"/>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lang w:val="kk-KZ"/>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kk-KZ"/>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lang w:val="kk-KZ"/>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lang w:val="kk-KZ"/>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kk-KZ"/>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lang w:val="kk-KZ"/>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lang w:val="kk-KZ"/>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kk-KZ"/>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lang w:val="kk-KZ"/>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lang w:val="kk-KZ"/>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kk-KZ"/>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lang w:val="kk-KZ"/>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lang w:val="kk-KZ"/>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kk-KZ"/>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lang w:val="kk-KZ"/>
      </w:rPr>
      <w:tblPr/>
      <w:tcPr>
        <w:shd w:val="clear" w:color="auto" w:fill="000000" w:themeFill="text1"/>
      </w:tcPr>
    </w:tblStylePr>
    <w:tblStylePr w:type="lastRow">
      <w:pPr>
        <w:spacing w:before="0" w:after="0" w:line="240" w:lineRule="auto"/>
      </w:pPr>
      <w:rPr>
        <w:b/>
        <w:bCs/>
        <w:lang w:val="kk-KZ"/>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kk-KZ"/>
      </w:rPr>
    </w:tblStylePr>
    <w:tblStylePr w:type="lastCol">
      <w:rPr>
        <w:b/>
        <w:bCs/>
        <w:lang w:val="kk-KZ"/>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lang w:val="kk-KZ"/>
      </w:rPr>
      <w:tblPr/>
      <w:tcPr>
        <w:shd w:val="clear" w:color="auto" w:fill="4F81BD" w:themeFill="accent1"/>
      </w:tcPr>
    </w:tblStylePr>
    <w:tblStylePr w:type="lastRow">
      <w:pPr>
        <w:spacing w:before="0" w:after="0" w:line="240" w:lineRule="auto"/>
      </w:pPr>
      <w:rPr>
        <w:b/>
        <w:bCs/>
        <w:lang w:val="kk-KZ"/>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kk-KZ"/>
      </w:rPr>
    </w:tblStylePr>
    <w:tblStylePr w:type="lastCol">
      <w:rPr>
        <w:b/>
        <w:bCs/>
        <w:lang w:val="kk-KZ"/>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lang w:val="kk-KZ"/>
      </w:rPr>
      <w:tblPr/>
      <w:tcPr>
        <w:shd w:val="clear" w:color="auto" w:fill="C0504D" w:themeFill="accent2"/>
      </w:tcPr>
    </w:tblStylePr>
    <w:tblStylePr w:type="lastRow">
      <w:pPr>
        <w:spacing w:before="0" w:after="0" w:line="240" w:lineRule="auto"/>
      </w:pPr>
      <w:rPr>
        <w:b/>
        <w:bCs/>
        <w:lang w:val="kk-KZ"/>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kk-KZ"/>
      </w:rPr>
    </w:tblStylePr>
    <w:tblStylePr w:type="lastCol">
      <w:rPr>
        <w:b/>
        <w:bCs/>
        <w:lang w:val="kk-KZ"/>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lang w:val="kk-KZ"/>
      </w:rPr>
      <w:tblPr/>
      <w:tcPr>
        <w:shd w:val="clear" w:color="auto" w:fill="9BBB59" w:themeFill="accent3"/>
      </w:tcPr>
    </w:tblStylePr>
    <w:tblStylePr w:type="lastRow">
      <w:pPr>
        <w:spacing w:before="0" w:after="0" w:line="240" w:lineRule="auto"/>
      </w:pPr>
      <w:rPr>
        <w:b/>
        <w:bCs/>
        <w:lang w:val="kk-KZ"/>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kk-KZ"/>
      </w:rPr>
    </w:tblStylePr>
    <w:tblStylePr w:type="lastCol">
      <w:rPr>
        <w:b/>
        <w:bCs/>
        <w:lang w:val="kk-KZ"/>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lang w:val="kk-KZ"/>
      </w:rPr>
      <w:tblPr/>
      <w:tcPr>
        <w:shd w:val="clear" w:color="auto" w:fill="8064A2" w:themeFill="accent4"/>
      </w:tcPr>
    </w:tblStylePr>
    <w:tblStylePr w:type="lastRow">
      <w:pPr>
        <w:spacing w:before="0" w:after="0" w:line="240" w:lineRule="auto"/>
      </w:pPr>
      <w:rPr>
        <w:b/>
        <w:bCs/>
        <w:lang w:val="kk-KZ"/>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kk-KZ"/>
      </w:rPr>
    </w:tblStylePr>
    <w:tblStylePr w:type="lastCol">
      <w:rPr>
        <w:b/>
        <w:bCs/>
        <w:lang w:val="kk-KZ"/>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lang w:val="kk-KZ"/>
      </w:rPr>
      <w:tblPr/>
      <w:tcPr>
        <w:shd w:val="clear" w:color="auto" w:fill="4BACC6" w:themeFill="accent5"/>
      </w:tcPr>
    </w:tblStylePr>
    <w:tblStylePr w:type="lastRow">
      <w:pPr>
        <w:spacing w:before="0" w:after="0" w:line="240" w:lineRule="auto"/>
      </w:pPr>
      <w:rPr>
        <w:b/>
        <w:bCs/>
        <w:lang w:val="kk-KZ"/>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kk-KZ"/>
      </w:rPr>
    </w:tblStylePr>
    <w:tblStylePr w:type="lastCol">
      <w:rPr>
        <w:b/>
        <w:bCs/>
        <w:lang w:val="kk-KZ"/>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lang w:val="kk-KZ"/>
      </w:rPr>
      <w:tblPr/>
      <w:tcPr>
        <w:shd w:val="clear" w:color="auto" w:fill="F79646" w:themeFill="accent6"/>
      </w:tcPr>
    </w:tblStylePr>
    <w:tblStylePr w:type="lastRow">
      <w:pPr>
        <w:spacing w:before="0" w:after="0" w:line="240" w:lineRule="auto"/>
      </w:pPr>
      <w:rPr>
        <w:b/>
        <w:bCs/>
        <w:lang w:val="kk-KZ"/>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kk-KZ"/>
      </w:rPr>
    </w:tblStylePr>
    <w:tblStylePr w:type="lastCol">
      <w:rPr>
        <w:b/>
        <w:bCs/>
        <w:lang w:val="kk-KZ"/>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lang w:val="kk-KZ"/>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kk-KZ"/>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lang w:val="kk-KZ"/>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kk-KZ"/>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lang w:val="kk-KZ"/>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kk-KZ"/>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lang w:val="kk-KZ"/>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kk-KZ"/>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lang w:val="kk-KZ"/>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kk-KZ"/>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lang w:val="kk-KZ"/>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kk-KZ"/>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lang w:val="kk-KZ"/>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kk-KZ"/>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lang w:val="kk-KZ"/>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lang w:val="kk-KZ"/>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lang w:val="kk-KZ"/>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lang w:val="kk-KZ"/>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lang w:val="kk-KZ"/>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lang w:val="kk-KZ"/>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lang w:val="kk-KZ"/>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lang w:val="kk-KZ"/>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lang w:val="kk-KZ"/>
      </w:rPr>
      <w:tblPr/>
      <w:tcPr>
        <w:tcBorders>
          <w:top w:val="nil"/>
          <w:bottom w:val="single" w:sz="8" w:space="0" w:color="000000" w:themeColor="text1"/>
        </w:tcBorders>
      </w:tcPr>
    </w:tblStylePr>
    <w:tblStylePr w:type="lastRow">
      <w:rPr>
        <w:b/>
        <w:bCs/>
        <w:color w:val="1F497D" w:themeColor="text2"/>
        <w:lang w:val="kk-KZ"/>
      </w:rPr>
      <w:tblPr/>
      <w:tcPr>
        <w:tcBorders>
          <w:top w:val="single" w:sz="8" w:space="0" w:color="000000" w:themeColor="text1"/>
          <w:bottom w:val="single" w:sz="8" w:space="0" w:color="000000" w:themeColor="text1"/>
        </w:tcBorders>
      </w:tcPr>
    </w:tblStylePr>
    <w:tblStylePr w:type="firstCol">
      <w:rPr>
        <w:b/>
        <w:bCs/>
        <w:lang w:val="kk-KZ"/>
      </w:rPr>
    </w:tblStylePr>
    <w:tblStylePr w:type="lastCol">
      <w:rPr>
        <w:b/>
        <w:bCs/>
        <w:lang w:val="kk-KZ"/>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lang w:val="kk-KZ"/>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lang w:val="kk-KZ"/>
      </w:rPr>
      <w:tblPr/>
      <w:tcPr>
        <w:tcBorders>
          <w:top w:val="nil"/>
          <w:bottom w:val="single" w:sz="8" w:space="0" w:color="4F81BD" w:themeColor="accent1"/>
        </w:tcBorders>
      </w:tcPr>
    </w:tblStylePr>
    <w:tblStylePr w:type="lastRow">
      <w:rPr>
        <w:b/>
        <w:bCs/>
        <w:color w:val="1F497D" w:themeColor="text2"/>
        <w:lang w:val="kk-KZ"/>
      </w:rPr>
      <w:tblPr/>
      <w:tcPr>
        <w:tcBorders>
          <w:top w:val="single" w:sz="8" w:space="0" w:color="4F81BD" w:themeColor="accent1"/>
          <w:bottom w:val="single" w:sz="8" w:space="0" w:color="4F81BD" w:themeColor="accent1"/>
        </w:tcBorders>
      </w:tcPr>
    </w:tblStylePr>
    <w:tblStylePr w:type="firstCol">
      <w:rPr>
        <w:b/>
        <w:bCs/>
        <w:lang w:val="kk-KZ"/>
      </w:rPr>
    </w:tblStylePr>
    <w:tblStylePr w:type="lastCol">
      <w:rPr>
        <w:b/>
        <w:bCs/>
        <w:lang w:val="kk-KZ"/>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lang w:val="kk-KZ"/>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lang w:val="kk-KZ"/>
      </w:rPr>
      <w:tblPr/>
      <w:tcPr>
        <w:tcBorders>
          <w:top w:val="nil"/>
          <w:bottom w:val="single" w:sz="8" w:space="0" w:color="C0504D" w:themeColor="accent2"/>
        </w:tcBorders>
      </w:tcPr>
    </w:tblStylePr>
    <w:tblStylePr w:type="lastRow">
      <w:rPr>
        <w:b/>
        <w:bCs/>
        <w:color w:val="1F497D" w:themeColor="text2"/>
        <w:lang w:val="kk-KZ"/>
      </w:rPr>
      <w:tblPr/>
      <w:tcPr>
        <w:tcBorders>
          <w:top w:val="single" w:sz="8" w:space="0" w:color="C0504D" w:themeColor="accent2"/>
          <w:bottom w:val="single" w:sz="8" w:space="0" w:color="C0504D" w:themeColor="accent2"/>
        </w:tcBorders>
      </w:tcPr>
    </w:tblStylePr>
    <w:tblStylePr w:type="firstCol">
      <w:rPr>
        <w:b/>
        <w:bCs/>
        <w:lang w:val="kk-KZ"/>
      </w:rPr>
    </w:tblStylePr>
    <w:tblStylePr w:type="lastCol">
      <w:rPr>
        <w:b/>
        <w:bCs/>
        <w:lang w:val="kk-KZ"/>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lang w:val="kk-KZ"/>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lang w:val="kk-KZ"/>
      </w:rPr>
      <w:tblPr/>
      <w:tcPr>
        <w:tcBorders>
          <w:top w:val="nil"/>
          <w:bottom w:val="single" w:sz="8" w:space="0" w:color="9BBB59" w:themeColor="accent3"/>
        </w:tcBorders>
      </w:tcPr>
    </w:tblStylePr>
    <w:tblStylePr w:type="lastRow">
      <w:rPr>
        <w:b/>
        <w:bCs/>
        <w:color w:val="1F497D" w:themeColor="text2"/>
        <w:lang w:val="kk-KZ"/>
      </w:rPr>
      <w:tblPr/>
      <w:tcPr>
        <w:tcBorders>
          <w:top w:val="single" w:sz="8" w:space="0" w:color="9BBB59" w:themeColor="accent3"/>
          <w:bottom w:val="single" w:sz="8" w:space="0" w:color="9BBB59" w:themeColor="accent3"/>
        </w:tcBorders>
      </w:tcPr>
    </w:tblStylePr>
    <w:tblStylePr w:type="firstCol">
      <w:rPr>
        <w:b/>
        <w:bCs/>
        <w:lang w:val="kk-KZ"/>
      </w:rPr>
    </w:tblStylePr>
    <w:tblStylePr w:type="lastCol">
      <w:rPr>
        <w:b/>
        <w:bCs/>
        <w:lang w:val="kk-KZ"/>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lang w:val="kk-KZ"/>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lang w:val="kk-KZ"/>
      </w:rPr>
      <w:tblPr/>
      <w:tcPr>
        <w:tcBorders>
          <w:top w:val="nil"/>
          <w:bottom w:val="single" w:sz="8" w:space="0" w:color="8064A2" w:themeColor="accent4"/>
        </w:tcBorders>
      </w:tcPr>
    </w:tblStylePr>
    <w:tblStylePr w:type="lastRow">
      <w:rPr>
        <w:b/>
        <w:bCs/>
        <w:color w:val="1F497D" w:themeColor="text2"/>
        <w:lang w:val="kk-KZ"/>
      </w:rPr>
      <w:tblPr/>
      <w:tcPr>
        <w:tcBorders>
          <w:top w:val="single" w:sz="8" w:space="0" w:color="8064A2" w:themeColor="accent4"/>
          <w:bottom w:val="single" w:sz="8" w:space="0" w:color="8064A2" w:themeColor="accent4"/>
        </w:tcBorders>
      </w:tcPr>
    </w:tblStylePr>
    <w:tblStylePr w:type="firstCol">
      <w:rPr>
        <w:b/>
        <w:bCs/>
        <w:lang w:val="kk-KZ"/>
      </w:rPr>
    </w:tblStylePr>
    <w:tblStylePr w:type="lastCol">
      <w:rPr>
        <w:b/>
        <w:bCs/>
        <w:lang w:val="kk-KZ"/>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lang w:val="kk-KZ"/>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lang w:val="kk-KZ"/>
      </w:rPr>
      <w:tblPr/>
      <w:tcPr>
        <w:tcBorders>
          <w:top w:val="nil"/>
          <w:bottom w:val="single" w:sz="8" w:space="0" w:color="4BACC6" w:themeColor="accent5"/>
        </w:tcBorders>
      </w:tcPr>
    </w:tblStylePr>
    <w:tblStylePr w:type="lastRow">
      <w:rPr>
        <w:b/>
        <w:bCs/>
        <w:color w:val="1F497D" w:themeColor="text2"/>
        <w:lang w:val="kk-KZ"/>
      </w:rPr>
      <w:tblPr/>
      <w:tcPr>
        <w:tcBorders>
          <w:top w:val="single" w:sz="8" w:space="0" w:color="4BACC6" w:themeColor="accent5"/>
          <w:bottom w:val="single" w:sz="8" w:space="0" w:color="4BACC6" w:themeColor="accent5"/>
        </w:tcBorders>
      </w:tcPr>
    </w:tblStylePr>
    <w:tblStylePr w:type="firstCol">
      <w:rPr>
        <w:b/>
        <w:bCs/>
        <w:lang w:val="kk-KZ"/>
      </w:rPr>
    </w:tblStylePr>
    <w:tblStylePr w:type="lastCol">
      <w:rPr>
        <w:b/>
        <w:bCs/>
        <w:lang w:val="kk-KZ"/>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lang w:val="kk-KZ"/>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lang w:val="kk-KZ"/>
      </w:rPr>
      <w:tblPr/>
      <w:tcPr>
        <w:tcBorders>
          <w:top w:val="nil"/>
          <w:bottom w:val="single" w:sz="8" w:space="0" w:color="F79646" w:themeColor="accent6"/>
        </w:tcBorders>
      </w:tcPr>
    </w:tblStylePr>
    <w:tblStylePr w:type="lastRow">
      <w:rPr>
        <w:b/>
        <w:bCs/>
        <w:color w:val="1F497D" w:themeColor="text2"/>
        <w:lang w:val="kk-KZ"/>
      </w:rPr>
      <w:tblPr/>
      <w:tcPr>
        <w:tcBorders>
          <w:top w:val="single" w:sz="8" w:space="0" w:color="F79646" w:themeColor="accent6"/>
          <w:bottom w:val="single" w:sz="8" w:space="0" w:color="F79646" w:themeColor="accent6"/>
        </w:tcBorders>
      </w:tcPr>
    </w:tblStylePr>
    <w:tblStylePr w:type="firstCol">
      <w:rPr>
        <w:b/>
        <w:bCs/>
        <w:lang w:val="kk-KZ"/>
      </w:rPr>
    </w:tblStylePr>
    <w:tblStylePr w:type="lastCol">
      <w:rPr>
        <w:b/>
        <w:bCs/>
        <w:lang w:val="kk-KZ"/>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lang w:val="kk-KZ"/>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lang w:val="kk-KZ"/>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lang w:val="kk-KZ"/>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lang w:val="kk-KZ"/>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lang w:val="kk-KZ"/>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lang w:val="kk-KZ"/>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lang w:val="kk-KZ"/>
      </w:rPr>
    </w:tblStylePr>
    <w:tblStylePr w:type="lastRow">
      <w:rPr>
        <w:b/>
        <w:bCs/>
        <w:lang w:val="kk-KZ"/>
      </w:rPr>
      <w:tblPr/>
      <w:tcPr>
        <w:tcBorders>
          <w:top w:val="single" w:sz="18" w:space="0" w:color="404040" w:themeColor="text1" w:themeTint="BF"/>
        </w:tcBorders>
      </w:tcPr>
    </w:tblStylePr>
    <w:tblStylePr w:type="firstCol">
      <w:rPr>
        <w:b/>
        <w:bCs/>
        <w:lang w:val="kk-KZ"/>
      </w:rPr>
    </w:tblStylePr>
    <w:tblStylePr w:type="lastCol">
      <w:rPr>
        <w:b/>
        <w:bCs/>
        <w:lang w:val="kk-KZ"/>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lang w:val="kk-KZ"/>
      </w:rPr>
    </w:tblStylePr>
    <w:tblStylePr w:type="lastRow">
      <w:rPr>
        <w:b/>
        <w:bCs/>
        <w:lang w:val="kk-KZ"/>
      </w:rPr>
      <w:tblPr/>
      <w:tcPr>
        <w:tcBorders>
          <w:top w:val="single" w:sz="18" w:space="0" w:color="7BA0CD" w:themeColor="accent1" w:themeTint="BF"/>
        </w:tcBorders>
      </w:tcPr>
    </w:tblStylePr>
    <w:tblStylePr w:type="firstCol">
      <w:rPr>
        <w:b/>
        <w:bCs/>
        <w:lang w:val="kk-KZ"/>
      </w:rPr>
    </w:tblStylePr>
    <w:tblStylePr w:type="lastCol">
      <w:rPr>
        <w:b/>
        <w:bCs/>
        <w:lang w:val="kk-KZ"/>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lang w:val="kk-KZ"/>
      </w:rPr>
    </w:tblStylePr>
    <w:tblStylePr w:type="lastRow">
      <w:rPr>
        <w:b/>
        <w:bCs/>
        <w:lang w:val="kk-KZ"/>
      </w:rPr>
      <w:tblPr/>
      <w:tcPr>
        <w:tcBorders>
          <w:top w:val="single" w:sz="18" w:space="0" w:color="CF7B79" w:themeColor="accent2" w:themeTint="BF"/>
        </w:tcBorders>
      </w:tcPr>
    </w:tblStylePr>
    <w:tblStylePr w:type="firstCol">
      <w:rPr>
        <w:b/>
        <w:bCs/>
        <w:lang w:val="kk-KZ"/>
      </w:rPr>
    </w:tblStylePr>
    <w:tblStylePr w:type="lastCol">
      <w:rPr>
        <w:b/>
        <w:bCs/>
        <w:lang w:val="kk-KZ"/>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lang w:val="kk-KZ"/>
      </w:rPr>
    </w:tblStylePr>
    <w:tblStylePr w:type="lastRow">
      <w:rPr>
        <w:b/>
        <w:bCs/>
        <w:lang w:val="kk-KZ"/>
      </w:rPr>
      <w:tblPr/>
      <w:tcPr>
        <w:tcBorders>
          <w:top w:val="single" w:sz="18" w:space="0" w:color="B3CC82" w:themeColor="accent3" w:themeTint="BF"/>
        </w:tcBorders>
      </w:tcPr>
    </w:tblStylePr>
    <w:tblStylePr w:type="firstCol">
      <w:rPr>
        <w:b/>
        <w:bCs/>
        <w:lang w:val="kk-KZ"/>
      </w:rPr>
    </w:tblStylePr>
    <w:tblStylePr w:type="lastCol">
      <w:rPr>
        <w:b/>
        <w:bCs/>
        <w:lang w:val="kk-KZ"/>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lang w:val="kk-KZ"/>
      </w:rPr>
    </w:tblStylePr>
    <w:tblStylePr w:type="lastRow">
      <w:rPr>
        <w:b/>
        <w:bCs/>
        <w:lang w:val="kk-KZ"/>
      </w:rPr>
      <w:tblPr/>
      <w:tcPr>
        <w:tcBorders>
          <w:top w:val="single" w:sz="18" w:space="0" w:color="9F8AB9" w:themeColor="accent4" w:themeTint="BF"/>
        </w:tcBorders>
      </w:tcPr>
    </w:tblStylePr>
    <w:tblStylePr w:type="firstCol">
      <w:rPr>
        <w:b/>
        <w:bCs/>
        <w:lang w:val="kk-KZ"/>
      </w:rPr>
    </w:tblStylePr>
    <w:tblStylePr w:type="lastCol">
      <w:rPr>
        <w:b/>
        <w:bCs/>
        <w:lang w:val="kk-KZ"/>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lang w:val="kk-KZ"/>
      </w:rPr>
    </w:tblStylePr>
    <w:tblStylePr w:type="lastRow">
      <w:rPr>
        <w:b/>
        <w:bCs/>
        <w:lang w:val="kk-KZ"/>
      </w:rPr>
      <w:tblPr/>
      <w:tcPr>
        <w:tcBorders>
          <w:top w:val="single" w:sz="18" w:space="0" w:color="78C0D4" w:themeColor="accent5" w:themeTint="BF"/>
        </w:tcBorders>
      </w:tcPr>
    </w:tblStylePr>
    <w:tblStylePr w:type="firstCol">
      <w:rPr>
        <w:b/>
        <w:bCs/>
        <w:lang w:val="kk-KZ"/>
      </w:rPr>
    </w:tblStylePr>
    <w:tblStylePr w:type="lastCol">
      <w:rPr>
        <w:b/>
        <w:bCs/>
        <w:lang w:val="kk-KZ"/>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lang w:val="kk-KZ"/>
      </w:rPr>
    </w:tblStylePr>
    <w:tblStylePr w:type="lastRow">
      <w:rPr>
        <w:b/>
        <w:bCs/>
        <w:lang w:val="kk-KZ"/>
      </w:rPr>
      <w:tblPr/>
      <w:tcPr>
        <w:tcBorders>
          <w:top w:val="single" w:sz="18" w:space="0" w:color="F9B074" w:themeColor="accent6" w:themeTint="BF"/>
        </w:tcBorders>
      </w:tcPr>
    </w:tblStylePr>
    <w:tblStylePr w:type="firstCol">
      <w:rPr>
        <w:b/>
        <w:bCs/>
        <w:lang w:val="kk-KZ"/>
      </w:rPr>
    </w:tblStylePr>
    <w:tblStylePr w:type="lastCol">
      <w:rPr>
        <w:b/>
        <w:bCs/>
        <w:lang w:val="kk-KZ"/>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lang w:val="kk-KZ"/>
      </w:rPr>
      <w:tblPr/>
      <w:tcPr>
        <w:shd w:val="clear" w:color="auto" w:fill="E6E6E6" w:themeFill="text1"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lang w:val="kk-KZ"/>
      </w:rPr>
      <w:tblPr/>
      <w:tcPr>
        <w:shd w:val="clear" w:color="auto" w:fill="EDF2F8" w:themeFill="accent1"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lang w:val="kk-KZ"/>
      </w:rPr>
      <w:tblPr/>
      <w:tcPr>
        <w:shd w:val="clear" w:color="auto" w:fill="F8EDED" w:themeFill="accent2"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lang w:val="kk-KZ"/>
      </w:rPr>
      <w:tblPr/>
      <w:tcPr>
        <w:shd w:val="clear" w:color="auto" w:fill="F5F8EE" w:themeFill="accent3"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lang w:val="kk-KZ"/>
      </w:rPr>
      <w:tblPr/>
      <w:tcPr>
        <w:shd w:val="clear" w:color="auto" w:fill="F2EFF6" w:themeFill="accent4"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lang w:val="kk-KZ"/>
      </w:rPr>
      <w:tblPr/>
      <w:tcPr>
        <w:shd w:val="clear" w:color="auto" w:fill="EDF6F9" w:themeFill="accent5"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lang w:val="kk-KZ"/>
      </w:rPr>
      <w:tblPr/>
      <w:tcPr>
        <w:shd w:val="clear" w:color="auto" w:fill="FEF4EC" w:themeFill="accent6"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lang w:val="kk-KZ"/>
    </w:rPr>
    <w:tblPr>
      <w:tblStyleRowBandSize w:val="1"/>
      <w:tblStyleColBandSize w:val="1"/>
    </w:tblPr>
    <w:tcPr>
      <w:shd w:val="clear" w:color="auto" w:fill="000000" w:themeFill="text1"/>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lang w:val="kk-KZ"/>
    </w:rPr>
    <w:tblPr>
      <w:tblStyleRowBandSize w:val="1"/>
      <w:tblStyleColBandSize w:val="1"/>
    </w:tblPr>
    <w:tcPr>
      <w:shd w:val="clear" w:color="auto" w:fill="4F81BD" w:themeFill="accent1"/>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lang w:val="kk-KZ"/>
    </w:rPr>
    <w:tblPr>
      <w:tblStyleRowBandSize w:val="1"/>
      <w:tblStyleColBandSize w:val="1"/>
    </w:tblPr>
    <w:tcPr>
      <w:shd w:val="clear" w:color="auto" w:fill="C0504D" w:themeFill="accent2"/>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lang w:val="kk-KZ"/>
    </w:rPr>
    <w:tblPr>
      <w:tblStyleRowBandSize w:val="1"/>
      <w:tblStyleColBandSize w:val="1"/>
    </w:tblPr>
    <w:tcPr>
      <w:shd w:val="clear" w:color="auto" w:fill="9BBB59" w:themeFill="accent3"/>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lang w:val="kk-KZ"/>
    </w:rPr>
    <w:tblPr>
      <w:tblStyleRowBandSize w:val="1"/>
      <w:tblStyleColBandSize w:val="1"/>
    </w:tblPr>
    <w:tcPr>
      <w:shd w:val="clear" w:color="auto" w:fill="8064A2" w:themeFill="accent4"/>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lang w:val="kk-KZ"/>
    </w:rPr>
    <w:tblPr>
      <w:tblStyleRowBandSize w:val="1"/>
      <w:tblStyleColBandSize w:val="1"/>
    </w:tblPr>
    <w:tcPr>
      <w:shd w:val="clear" w:color="auto" w:fill="4BACC6" w:themeFill="accent5"/>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lang w:val="kk-KZ"/>
    </w:rPr>
    <w:tblPr>
      <w:tblStyleRowBandSize w:val="1"/>
      <w:tblStyleColBandSize w:val="1"/>
    </w:tblPr>
    <w:tcPr>
      <w:shd w:val="clear" w:color="auto" w:fill="F79646" w:themeFill="accent6"/>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000000" w:themeFill="text1" w:themeFillShade="99"/>
      </w:tcPr>
    </w:tblStylePr>
    <w:tblStylePr w:type="firstCol">
      <w:rPr>
        <w:color w:val="FFFFFF" w:themeColor="background1"/>
        <w:lang w:val="kk-KZ"/>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lang w:val="kk-KZ"/>
      </w:rPr>
    </w:tblStylePr>
    <w:tblStylePr w:type="nwCell">
      <w:rPr>
        <w:color w:val="000000" w:themeColor="text1"/>
        <w:lang w:val="kk-KZ"/>
      </w:rPr>
    </w:tblStylePr>
  </w:style>
  <w:style w:type="table" w:styleId="-13">
    <w:name w:val="Colorful Shading Accent 1"/>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2C4C74" w:themeFill="accent1" w:themeFillShade="99"/>
      </w:tcPr>
    </w:tblStylePr>
    <w:tblStylePr w:type="firstCol">
      <w:rPr>
        <w:color w:val="FFFFFF" w:themeColor="background1"/>
        <w:lang w:val="kk-KZ"/>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lang w:val="kk-KZ"/>
      </w:rPr>
    </w:tblStylePr>
    <w:tblStylePr w:type="nwCell">
      <w:rPr>
        <w:color w:val="000000" w:themeColor="text1"/>
        <w:lang w:val="kk-KZ"/>
      </w:rPr>
    </w:tblStylePr>
  </w:style>
  <w:style w:type="table" w:styleId="-23">
    <w:name w:val="Colorful Shading Accent 2"/>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772C2A" w:themeFill="accent2" w:themeFillShade="99"/>
      </w:tcPr>
    </w:tblStylePr>
    <w:tblStylePr w:type="firstCol">
      <w:rPr>
        <w:color w:val="FFFFFF" w:themeColor="background1"/>
        <w:lang w:val="kk-KZ"/>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lang w:val="kk-KZ"/>
      </w:rPr>
    </w:tblStylePr>
    <w:tblStylePr w:type="nwCell">
      <w:rPr>
        <w:color w:val="000000" w:themeColor="text1"/>
        <w:lang w:val="kk-KZ"/>
      </w:rPr>
    </w:tblStylePr>
  </w:style>
  <w:style w:type="table" w:styleId="-33">
    <w:name w:val="Colorful Shading Accent 3"/>
    <w:basedOn w:val="a3"/>
    <w:uiPriority w:val="71"/>
    <w:rsid w:val="00CB0664"/>
    <w:pPr>
      <w:spacing w:after="0" w:line="240" w:lineRule="auto"/>
    </w:pPr>
    <w:rPr>
      <w:color w:val="000000" w:themeColor="text1"/>
      <w:lang w:val="kk-KZ"/>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lang w:val="kk-KZ"/>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5E7530" w:themeFill="accent3" w:themeFillShade="99"/>
      </w:tcPr>
    </w:tblStylePr>
    <w:tblStylePr w:type="firstCol">
      <w:rPr>
        <w:color w:val="FFFFFF" w:themeColor="background1"/>
        <w:lang w:val="kk-KZ"/>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lang w:val="kk-KZ"/>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lang w:val="kk-KZ"/>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4C3B62" w:themeFill="accent4" w:themeFillShade="99"/>
      </w:tcPr>
    </w:tblStylePr>
    <w:tblStylePr w:type="firstCol">
      <w:rPr>
        <w:color w:val="FFFFFF" w:themeColor="background1"/>
        <w:lang w:val="kk-KZ"/>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lang w:val="kk-KZ"/>
      </w:rPr>
    </w:tblStylePr>
    <w:tblStylePr w:type="nwCell">
      <w:rPr>
        <w:color w:val="000000" w:themeColor="text1"/>
        <w:lang w:val="kk-KZ"/>
      </w:rPr>
    </w:tblStylePr>
  </w:style>
  <w:style w:type="table" w:styleId="-53">
    <w:name w:val="Colorful Shading Accent 5"/>
    <w:basedOn w:val="a3"/>
    <w:uiPriority w:val="71"/>
    <w:rsid w:val="00CB0664"/>
    <w:pPr>
      <w:spacing w:after="0" w:line="240" w:lineRule="auto"/>
    </w:pPr>
    <w:rPr>
      <w:color w:val="000000" w:themeColor="text1"/>
      <w:lang w:val="kk-KZ"/>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lang w:val="kk-KZ"/>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276A7C" w:themeFill="accent5" w:themeFillShade="99"/>
      </w:tcPr>
    </w:tblStylePr>
    <w:tblStylePr w:type="firstCol">
      <w:rPr>
        <w:color w:val="FFFFFF" w:themeColor="background1"/>
        <w:lang w:val="kk-KZ"/>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lang w:val="kk-KZ"/>
      </w:rPr>
    </w:tblStylePr>
    <w:tblStylePr w:type="nwCell">
      <w:rPr>
        <w:color w:val="000000" w:themeColor="text1"/>
        <w:lang w:val="kk-KZ"/>
      </w:rPr>
    </w:tblStylePr>
  </w:style>
  <w:style w:type="table" w:styleId="-63">
    <w:name w:val="Colorful Shading Accent 6"/>
    <w:basedOn w:val="a3"/>
    <w:uiPriority w:val="71"/>
    <w:rsid w:val="00CB0664"/>
    <w:pPr>
      <w:spacing w:after="0" w:line="240" w:lineRule="auto"/>
    </w:pPr>
    <w:rPr>
      <w:color w:val="000000" w:themeColor="text1"/>
      <w:lang w:val="kk-KZ"/>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lang w:val="kk-KZ"/>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B65608" w:themeFill="accent6" w:themeFillShade="99"/>
      </w:tcPr>
    </w:tblStylePr>
    <w:tblStylePr w:type="firstCol">
      <w:rPr>
        <w:color w:val="FFFFFF" w:themeColor="background1"/>
        <w:lang w:val="kk-KZ"/>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lang w:val="kk-KZ"/>
      </w:rPr>
    </w:tblStylePr>
    <w:tblStylePr w:type="nwCell">
      <w:rPr>
        <w:color w:val="000000" w:themeColor="text1"/>
        <w:lang w:val="kk-KZ"/>
      </w:rPr>
    </w:tblStylePr>
  </w:style>
  <w:style w:type="table" w:styleId="aff6">
    <w:name w:val="Colorful List"/>
    <w:basedOn w:val="a3"/>
    <w:uiPriority w:val="72"/>
    <w:rsid w:val="00CB0664"/>
    <w:pPr>
      <w:spacing w:after="0" w:line="240" w:lineRule="auto"/>
    </w:pPr>
    <w:rPr>
      <w:color w:val="000000" w:themeColor="text1"/>
      <w:lang w:val="kk-KZ"/>
    </w:rPr>
    <w:tblPr>
      <w:tblStyleRowBandSize w:val="1"/>
      <w:tblStyleColBandSize w:val="1"/>
    </w:tblPr>
    <w:tcPr>
      <w:shd w:val="clear" w:color="auto" w:fill="E6E6E6" w:themeFill="text1"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lang w:val="kk-KZ"/>
    </w:rPr>
    <w:tblPr>
      <w:tblStyleRowBandSize w:val="1"/>
      <w:tblStyleColBandSize w:val="1"/>
    </w:tblPr>
    <w:tcPr>
      <w:shd w:val="clear" w:color="auto" w:fill="EDF2F8" w:themeFill="accent1"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lang w:val="kk-KZ"/>
    </w:rPr>
    <w:tblPr>
      <w:tblStyleRowBandSize w:val="1"/>
      <w:tblStyleColBandSize w:val="1"/>
    </w:tblPr>
    <w:tcPr>
      <w:shd w:val="clear" w:color="auto" w:fill="F8EDED" w:themeFill="accent2"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lang w:val="kk-KZ"/>
    </w:rPr>
    <w:tblPr>
      <w:tblStyleRowBandSize w:val="1"/>
      <w:tblStyleColBandSize w:val="1"/>
    </w:tblPr>
    <w:tcPr>
      <w:shd w:val="clear" w:color="auto" w:fill="F5F8EE" w:themeFill="accent3" w:themeFillTint="19"/>
    </w:tcPr>
    <w:tblStylePr w:type="firstRow">
      <w:rPr>
        <w:b/>
        <w:bCs/>
        <w:color w:val="FFFFFF" w:themeColor="background1"/>
        <w:lang w:val="kk-KZ"/>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lang w:val="kk-KZ"/>
    </w:rPr>
    <w:tblPr>
      <w:tblStyleRowBandSize w:val="1"/>
      <w:tblStyleColBandSize w:val="1"/>
    </w:tblPr>
    <w:tcPr>
      <w:shd w:val="clear" w:color="auto" w:fill="F2EFF6" w:themeFill="accent4" w:themeFillTint="19"/>
    </w:tcPr>
    <w:tblStylePr w:type="firstRow">
      <w:rPr>
        <w:b/>
        <w:bCs/>
        <w:color w:val="FFFFFF" w:themeColor="background1"/>
        <w:lang w:val="kk-KZ"/>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lang w:val="kk-KZ"/>
    </w:rPr>
    <w:tblPr>
      <w:tblStyleRowBandSize w:val="1"/>
      <w:tblStyleColBandSize w:val="1"/>
    </w:tblPr>
    <w:tcPr>
      <w:shd w:val="clear" w:color="auto" w:fill="EDF6F9" w:themeFill="accent5" w:themeFillTint="19"/>
    </w:tcPr>
    <w:tblStylePr w:type="firstRow">
      <w:rPr>
        <w:b/>
        <w:bCs/>
        <w:color w:val="FFFFFF" w:themeColor="background1"/>
        <w:lang w:val="kk-KZ"/>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lang w:val="kk-KZ"/>
    </w:rPr>
    <w:tblPr>
      <w:tblStyleRowBandSize w:val="1"/>
      <w:tblStyleColBandSize w:val="1"/>
    </w:tblPr>
    <w:tcPr>
      <w:shd w:val="clear" w:color="auto" w:fill="FEF4EC" w:themeFill="accent6" w:themeFillTint="19"/>
    </w:tcPr>
    <w:tblStylePr w:type="firstRow">
      <w:rPr>
        <w:b/>
        <w:bCs/>
        <w:color w:val="FFFFFF" w:themeColor="background1"/>
        <w:lang w:val="kk-KZ"/>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lang w:val="kk-KZ"/>
      </w:rPr>
      <w:tblPr/>
      <w:tcPr>
        <w:shd w:val="clear" w:color="auto" w:fill="999999" w:themeFill="text1" w:themeFillTint="66"/>
      </w:tcPr>
    </w:tblStylePr>
    <w:tblStylePr w:type="lastRow">
      <w:rPr>
        <w:b/>
        <w:bCs/>
        <w:color w:val="000000" w:themeColor="text1"/>
        <w:lang w:val="kk-KZ"/>
      </w:rPr>
      <w:tblPr/>
      <w:tcPr>
        <w:shd w:val="clear" w:color="auto" w:fill="999999" w:themeFill="text1" w:themeFillTint="66"/>
      </w:tcPr>
    </w:tblStylePr>
    <w:tblStylePr w:type="firstCol">
      <w:rPr>
        <w:color w:val="FFFFFF" w:themeColor="background1"/>
        <w:lang w:val="kk-KZ"/>
      </w:rPr>
      <w:tblPr/>
      <w:tcPr>
        <w:shd w:val="clear" w:color="auto" w:fill="000000" w:themeFill="text1" w:themeFillShade="BF"/>
      </w:tcPr>
    </w:tblStylePr>
    <w:tblStylePr w:type="lastCol">
      <w:rPr>
        <w:color w:val="FFFFFF" w:themeColor="background1"/>
        <w:lang w:val="kk-KZ"/>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lang w:val="kk-KZ"/>
      </w:rPr>
      <w:tblPr/>
      <w:tcPr>
        <w:shd w:val="clear" w:color="auto" w:fill="B8CCE4" w:themeFill="accent1" w:themeFillTint="66"/>
      </w:tcPr>
    </w:tblStylePr>
    <w:tblStylePr w:type="lastRow">
      <w:rPr>
        <w:b/>
        <w:bCs/>
        <w:color w:val="000000" w:themeColor="text1"/>
        <w:lang w:val="kk-KZ"/>
      </w:rPr>
      <w:tblPr/>
      <w:tcPr>
        <w:shd w:val="clear" w:color="auto" w:fill="B8CCE4" w:themeFill="accent1" w:themeFillTint="66"/>
      </w:tcPr>
    </w:tblStylePr>
    <w:tblStylePr w:type="firstCol">
      <w:rPr>
        <w:color w:val="FFFFFF" w:themeColor="background1"/>
        <w:lang w:val="kk-KZ"/>
      </w:rPr>
      <w:tblPr/>
      <w:tcPr>
        <w:shd w:val="clear" w:color="auto" w:fill="365F91" w:themeFill="accent1" w:themeFillShade="BF"/>
      </w:tcPr>
    </w:tblStylePr>
    <w:tblStylePr w:type="lastCol">
      <w:rPr>
        <w:color w:val="FFFFFF" w:themeColor="background1"/>
        <w:lang w:val="kk-KZ"/>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lang w:val="kk-KZ"/>
      </w:rPr>
      <w:tblPr/>
      <w:tcPr>
        <w:shd w:val="clear" w:color="auto" w:fill="E5B8B7" w:themeFill="accent2" w:themeFillTint="66"/>
      </w:tcPr>
    </w:tblStylePr>
    <w:tblStylePr w:type="lastRow">
      <w:rPr>
        <w:b/>
        <w:bCs/>
        <w:color w:val="000000" w:themeColor="text1"/>
        <w:lang w:val="kk-KZ"/>
      </w:rPr>
      <w:tblPr/>
      <w:tcPr>
        <w:shd w:val="clear" w:color="auto" w:fill="E5B8B7" w:themeFill="accent2" w:themeFillTint="66"/>
      </w:tcPr>
    </w:tblStylePr>
    <w:tblStylePr w:type="firstCol">
      <w:rPr>
        <w:color w:val="FFFFFF" w:themeColor="background1"/>
        <w:lang w:val="kk-KZ"/>
      </w:rPr>
      <w:tblPr/>
      <w:tcPr>
        <w:shd w:val="clear" w:color="auto" w:fill="943634" w:themeFill="accent2" w:themeFillShade="BF"/>
      </w:tcPr>
    </w:tblStylePr>
    <w:tblStylePr w:type="lastCol">
      <w:rPr>
        <w:color w:val="FFFFFF" w:themeColor="background1"/>
        <w:lang w:val="kk-KZ"/>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lang w:val="kk-KZ"/>
      </w:rPr>
      <w:tblPr/>
      <w:tcPr>
        <w:shd w:val="clear" w:color="auto" w:fill="D6E3BC" w:themeFill="accent3" w:themeFillTint="66"/>
      </w:tcPr>
    </w:tblStylePr>
    <w:tblStylePr w:type="lastRow">
      <w:rPr>
        <w:b/>
        <w:bCs/>
        <w:color w:val="000000" w:themeColor="text1"/>
        <w:lang w:val="kk-KZ"/>
      </w:rPr>
      <w:tblPr/>
      <w:tcPr>
        <w:shd w:val="clear" w:color="auto" w:fill="D6E3BC" w:themeFill="accent3" w:themeFillTint="66"/>
      </w:tcPr>
    </w:tblStylePr>
    <w:tblStylePr w:type="firstCol">
      <w:rPr>
        <w:color w:val="FFFFFF" w:themeColor="background1"/>
        <w:lang w:val="kk-KZ"/>
      </w:rPr>
      <w:tblPr/>
      <w:tcPr>
        <w:shd w:val="clear" w:color="auto" w:fill="76923C" w:themeFill="accent3" w:themeFillShade="BF"/>
      </w:tcPr>
    </w:tblStylePr>
    <w:tblStylePr w:type="lastCol">
      <w:rPr>
        <w:color w:val="FFFFFF" w:themeColor="background1"/>
        <w:lang w:val="kk-KZ"/>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lang w:val="kk-KZ"/>
      </w:rPr>
      <w:tblPr/>
      <w:tcPr>
        <w:shd w:val="clear" w:color="auto" w:fill="CCC0D9" w:themeFill="accent4" w:themeFillTint="66"/>
      </w:tcPr>
    </w:tblStylePr>
    <w:tblStylePr w:type="lastRow">
      <w:rPr>
        <w:b/>
        <w:bCs/>
        <w:color w:val="000000" w:themeColor="text1"/>
        <w:lang w:val="kk-KZ"/>
      </w:rPr>
      <w:tblPr/>
      <w:tcPr>
        <w:shd w:val="clear" w:color="auto" w:fill="CCC0D9" w:themeFill="accent4" w:themeFillTint="66"/>
      </w:tcPr>
    </w:tblStylePr>
    <w:tblStylePr w:type="firstCol">
      <w:rPr>
        <w:color w:val="FFFFFF" w:themeColor="background1"/>
        <w:lang w:val="kk-KZ"/>
      </w:rPr>
      <w:tblPr/>
      <w:tcPr>
        <w:shd w:val="clear" w:color="auto" w:fill="5F497A" w:themeFill="accent4" w:themeFillShade="BF"/>
      </w:tcPr>
    </w:tblStylePr>
    <w:tblStylePr w:type="lastCol">
      <w:rPr>
        <w:color w:val="FFFFFF" w:themeColor="background1"/>
        <w:lang w:val="kk-KZ"/>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lang w:val="kk-KZ"/>
      </w:rPr>
      <w:tblPr/>
      <w:tcPr>
        <w:shd w:val="clear" w:color="auto" w:fill="B6DDE8" w:themeFill="accent5" w:themeFillTint="66"/>
      </w:tcPr>
    </w:tblStylePr>
    <w:tblStylePr w:type="lastRow">
      <w:rPr>
        <w:b/>
        <w:bCs/>
        <w:color w:val="000000" w:themeColor="text1"/>
        <w:lang w:val="kk-KZ"/>
      </w:rPr>
      <w:tblPr/>
      <w:tcPr>
        <w:shd w:val="clear" w:color="auto" w:fill="B6DDE8" w:themeFill="accent5" w:themeFillTint="66"/>
      </w:tcPr>
    </w:tblStylePr>
    <w:tblStylePr w:type="firstCol">
      <w:rPr>
        <w:color w:val="FFFFFF" w:themeColor="background1"/>
        <w:lang w:val="kk-KZ"/>
      </w:rPr>
      <w:tblPr/>
      <w:tcPr>
        <w:shd w:val="clear" w:color="auto" w:fill="31849B" w:themeFill="accent5" w:themeFillShade="BF"/>
      </w:tcPr>
    </w:tblStylePr>
    <w:tblStylePr w:type="lastCol">
      <w:rPr>
        <w:color w:val="FFFFFF" w:themeColor="background1"/>
        <w:lang w:val="kk-KZ"/>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lang w:val="kk-KZ"/>
      </w:rPr>
      <w:tblPr/>
      <w:tcPr>
        <w:shd w:val="clear" w:color="auto" w:fill="FBD4B4" w:themeFill="accent6" w:themeFillTint="66"/>
      </w:tcPr>
    </w:tblStylePr>
    <w:tblStylePr w:type="lastRow">
      <w:rPr>
        <w:b/>
        <w:bCs/>
        <w:color w:val="000000" w:themeColor="text1"/>
        <w:lang w:val="kk-KZ"/>
      </w:rPr>
      <w:tblPr/>
      <w:tcPr>
        <w:shd w:val="clear" w:color="auto" w:fill="FBD4B4" w:themeFill="accent6" w:themeFillTint="66"/>
      </w:tcPr>
    </w:tblStylePr>
    <w:tblStylePr w:type="firstCol">
      <w:rPr>
        <w:color w:val="FFFFFF" w:themeColor="background1"/>
        <w:lang w:val="kk-KZ"/>
      </w:rPr>
      <w:tblPr/>
      <w:tcPr>
        <w:shd w:val="clear" w:color="auto" w:fill="E36C0A" w:themeFill="accent6" w:themeFillShade="BF"/>
      </w:tcPr>
    </w:tblStylePr>
    <w:tblStylePr w:type="lastCol">
      <w:rPr>
        <w:color w:val="FFFFFF" w:themeColor="background1"/>
        <w:lang w:val="kk-KZ"/>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1592</Words>
  <Characters>9081</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Материалы внутреннего анализа коррупционных рисков</vt:lpstr>
      <vt:lpstr/>
    </vt:vector>
  </TitlesOfParts>
  <Manager/>
  <Company/>
  <LinksUpToDate>false</LinksUpToDate>
  <CharactersWithSpaces>10652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ТАЛДАМАЛЫҚ АНЫҚТАМА
Алматы облысының тұрғын үй-коммуналдық шаруашылығы және абаттандыру басқармасының қызметіндегі сыбайлас жемқорлық тәуекелдеріне жүргізілген ішкі талдаудың нәтижелері туралы</dc:title>
  <dc:subject/>
  <dc:creator>user</dc:creator>
  <cp:keywords/>
  <dc:description/>
  <cp:lastModifiedBy>user</cp:lastModifiedBy>
  <cp:revision>3</cp:revision>
  <dcterms:created xsi:type="dcterms:W3CDTF">2026-09-30T04:10:00Z</dcterms:created>
  <dcterms:modified xsi:type="dcterms:W3CDTF">2026-09-30T04:10:00Z</dcterms:modified>
  <cp:category/>
  <dc:language>kk-KZ</dc:language>
</cp:coreProperties>
</file>