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Қазақстан Республикасының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Қаржы министрінің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2024 жылғы 28 тамыздағы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№ 590 бұйрығымен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бекітілген</w:t>
      </w:r>
    </w:p>
    <w:p>
      <w:pPr>
        <w:spacing w:after="0" w:before="0" w:line="276"/>
        <w:jc w:val="righ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нысан</w:t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Төлем қабілеттілігін қалпына келтіру рәсіміндегі</w:t>
      </w:r>
    </w:p>
    <w:p>
      <w:pPr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6"/>
          <w:szCs w:val="26"/>
        </w:rPr>
        <w:t xml:space="preserve">Кредиторлар талаптарының тізілімі</w:t>
      </w:r>
    </w:p>
    <w:p>
      <w:pPr>
        <w:spacing w:after="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Жеке тұлға: Исенов Бекет Кинжалович, ЖСН 710423301086</w:t>
      </w:r>
    </w:p>
    <w:p>
      <w:pPr>
        <w:spacing w:after="0" w:before="0" w:line="276"/>
        <w:jc w:val="center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Қандыағаш қаласы</w:t>
      </w:r>
    </w:p>
    <w:p>
      <w:pPr>
        <w:spacing w:after="60" w:before="0" w:line="276"/>
        <w:jc w:val="right"/>
      </w:pPr>
      <w:r>
        <w:rPr>
          <w:rFonts w:ascii="Times New Roman" w:cs="Times New Roman" w:eastAsia="Times New Roman" w:hAnsi="Times New Roman"/>
          <w:sz w:val="20"/>
          <w:szCs w:val="20"/>
        </w:rPr>
        <w:t xml:space="preserve">(теңге)</w:t>
      </w:r>
    </w:p>
    <w:tbl>
      <w:tblPr>
        <w:tblW w:type="dxa" w:w="145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3300"/>
        <w:gridCol w:w="1300"/>
        <w:gridCol w:w="1500"/>
        <w:gridCol w:w="3300"/>
        <w:gridCol w:w="1500"/>
        <w:gridCol w:w="1400"/>
        <w:gridCol w:w="1700"/>
      </w:tblGrid>
      <w:tr>
        <w:trPr>
          <w:cantSplit/>
          <w:tblHeader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№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Т.А.Ә. (ол болған жағдайда) / кредитордың атауы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Кредитордың ЖСН/БСН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Қойылған талаптардың сомасы (теңге)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Қаржы басқарушысы қабылдаған шешімнің негізділігін растайтын құжаттар (атауы, күні, нөмірі)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Танылған талаптар сомасы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Танылмаған талаптар сомасы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shd w:fill="E7E6E6" w:color="auto" w:val="clear"/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Ескертпе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2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3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4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6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7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8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1.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Бірінші кезек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Өмірге немесе денсаулыққа келтірілген зиянды өтеу бойынша берешекті өндіріп алу жөніндегі талаптар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Алимент өндіріп алу бойынша талаптар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Бірінші кезек бойынша 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2.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Екінші кезек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Салықтық берешек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Кедендік төлемдер бойынша берешек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Бюджетке төленетін басқа да міндетті төлемдер бойынша берешек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Сот шешімі бойынша өндіріліп алынатын, бюджетке төленетін төлемдер бойынша берешек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Екінші кезек бойынша 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3.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Үшінші кезек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Кредиторлардың азаматтық-құқықтық және өзге де міндеттемелер бойынша талаптары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«Қазақстан Халық Банкі» АҚ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940140000385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3 879 131,24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Кредитордың талабы; 2026 жылғы 17 маусымдағы сот ұйғарымы; № 1212994000000366 банктік қарыз шарты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3 879 131,24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0,00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«Kaspi Bank» АҚ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971240001315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749 770,87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Кредитордың талабы; 2026 жылғы 17 маусымдағы сот ұйғарымы; № 1115677 банктік қарыз шарты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749 770,87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0,00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«Kaspi Bank» АҚ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971240001315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589 656,19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Кредитордың талабы; 2026 жылғы 17 маусымдағы сот ұйғарымы; № R1000369286-002 банктік қарыз шарты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589 656,19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0,00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4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«Kaspi Bank» АҚ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971240001315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28 285,92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Кредитордың талабы; 2026 жылғы 17 маусымдағы сот ұйғарымы; № R2257021-005 банктік қарыз шарты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28 285,92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0,00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5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«Bank RBK» АҚ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920440001102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3 821 150,95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2026 жылғы 29 маусымдағы № 63-06-2122 талабы; 2024 жылғы 31 мамырдағы № КЛЮ663951/008-24/001 банктік қарыз шарты; 2026 жылғы 29 маусымдағы берешек анықтамасы</w:t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3 821 150,95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0,00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Негізгі борыш 3 417 449,73; сыйақы 402 721,19; өсімпұл 980,03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Кепілді кредитордың талаптары (ол кепілге салынған мүлікті заттай қабылдаудан бас тартқан жағдайда)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3)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Мәмілені жарамсыз деп тану және мүлікті борышкердің мүліктік массасына қайтару туралы сот шешімі нәтижесінде туындайтын талаптар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Үшінші кезек бойынша 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4.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Төртінші кезек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Кредиторлардың шығындарды өтеу жөніндегі талаптары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Кредиторлардың тұрақсыздық айыбын өндіріп алу жөніндегі талаптары (айыппұл, өсімпұл)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Төртінші кезек бойынша 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5.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Бесінші кезек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1)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Төлем қабілеттілігін қалпына келтіру жоспарының жобасын қарау кезінде берешекті қайта құрылымдау құралдарының бірін ұсыну бойынша міндетін орындамаған кредиторлардың талаптары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2)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>Өміріне немесе денсаулығына келтірілген зиянды өтеу, алимент өндіріп алу туралы талаптарды қоспағанда, белгіленген мерзімнен кешіктіріліп мәлімделген талаптар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Бесінші кезек бойынша 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Тізілім бойынша 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9 067 995,17</w:t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0</w:t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sz w:val="16"/>
                <w:szCs w:val="16"/>
              </w:rPr>
              <w:t xml:space="preserve">тоғыз миллион алпыс жеті мың тоғыз жүз тоқсан бес теңге 17 тиын</w:t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6.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Тізілімнен шығарылған талаптар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Барлығы:</w:t>
            </w:r>
          </w:p>
        </w:tc>
        <w:tc>
          <w:tcPr>
            <w:tcW w:type="dxa" w:w="1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right"/>
            </w:pP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0</w:t>
            </w:r>
          </w:p>
        </w:tc>
        <w:tc>
          <w:tcPr>
            <w:tcW w:type="dxa" w:w="33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4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  <w:tc>
          <w:tcPr>
            <w:tcW w:type="dxa" w:w="1700"/>
            <w:tcBorders>
              <w:top w:val="single" w:color="000000" w:sz="4"/>
              <w:left w:val="single" w:color="000000" w:sz="4"/>
              <w:bottom w:val="single" w:color="000000" w:sz="4"/>
              <w:right w:val="single" w:color="000000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  <w:vAlign w:val="center"/>
          </w:tcPr>
          <w:p>
            <w:pPr>
              <w:keepLines/>
              <w:spacing w:after="0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sz w:val="20"/>
                <w:szCs w:val="20"/>
              </w:rPr>
              <w:t xml:space="preserve"/>
            </w:r>
          </w:p>
        </w:tc>
      </w:tr>
    </w:tbl>
    <w:p>
      <w:pPr>
        <w:spacing w:after="20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keepNext/>
        <w:spacing w:after="60"/>
      </w:pPr>
      <w:r>
        <w:rPr>
          <w:rFonts w:ascii="Times New Roman" w:cs="Times New Roman" w:eastAsia="Times New Roman" w:hAnsi="Times New Roman"/>
          <w:b/>
          <w:bCs/>
          <w:sz w:val="24"/>
          <w:szCs w:val="24"/>
        </w:rPr>
        <w:t xml:space="preserve">Қаржы басқарушысы</w:t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                                                    Кайназарова Л.А.</w:t>
      </w:r>
    </w:p>
    <w:p>
      <w:r>
        <w:drawing>
          <wp:inline distT="0" distB="0" distL="0" distR="0">
            <wp:extent cx="1047750" cy="733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7750" cy="733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cs="Times New Roman" w:eastAsia="Times New Roman" w:hAnsi="Times New Roman"/>
          <w:sz w:val="24"/>
          <w:szCs w:val="24"/>
        </w:rPr>
        <w:t xml:space="preserve">          </w:t>
      </w:r>
      <w:r>
        <w:drawing>
          <wp:inline distT="0" distB="0" distL="0" distR="0">
            <wp:extent cx="914400" cy="8763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20" w:before="0" w:line="276"/>
        <w:jc w:val="both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/>
      </w:r>
    </w:p>
    <w:p>
      <w:pPr>
        <w:spacing w:after="0" w:before="0" w:line="276"/>
        <w:jc w:val="left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Аббревиатураларды ашып жазу:</w:t>
      </w:r>
    </w:p>
    <w:p>
      <w:pPr>
        <w:spacing w:after="0" w:before="0" w:line="276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БСН – бизнес-сәйкестендіру нөмірі;</w:t>
      </w:r>
    </w:p>
    <w:p>
      <w:pPr>
        <w:spacing w:after="0" w:before="0" w:line="276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ЖСН – жеке сәйкестендіру нөмірі;</w:t>
      </w:r>
    </w:p>
    <w:p>
      <w:pPr>
        <w:spacing w:after="0" w:before="0" w:line="276"/>
        <w:jc w:val="left"/>
      </w:pPr>
      <w:r>
        <w:rPr>
          <w:rFonts w:ascii="Times New Roman" w:cs="Times New Roman" w:eastAsia="Times New Roman" w:hAnsi="Times New Roman"/>
          <w:i w:val="false"/>
          <w:iCs w:val="false"/>
          <w:sz w:val="20"/>
          <w:szCs w:val="20"/>
        </w:rPr>
        <w:t xml:space="preserve">Т.А.Ә. – тегі, аты, әкесінің аты (ол болған жағдайда).</w:t>
      </w:r>
    </w:p>
    <w:sectPr>
      <w:pgSz w:w="16838" w:h="11906" w:orient="landscape"/>
      <w:pgMar w:top="850" w:right="850" w:bottom="850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cb4cc5d2b642dbf8981deefaa31382415725b481.png"/><Relationship Id="rId8" Type="http://schemas.openxmlformats.org/officeDocument/2006/relationships/image" Target="media/0e49c28de0fdee6b59eb86bd7b7a5336dfd2ad16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2026-09-14T18:43:11.010Z</dcterms:created>
  <dcterms:modified xsi:type="dcterms:W3CDTF">2026-09-14T18:43:11.010Z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