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УПРАВЛЕНИЯ ГОСУДАРСТВЕННОГО АРХИТЕКТУРНО-СТРОИТЕЛЬНОГО КОНТРОЛЯ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АКИМАТА ЖАМБЫЛСКОЙ ОБЛАСТИ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color w:val="C00000"/>
          <w:sz w:val="32"/>
          <w:szCs w:val="32"/>
        </w:rPr>
        <w:t xml:space="preserve">КАРТОГРАММА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color w:val="C00000"/>
          <w:sz w:val="32"/>
          <w:szCs w:val="32"/>
        </w:rPr>
        <w:t xml:space="preserve">КОРРУПЦИОННЫХ РИСКОВ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2026 год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595959"/>
          <w:sz w:val="24"/>
          <w:szCs w:val="24"/>
        </w:rPr>
        <w:t xml:space="preserve">Рабочий вариант, разработанный на основе материалов внутреннего анализа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6038"/>
      </w:tblGrid>
      <w:tr>
        <w:trPr>
          <w:tblHeader/>
        </w:trPr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Цвет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Уровень</w:t>
            </w:r>
          </w:p>
        </w:tc>
        <w:tc>
          <w:tcPr>
            <w:tcW w:type="dxa" w:w="6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Значение в картограмме</w:t>
            </w:r>
          </w:p>
        </w:tc>
      </w:tr>
      <w:tr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Красный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  <w:tc>
          <w:tcPr>
            <w:tcW w:type="dxa" w:w="6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Управленческие решения и функции с высокой степенью дискреции</w:t>
            </w:r>
          </w:p>
        </w:tc>
      </w:tr>
      <w:tr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Жёлтый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  <w:tc>
          <w:tcPr>
            <w:tcW w:type="dxa" w:w="6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Риски в исполнительских и процедурных функциях</w:t>
            </w:r>
          </w:p>
        </w:tc>
      </w:tr>
      <w:tr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Зелёный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C6EF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6100"/>
                <w:sz w:val="21"/>
                <w:szCs w:val="21"/>
              </w:rPr>
              <w:t xml:space="preserve">НИЗКИЙ/не определён</w:t>
            </w:r>
          </w:p>
        </w:tc>
        <w:tc>
          <w:tcPr>
            <w:tcW w:type="dxa" w:w="6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 материалах отдельные факты риска не указаны либо направления с низким уровнем риска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1. ЦЕЛЬ КАРТОГРАММЫ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Картограмма разработана в целях систематизации возможных направлений концентрации коррупционных рисков в деятельности управления государственного архитектурно-строительного контроля акимата Жамбылской области, наглядного отображения функций и должностей, подверженных риску, а также определения профилактических мер по снижению рисков.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Указанный в картограмме уровень риска не означает совершения коррупционного правонарушения. Он характеризует степень подверженности соответствующих функций и должностей коррупционным рискам.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2. ОСНОВНАЯ КАРТА РИСКОВ ПО УПРАВЛЕНИЮ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4838"/>
        <w:gridCol w:w="1800"/>
      </w:tblGrid>
      <w:tr>
        <w:trPr>
          <w:tblHeader/>
        </w:trP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№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Зона риска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Основной риск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Уровень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1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Принятие управленческих решений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Обеспечение принятия решений при осуществлении служебных полномочий; участие во всех управленческих процессах.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2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Государственный контроль и надзор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Проведение проверок, оформление актов и предписаний, документальное обоснование принятых решений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3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Государственные закупки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Планирование, проведение процедур, работа с поставщиками и контроль исполнения договоров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8CBA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833C0B"/>
                <w:sz w:val="21"/>
                <w:szCs w:val="21"/>
              </w:rPr>
              <w:t xml:space="preserve">СРЕДНИЙ/ВЫСОКИЙ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4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Планирование бюджета и освоение средств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Формирование бюджетных заявок, финансирование и эффективное освоение средств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5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Выдача разрешений и административные процедуры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Рассмотрение заявлений, соблюдение процедурных сроков и требований законодательства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6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Конфликт интересов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Своевременное выявление и урегулирование конфликта интересов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7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Документооборот и ЭЦП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Порядок регистрации документов, электронного документооборота и использования ЭЦП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  <w:tr>
        <w:tc>
          <w:tcPr>
            <w:tcW w:type="dxa" w:w="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8</w:t>
            </w:r>
          </w:p>
        </w:tc>
        <w:tc>
          <w:tcPr>
            <w:tcW w:type="dxa" w:w="2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Кадровая и трудовая дисциплина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Учёт рабочего времени, трудовая дисциплина и организация исполнения служебных обязанностей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3. КАРТА РИСКОВ ПО ФУНКЦИЯМ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4838"/>
      </w:tblGrid>
      <w:tr>
        <w:trPr>
          <w:tblHeader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Функция/направление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Уровень риска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Основное направление снижения риска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Организация государственного архитектурно-строительного контроля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Обоснование решений материалами проверок и действующими требованиями; сохранение прозрачности контрольных процедур.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Оформление результатов проверок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Оформление актов, предписаний и иных материалов в установленном порядке; контроль соблюдения сроков и процедур.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Рассмотрение и оценка документов по объектам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Последовательное рассмотрение документов по установленным требованиям, обеспечение документальной обоснованности решений.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Государственные закупки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8CBA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833C0B"/>
                <w:sz w:val="21"/>
                <w:szCs w:val="21"/>
              </w:rPr>
              <w:t xml:space="preserve">СРЕДНИЙ/ВЫСОКИЙ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Усиление внутреннего контроля на этапах планирования, технических спецификаций и приёмки исполнения договоров.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Административные процедуры и обращения граждан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Соблюдение сроков рассмотрения обращений и процедурных требований, обеспечение полноты и обоснованности ответов.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Финансово-хозяйственная деятельность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Документальный контроль планирования и освоения бюджетных средств, проверка обоснованности платёжных документов.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Документооборот и ЭЦП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Унификация порядка регистрации и хранения документов, применения ЭЦП.</w:t>
            </w:r>
          </w:p>
        </w:tc>
      </w:tr>
      <w:t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Кадровая и трудовая дисциплина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  <w:tc>
          <w:tcPr>
            <w:tcW w:type="dxa" w:w="48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Внутренний контроль трудовой дисциплины, учёта рабочего времени и исполнения служебных обязанностей.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4. ДОЛЖНОСТИ, ПОДВЕРЖЕННЫЕ РИСКУ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038"/>
        <w:gridCol w:w="1700"/>
      </w:tblGrid>
      <w:tr>
        <w:trPr>
          <w:tblHeader/>
        </w:trP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Должность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Рисковые полномочия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Уровень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Руководитель управления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Принятие управленческих решений, организация финансово-хозяйственной деятельности, общая координация контрольных функций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Руководитель отдела инспекции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Организация деятельности отдела, принятие решений, контроль исполнения поручений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Руководитель отдела лицензирования и аттестации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Организует государственные функции в сфере лицензирования и аттестации, координирует процессы рассмотрения документов и принятия решений.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7C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9C0006"/>
                <w:sz w:val="21"/>
                <w:szCs w:val="21"/>
              </w:rPr>
              <w:t xml:space="preserve">ВЫСОКИЙ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Главный специалист, осуществляющий государственный архитектурно-строительный контроль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Проведение проверок, оформление актов и предписаний, документирование результатов контроля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8CBA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833C0B"/>
                <w:sz w:val="21"/>
                <w:szCs w:val="21"/>
              </w:rPr>
              <w:t xml:space="preserve">СРЕДНИЙ/ВЫСОКИЙ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Главный специалист, выполняющий финансовые/бухгалтерские функции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Планирование и исполнение бюджета, бухгалтерский учёт, учёт платежей и ТМЗ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  <w:tr>
        <w:tc>
          <w:tcPr>
            <w:tcW w:type="dxa" w:w="2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Главный специалист, работающий с государственными услугами/обращениями</w:t>
            </w:r>
          </w:p>
        </w:tc>
        <w:tc>
          <w:tcPr>
            <w:tcW w:type="dxa" w:w="503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Рассмотрение обращений, оказание государственных услуг и соблюдение процедурных сроков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EB9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7F6000"/>
                <w:sz w:val="21"/>
                <w:szCs w:val="21"/>
              </w:rPr>
              <w:t xml:space="preserve">СРЕДНИЙ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5. ОСНОВНЫЕ НАПРАВЛЕНИЯ РИСКОВ КОНТРОЛЯ В СТРОИТЕЛЬНОЙ СФЕРЕ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919"/>
        <w:gridCol w:w="3419"/>
      </w:tblGrid>
      <w:tr>
        <w:trPr>
          <w:tblHeader/>
        </w:trPr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Направление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Основной риск</w:t>
            </w:r>
          </w:p>
        </w:tc>
        <w:tc>
          <w:tcPr>
            <w:tcW w:type="dxa" w:w="34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Мера профилактики</w:t>
            </w:r>
          </w:p>
        </w:tc>
      </w:tr>
      <w:tr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Государственный архитектурно-строительный контроль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обеспечения объективности и обоснованности решений при организации проверок, оценке их результатов и оформлении контрольных документов.</w:t>
            </w:r>
          </w:p>
        </w:tc>
        <w:tc>
          <w:tcPr>
            <w:tcW w:type="dxa" w:w="34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Проведение контрольных мероприятий в установленном порядке, документальное обоснование решений и соблюдение профессиональных требований инспекторами.</w:t>
            </w:r>
          </w:p>
        </w:tc>
      </w:tr>
      <w:tr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Качество строительно-монтажных работ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соблюдения последовательного подхода при оценке соответствия строительно-монтажных работ проектным и нормативным требованиям.</w:t>
            </w:r>
          </w:p>
        </w:tc>
        <w:tc>
          <w:tcPr>
            <w:tcW w:type="dxa" w:w="34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Объективная оценка соответствия работ проектным и нормативным требованиям, закрепление результатов контроля соответствующими документами.</w:t>
            </w:r>
          </w:p>
        </w:tc>
      </w:tr>
      <w:tr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Заключения экспертизы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объективной оценки соответствия требованиям заключений экспертизы при их рассмотрении и использовании.</w:t>
            </w:r>
          </w:p>
        </w:tc>
        <w:tc>
          <w:tcPr>
            <w:tcW w:type="dxa" w:w="34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Использование заключений экспертизы в материалах контроля в порядке, установленном законодательством, недопущение выхода за пределы компетенции.</w:t>
            </w:r>
          </w:p>
        </w:tc>
      </w:tr>
      <w:tr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Лицензирование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Риск непоследовательного применения требований при рассмотрении документов, представленных в ходе процедур лицензирования, и возникновения замечаний процедурного характера.</w:t>
            </w:r>
          </w:p>
        </w:tc>
        <w:tc>
          <w:tcPr>
            <w:tcW w:type="dxa" w:w="34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Применение последовательных критериев при оценке лицензионных требований и документальное обоснование решений.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5. СИТУАЦИИ, ТРЕБУЮЩИЕ ВНИМАНИЯ, И МЕРЫ ПРОФИЛАКТИКИ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Нижеперечисленные ситуации не оцениваются как коррупционные правонарушения. Они указаны как возможные факторы риска, требующие совершенствования внутренних процедур и усиления профилактического контроля.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919"/>
        <w:gridCol w:w="3719"/>
      </w:tblGrid>
      <w:tr>
        <w:trPr>
          <w:tblHeader/>
        </w:trP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Направление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Ситуация, требующая внимания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        </w:rPr>
              <w:t xml:space="preserve">Мера профилактики/совершенствования</w:t>
            </w:r>
          </w:p>
        </w:tc>
      </w:tr>
      <w:t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Государственные закупки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постоянного контроля внесения изменений в план закупок, контроля исполнения договорных обязательств и последовательности процедур приёмки.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Документальное закрепление обоснованности изменений; периодический мониторинг исполнения договоров; внутренняя проверка приёмочных документов.</w:t>
            </w:r>
          </w:p>
        </w:tc>
      </w:tr>
      <w:t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Административные процедуры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соблюдения единого подхода при рассмотрении обращений граждан, личном приёме и оформлении ответов.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Постоянное разъяснение процедурных требований; контроль соблюдения сроков; внутренний анализ обоснованности ответов.</w:t>
            </w:r>
          </w:p>
        </w:tc>
      </w:tr>
      <w:t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Документооборот и ЭЦП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унификации порядка регистрации входящих и исходящих документов, электронного документооборота и применения ЭЦП.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Периодический внутренний контроль журналов регистрации и электронных систем; обеспечение личного использования ЭЦП.</w:t>
            </w:r>
          </w:p>
        </w:tc>
      </w:tr>
      <w:t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Конфликт интересов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постоянного внимания к вопросам своевременного выявления и урегулирования конфликта интересов.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Проведение разъяснительной работы; напоминание о порядке уведомления о конфликте интересов; внутренний контроль.</w:t>
            </w:r>
          </w:p>
        </w:tc>
      </w:tr>
      <w:tr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Кадровая и трудовая дисциплина</w:t>
            </w:r>
          </w:p>
        </w:tc>
        <w:tc>
          <w:tcPr>
            <w:tcW w:type="dxa" w:w="39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Необходимость постоянного контроля учёта рабочего времени и соблюдения трудовой дисциплины.</w:t>
            </w:r>
          </w:p>
        </w:tc>
        <w:tc>
          <w:tcPr>
            <w:tcW w:type="dxa" w:w="3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Унификация процедур учёта рабочего времени и усиление внутреннего контроля со стороны руководителей.</w:t>
            </w:r>
          </w:p>
        </w:tc>
      </w:tr>
    </w:tbl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6. ПРИОРИТЕТНЫЕ МЕРЫ ПО СНИЖЕНИЮ РИСКОВ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документальное обоснование решений сотрудников, осуществляющих функции государственного контроля и проверок.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Усилить внутренний контроль соблюдения процедурных сроков и требований на этапах проведения проверок, оформления актов и предписаний.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Систематизировать внутренний контроль на этапах формирования и изменения планов государственных закупок и приёмки исполнения договоров.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Проводить постоянный мониторинг соблюдения установленных сроков и процедур при рассмотрении административных процедур и обращений граждан.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постоянной основе проводить разъяснительную и профилактическую работу по выявлению и урегулированию конфликта интересов.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Унифицировать порядок ведения документооборота, номенклатурных дел, входящих и исходящих документов и использования электронной цифровой подписи.</w:t>
      </w:r>
    </w:p>
    <w:p>
      <w:pPr>
        <w:pStyle w:val="ListParagraph"/>
        <w:numPr>
          <w:ilvl w:val="0"/>
          <w:numId w:val="2"/>
        </w:numPr>
        <w:spacing w:after="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Проводить постоянный мониторинг исполнения плана по снижению коррупционных рисков на 2026 год.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7. ЗАКЛЮЧЕНИЕ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материалов внутреннего анализа, проведённого за II-III квартал 2026 года, основными направлениями концентрации коррупционных рисков в деятельности Управления определены процессы принятия управленческих решений, осуществления государственного архитектурно-строительного контроля, государственных закупок, планирования и освоения бюджетных средств, административных процедур, конфликта интересов, документооборота и использования ЭЦП.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Риски, указанные в картограмме, не означают совершения конкретного коррупционного правонарушения. Основная задача – заблаговременное устранение причин и условий, способных повлиять на риски, обеспечение прозрачности процедур и повышение эффективности механизмов внутреннего контроля.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F7F7F"/>
        <w:sz w:val="18"/>
        <w:szCs w:val="18"/>
      </w:rPr>
      <w:t xml:space="preserve">Управление государственного архитектурно-строительного контроля акимата Жамбылской области |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2026-10-01T07:07:11.482Z</dcterms:created>
  <dcterms:modified xsi:type="dcterms:W3CDTF">2026-10-01T07:07:11.500Z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