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040" w:after="320"/>
        <w:jc w:val="center"/>
      </w:pPr>
      <w:r>
        <w:rPr>
          <w:rFonts w:ascii="Arial" w:hAnsi="Arial" w:eastAsia="Arial"/>
          <w:b/>
          <w:color w:val="000000"/>
          <w:sz w:val="36"/>
        </w:rPr>
        <w:t>Краткое нетехническое резюме</w:t>
      </w:r>
    </w:p>
    <w:p>
      <w:pPr>
        <w:spacing w:after="280"/>
        <w:jc w:val="center"/>
      </w:pPr>
      <w:r>
        <w:rPr>
          <w:rFonts w:ascii="Arial" w:hAnsi="Arial" w:eastAsia="Arial"/>
          <w:b/>
          <w:color w:val="000000"/>
          <w:sz w:val="26"/>
        </w:rPr>
        <w:t>к проекту нормативов допустимых выбросов к Плану горных работ по добыче строительного песка на месторождении Арчалинское участок 2</w:t>
      </w:r>
    </w:p>
    <w:p>
      <w:pPr>
        <w:spacing w:before="360"/>
        <w:jc w:val="center"/>
      </w:pPr>
      <w:r>
        <w:rPr>
          <w:rFonts w:ascii="Arial" w:hAnsi="Arial" w:eastAsia="Arial"/>
          <w:b/>
          <w:color w:val="000000"/>
          <w:sz w:val="22"/>
        </w:rPr>
        <w:t xml:space="preserve">Инициатор  </w:t>
      </w:r>
      <w:r>
        <w:rPr>
          <w:rFonts w:ascii="Arial" w:hAnsi="Arial" w:eastAsia="Arial"/>
          <w:b w:val="0"/>
          <w:color w:val="000000"/>
          <w:sz w:val="22"/>
        </w:rPr>
        <w:t>ТОО «Аршалы аққұм»</w:t>
        <w:br/>
      </w:r>
      <w:r>
        <w:rPr>
          <w:rFonts w:ascii="Arial" w:hAnsi="Arial" w:eastAsia="Arial"/>
          <w:b/>
          <w:color w:val="000000"/>
          <w:sz w:val="22"/>
        </w:rPr>
        <w:t xml:space="preserve">Место реализации  </w:t>
      </w:r>
      <w:r>
        <w:rPr>
          <w:rFonts w:ascii="Arial" w:hAnsi="Arial" w:eastAsia="Arial"/>
          <w:b w:val="0"/>
          <w:color w:val="000000"/>
          <w:sz w:val="22"/>
        </w:rPr>
        <w:t>земли города Аркалык Костанайской области</w:t>
        <w:br/>
      </w:r>
      <w:r>
        <w:rPr>
          <w:rFonts w:ascii="Arial" w:hAnsi="Arial" w:eastAsia="Arial"/>
          <w:b/>
          <w:color w:val="000000"/>
          <w:sz w:val="22"/>
        </w:rPr>
        <w:t xml:space="preserve">Период работ  </w:t>
      </w:r>
      <w:r>
        <w:rPr>
          <w:rFonts w:ascii="Arial" w:hAnsi="Arial" w:eastAsia="Arial"/>
          <w:b w:val="0"/>
          <w:color w:val="000000"/>
          <w:sz w:val="22"/>
        </w:rPr>
        <w:t>2027–2036 годы</w:t>
        <w:br/>
      </w:r>
      <w:r>
        <w:rPr>
          <w:rFonts w:ascii="Arial" w:hAnsi="Arial" w:eastAsia="Arial"/>
          <w:b/>
          <w:color w:val="000000"/>
          <w:sz w:val="22"/>
        </w:rPr>
        <w:t xml:space="preserve">Категория объекта  </w:t>
      </w:r>
      <w:r>
        <w:rPr>
          <w:rFonts w:ascii="Arial" w:hAnsi="Arial" w:eastAsia="Arial"/>
          <w:b w:val="0"/>
          <w:color w:val="000000"/>
          <w:sz w:val="22"/>
        </w:rPr>
        <w:t>II категория</w:t>
      </w:r>
    </w:p>
    <w:p>
      <w:pPr>
        <w:spacing w:before="600" w:line="276" w:lineRule="auto"/>
        <w:jc w:val="both"/>
      </w:pPr>
      <w:r>
        <w:rPr>
          <w:rFonts w:ascii="Arial" w:hAnsi="Arial" w:eastAsia="Arial"/>
          <w:color w:val="000000"/>
          <w:sz w:val="22"/>
        </w:rPr>
        <w:t>Резюме подготовлено для информирования общественности о планируемой добыче строительного песка, ожидаемом воздействии на окружающую среду и мерах его ограничения. Основное воздействие связано с пылением при снятии почвы, вскрышных и добычных работах, движением техники, шумом и изменением земель. По расчетам проекта концентрации загрязняющих веществ на границе санитарно-защитной и жилой зон не превышают установленные нормативы при соблюдении предусмотренных мер.</w:t>
      </w:r>
    </w:p>
    <w:p>
      <w:r>
        <w:rPr>
          <w:rFonts w:ascii="Arial" w:hAnsi="Arial" w:eastAsia="Arial"/>
          <w:color w:val="000000"/>
          <w:sz w:val="22"/>
        </w:rPr>
        <w:br w:type="page"/>
      </w:r>
    </w:p>
    <w:p>
      <w:pPr>
        <w:pStyle w:val="Heading1"/>
        <w:keepNext/>
        <w:spacing w:before="240" w:after="120"/>
      </w:pPr>
      <w:r>
        <w:rPr>
          <w:rFonts w:ascii="Arial" w:hAnsi="Arial" w:eastAsia="Arial"/>
          <w:b/>
          <w:color w:val="000000"/>
          <w:sz w:val="28"/>
        </w:rPr>
        <w:t>1 Место осуществления намечаемой деятельности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Месторождение Арчалинское участок 2 расположено на землях города Аркалык Костанайской области. Площадь участка добычи составляет 136,6417 га. Проектный карьер займет 27,84 га, его средняя глубина составит 10 м. Склад снятого почвенно-растительного слоя площадью 1,6008 га будет расположен вдоль северной границы лицензионной территории.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Ближайшие населенные пункты: село Коктау — 17 км к юго-востоку, село Мирное — 20 км к северу, село Ангарское — 27 км к юго-востоку, село Тасты — 28 км к северо-западу, село Ашутасты — 29 км к юго-востоку и город Аркалык — 37 км к юго-востоку.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Ближайшие поверхностные водные объекты — река Аршалы примерно в 520 м к северо-западу и река Жосалысай примерно в 1200 м к юго-востоку. По сведениям Тобол-Торгайской бассейновой водной инспекции от 26 июня 2026 года, в границах участка поверхностные водные объекты, водоохранные зоны и полосы отсутствуют.</w:t>
      </w:r>
    </w:p>
    <w:p>
      <w:pPr>
        <w:spacing w:before="100"/>
        <w:jc w:val="center"/>
      </w:pPr>
      <w:r>
        <w:rPr>
          <w:rFonts w:ascii="Arial" w:hAnsi="Arial" w:eastAsia="Arial"/>
          <w:color w:val="000000"/>
          <w:sz w:val="22"/>
        </w:rPr>
        <w:drawing>
          <wp:inline xmlns:a="http://schemas.openxmlformats.org/drawingml/2006/main" xmlns:pic="http://schemas.openxmlformats.org/drawingml/2006/picture">
            <wp:extent cx="4968000" cy="49948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5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9948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Arial" w:hAnsi="Arial" w:eastAsia="Arial"/>
          <w:i/>
          <w:color w:val="000000"/>
          <w:sz w:val="18"/>
        </w:rPr>
        <w:t>Рисунок 1  Обзорное положение месторождения относительно города Аркалык и ближайших населенных пунктов</w:t>
      </w:r>
    </w:p>
    <w:p>
      <w:pPr>
        <w:spacing w:before="100"/>
        <w:jc w:val="center"/>
      </w:pPr>
      <w:r>
        <w:rPr>
          <w:rFonts w:ascii="Arial" w:hAnsi="Arial" w:eastAsia="Arial"/>
          <w:color w:val="000000"/>
          <w:sz w:val="22"/>
        </w:rPr>
        <w:drawing>
          <wp:inline xmlns:a="http://schemas.openxmlformats.org/drawingml/2006/main" xmlns:pic="http://schemas.openxmlformats.org/drawingml/2006/picture">
            <wp:extent cx="5220000" cy="541091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Границы_участка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54109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Arial" w:hAnsi="Arial" w:eastAsia="Arial"/>
          <w:i/>
          <w:color w:val="000000"/>
          <w:sz w:val="18"/>
        </w:rPr>
        <w:t>Рисунок 2  Границы участка добычи по координатам, приведенным в проектных материалах</w:t>
      </w:r>
    </w:p>
    <w:p>
      <w:pPr>
        <w:pStyle w:val="Heading1"/>
        <w:keepNext/>
        <w:spacing w:before="240" w:after="120"/>
      </w:pPr>
      <w:r>
        <w:rPr>
          <w:rFonts w:ascii="Arial" w:hAnsi="Arial" w:eastAsia="Arial"/>
          <w:b/>
          <w:color w:val="000000"/>
          <w:sz w:val="28"/>
        </w:rPr>
        <w:t>2 Затрагиваемая территория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На участке добычи постоянное население и жилая застройка отсутствуют. Численность населения ближайших населенных пунктов в исходных материалах не приведена. Ближайшая жилая территория находится в селе Коктау на расстоянии 17 км, поэтому прямое воздействие производственных работ на места проживания людей не ожидается.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Производственная территория включает карьер, внутренний отвал вскрышных пород, склад почвенно-растительного слоя, технологические дороги и места работы горной техники. Захоронение отходов на участке не планируется. Вскрышные породы будут использованы для оградительного вала, подъездных дорог, заполнения выработанного пространства и последующей рекультивации.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Для объекта установлена санитарно-защитная зона 100 м. Расчетная область воздействия по пыли проходит более чем в 100 м от крайних источников. При этом расчетные концентрации на границе санитарно-защитной зоны и в жилой зоне ниже 1 предельно допустимой концентрации.</w:t>
      </w:r>
    </w:p>
    <w:p>
      <w:pPr>
        <w:pStyle w:val="Heading1"/>
        <w:keepNext/>
        <w:spacing w:before="240" w:after="120"/>
      </w:pPr>
      <w:r>
        <w:rPr>
          <w:rFonts w:ascii="Arial" w:hAnsi="Arial" w:eastAsia="Arial"/>
          <w:b/>
          <w:color w:val="000000"/>
          <w:sz w:val="28"/>
        </w:rPr>
        <w:t>3 Инициатор намечаемой деятельности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Инициатор: ТОО «Аршалы аққұм», БИН 251040017909. Юридический адрес: город Астана, район Сарыарка, улица Дәулеткерей, дом 35. Телефон: 8 701 111 0311. Электронная почта: akjar-culbaram@yandex.kz. Директор: Бисикенова Кулбарам Фазылжановна.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Разработчик проектной документации: ИП «NAZ», Акмолинская область, город Кокшетау, микрорайон Центральный, 50а/153. Телефон: 8 701 750 3822.</w:t>
      </w:r>
    </w:p>
    <w:p>
      <w:pPr>
        <w:pStyle w:val="Heading1"/>
        <w:keepNext/>
        <w:spacing w:before="240" w:after="120"/>
      </w:pPr>
      <w:r>
        <w:rPr>
          <w:rFonts w:ascii="Arial" w:hAnsi="Arial" w:eastAsia="Arial"/>
          <w:b/>
          <w:color w:val="000000"/>
          <w:sz w:val="28"/>
        </w:rPr>
        <w:t>4 Краткое описание намечаемой деятельности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Вид деятельности — открытая добыча осадочных пород для получения строительного песка. Работы рассчитаны на десять лет, с 2027 по 2036 год. Карьер будет работать сезонно с апреля по октябрь, 160 дней в году, в одну восьмичасовую смену при пятидневной рабочей неделе. Строительство капитальных объектов не предусматривается.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Годовая производительность составит 200 тыс. м³, или 358 тыс. тонн строительного песка. Ежегодно предусматривается снятие 5,568 тыс. м³ почвенно-растительного слоя и разработка 68,34 тыс. м³ вскрышных пород. Запасы строительного песка по состоянию на 1 января 2025 года составляют 25 457,3 тыс. м³.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Работы будут выполняться в следующей последовательности:</w:t>
      </w:r>
    </w:p>
    <w:p>
      <w:pPr>
        <w:spacing w:after="80" w:line="264" w:lineRule="auto"/>
        <w:ind w:left="283" w:hanging="283"/>
      </w:pPr>
      <w:r>
        <w:rPr>
          <w:rFonts w:ascii="Arial" w:hAnsi="Arial" w:eastAsia="Arial"/>
          <w:color w:val="000000"/>
          <w:sz w:val="22"/>
        </w:rPr>
        <w:t>1. снятие почвенно-растительного слоя и его отдельное складирование для рекультивации</w:t>
      </w:r>
    </w:p>
    <w:p>
      <w:pPr>
        <w:spacing w:after="80" w:line="264" w:lineRule="auto"/>
        <w:ind w:left="283" w:hanging="283"/>
      </w:pPr>
      <w:r>
        <w:rPr>
          <w:rFonts w:ascii="Arial" w:hAnsi="Arial" w:eastAsia="Arial"/>
          <w:color w:val="000000"/>
          <w:sz w:val="22"/>
        </w:rPr>
        <w:t>2. разработка вскрышных пород с размещением во внутреннем отвале и использованием части материала для дорог и оградительного вала</w:t>
      </w:r>
    </w:p>
    <w:p>
      <w:pPr>
        <w:spacing w:after="80" w:line="264" w:lineRule="auto"/>
        <w:ind w:left="283" w:hanging="283"/>
      </w:pPr>
      <w:r>
        <w:rPr>
          <w:rFonts w:ascii="Arial" w:hAnsi="Arial" w:eastAsia="Arial"/>
          <w:color w:val="000000"/>
          <w:sz w:val="22"/>
        </w:rPr>
        <w:t>3. экскавация строительного песка и погрузка в автотранспорт потребителей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Буровзрывные работы не требуются, поскольку полезная толща и вскрышные породы рыхлые. Основное оборудование: экскаватор, бульдозер, фронтальный погрузчик и автосамосвалы. Потребность в топливе для техники оценивается до 10 л/ч.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Питьевая вода будет привозной бутилированной. Указанный в исходных материалах расход на период эксплуатации — 24 м³. Для пылеподавления предусмотрено до 175 м³ технической воды в год: преимущественно атмосферная вода из карьерных зумпфов после отстаивания, а при необходимости — привозная вода. Сброс сточных вод в водные объекты не предусматривается. Для персонала устанавливается биотуалет, содержимое которого будет вывозиться ассенизационной машиной по договору.</w:t>
      </w:r>
    </w:p>
    <w:p>
      <w:pPr>
        <w:pStyle w:val="Heading1"/>
        <w:keepNext/>
        <w:spacing w:before="240" w:after="120"/>
      </w:pPr>
      <w:r>
        <w:rPr>
          <w:rFonts w:ascii="Arial" w:hAnsi="Arial" w:eastAsia="Arial"/>
          <w:b/>
          <w:color w:val="000000"/>
          <w:sz w:val="28"/>
        </w:rPr>
        <w:t>5 Варианты осуществления деятельности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Выбран открытый способ разработки без буровзрывных работ. Он соответствует неглубокому залеганию рыхлых пород, позволяет использовать обычную землеройную технику и исключает воздействие от взрывов. Перенос карьера на другую территорию не рассматривается как рациональный вариант, поскольку утвержденные запасы природно закреплены в пределах горного отвода.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Принятая схема предусматривает внутреннее размещение вскрышных пород в выработанном пространстве. Это уменьшает площадь дополнительного отвода земель и расстояние перевозки. Нулевой вариант, то есть отказ от добычи, исключил бы производственные выбросы, шум и нарушение земель, но не позволил бы освоить утвержденные запасы строительного песка.</w:t>
      </w:r>
    </w:p>
    <w:p>
      <w:pPr>
        <w:pStyle w:val="Heading1"/>
        <w:keepNext/>
        <w:spacing w:before="240" w:after="120"/>
      </w:pPr>
      <w:r>
        <w:rPr>
          <w:rFonts w:ascii="Arial" w:hAnsi="Arial" w:eastAsia="Arial"/>
          <w:b/>
          <w:color w:val="000000"/>
          <w:sz w:val="28"/>
        </w:rPr>
        <w:t>6 Основные воздействия на окружающую среду</w:t>
      </w:r>
    </w:p>
    <w:p>
      <w:pPr>
        <w:pStyle w:val="Heading2"/>
        <w:keepNext/>
        <w:spacing w:before="160" w:after="120"/>
      </w:pPr>
      <w:r>
        <w:rPr>
          <w:rFonts w:ascii="Arial" w:hAnsi="Arial" w:eastAsia="Arial"/>
          <w:b/>
          <w:color w:val="000000"/>
          <w:sz w:val="24"/>
        </w:rPr>
        <w:t>Воздух и здоровье людей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Главное воздействие на атмосферный воздух связано с пылью при снятии почвы, разработке и перемещении вскрышных пород, добыче и погрузке песка, пылением складов и дорог. Выхлопные газы образуются при работе техники. Расчеты рассеивания показывают, что на границе санитарно-защитной зоны и жилой территории максимальные концентрации по всем веществам составляют менее 1 ПДК. С учетом удаления жилой застройки существенное влияние на здоровье населения не прогнозируется.</w:t>
      </w:r>
    </w:p>
    <w:p>
      <w:pPr>
        <w:pStyle w:val="Heading2"/>
        <w:keepNext/>
        <w:spacing w:before="160" w:after="120"/>
      </w:pPr>
      <w:r>
        <w:rPr>
          <w:rFonts w:ascii="Arial" w:hAnsi="Arial" w:eastAsia="Arial"/>
          <w:b/>
          <w:color w:val="000000"/>
          <w:sz w:val="24"/>
        </w:rPr>
        <w:t>Земли и почвы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Добыча приведет к нарушению рельефа и почвенного покрова в пределах горного отвода. Перед началом работ плодородный слой снимается и хранится отдельно. Склад почвы будет озеленен или оставлен для естественного зарастания, чтобы уменьшить ветровую эрозию. После завершения добычи почва и вскрышные породы будут использованы для восстановления территории.</w:t>
      </w:r>
    </w:p>
    <w:p>
      <w:pPr>
        <w:pStyle w:val="Heading2"/>
        <w:keepNext/>
        <w:spacing w:before="160" w:after="120"/>
      </w:pPr>
      <w:r>
        <w:rPr>
          <w:rFonts w:ascii="Arial" w:hAnsi="Arial" w:eastAsia="Arial"/>
          <w:b/>
          <w:color w:val="000000"/>
          <w:sz w:val="24"/>
        </w:rPr>
        <w:t>Воды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Полезная толща не обводнена. Забор воды из рек и подземных источников не планируется, производственные и бытовые стоки в поверхностные или подземные воды не сбрасываются. При соблюдении условий эксплуатации существенное воздействие на водные ресурсы не ожидается.</w:t>
      </w:r>
    </w:p>
    <w:p>
      <w:pPr>
        <w:pStyle w:val="Heading2"/>
        <w:keepNext/>
        <w:spacing w:before="160" w:after="120"/>
      </w:pPr>
      <w:r>
        <w:rPr>
          <w:rFonts w:ascii="Arial" w:hAnsi="Arial" w:eastAsia="Arial"/>
          <w:b/>
          <w:color w:val="000000"/>
          <w:sz w:val="24"/>
        </w:rPr>
        <w:t>Растительный и животный мир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На участке нет древесных и кустарниковых насаждений, поэтому вырубка не требуется. Использование объектов животного мира не предусматривается. По исходным материалам редкие виды и известные миграционные пути на участке не выявлены. Возможное беспокойство животных связано с шумом и движением техники и ограничено временем работы карьера.</w:t>
      </w:r>
    </w:p>
    <w:p>
      <w:pPr>
        <w:pStyle w:val="Heading2"/>
        <w:keepNext/>
        <w:spacing w:before="160" w:after="120"/>
      </w:pPr>
      <w:r>
        <w:rPr>
          <w:rFonts w:ascii="Arial" w:hAnsi="Arial" w:eastAsia="Arial"/>
          <w:b/>
          <w:color w:val="000000"/>
          <w:sz w:val="24"/>
        </w:rPr>
        <w:t>Шум ландшафт и культурное наследие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Шум и вибрация будут создаваться горной и транспортной техникой. Воздействие носит сезонный и локальный характер. Основное изменение ландшафта связано с формированием карьерной выемки и внутреннего отвала. Сведения о расположенных в границах участка объектах историко-культурного наследия в исходных материалах отсутствуют.</w:t>
      </w:r>
    </w:p>
    <w:p>
      <w:pPr>
        <w:pStyle w:val="Heading2"/>
        <w:keepNext/>
        <w:spacing w:before="160" w:after="120"/>
      </w:pPr>
      <w:r>
        <w:rPr>
          <w:rFonts w:ascii="Arial" w:hAnsi="Arial" w:eastAsia="Arial"/>
          <w:b/>
          <w:color w:val="000000"/>
          <w:sz w:val="24"/>
        </w:rPr>
        <w:t>Климат и взаимодействие воздействий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Проект не предусматривает крупных стационарных установок сжигания топлива. Выбросы парниковых газов отдельно не нормировались; они связаны главным образом с работой дизельной техники. Совместное действие пыли, выхлопных газов и шума остается локальным и наиболее выражено непосредственно в рабочей зоне.</w:t>
      </w:r>
    </w:p>
    <w:p>
      <w:pPr>
        <w:pStyle w:val="Heading1"/>
        <w:keepNext/>
        <w:spacing w:before="240" w:after="120"/>
      </w:pPr>
      <w:r>
        <w:rPr>
          <w:rFonts w:ascii="Arial" w:hAnsi="Arial" w:eastAsia="Arial"/>
          <w:b/>
          <w:color w:val="000000"/>
          <w:sz w:val="28"/>
        </w:rPr>
        <w:t>7 Предельные показатели эмиссий и отходов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Проектом учтены пять неорганизованных стационарных источников. Суммарный норматив выбросов от них на 2027–2036 годы составляет 3,6352049488 т/год. Дополнительно расчетные выбросы передвижной техники составляют 1,8740016 т/год и не включаются в нормативы для стационарных источников.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Годовые выбросы от стационарных источников включают:</w:t>
      </w:r>
    </w:p>
    <w:p>
      <w:pPr>
        <w:pStyle w:val="ListBullet"/>
        <w:spacing w:after="80" w:line="264" w:lineRule="auto"/>
      </w:pPr>
      <w:r>
        <w:rPr>
          <w:rFonts w:ascii="Arial" w:hAnsi="Arial" w:eastAsia="Arial"/>
          <w:color w:val="000000"/>
          <w:sz w:val="22"/>
        </w:rPr>
        <w:t>неорганическую пыль с содержанием диоксида кремния 70–20 процентов — 3,555635 т/год</w:t>
      </w:r>
    </w:p>
    <w:p>
      <w:pPr>
        <w:pStyle w:val="ListBullet"/>
        <w:spacing w:after="80" w:line="264" w:lineRule="auto"/>
      </w:pPr>
      <w:r>
        <w:rPr>
          <w:rFonts w:ascii="Arial" w:hAnsi="Arial" w:eastAsia="Arial"/>
          <w:color w:val="000000"/>
          <w:sz w:val="22"/>
        </w:rPr>
        <w:t>диоксид азота — 0,0274176 т/год</w:t>
      </w:r>
    </w:p>
    <w:p>
      <w:pPr>
        <w:pStyle w:val="ListBullet"/>
        <w:spacing w:after="80" w:line="264" w:lineRule="auto"/>
      </w:pPr>
      <w:r>
        <w:rPr>
          <w:rFonts w:ascii="Arial" w:hAnsi="Arial" w:eastAsia="Arial"/>
          <w:color w:val="000000"/>
          <w:sz w:val="22"/>
        </w:rPr>
        <w:t>оксид азота — 0,0044553 т/год</w:t>
      </w:r>
    </w:p>
    <w:p>
      <w:pPr>
        <w:pStyle w:val="ListBullet"/>
        <w:spacing w:after="80" w:line="264" w:lineRule="auto"/>
      </w:pPr>
      <w:r>
        <w:rPr>
          <w:rFonts w:ascii="Arial" w:hAnsi="Arial" w:eastAsia="Arial"/>
          <w:color w:val="000000"/>
          <w:sz w:val="22"/>
        </w:rPr>
        <w:t>оксид углерода — 0,027846 т/год</w:t>
      </w:r>
    </w:p>
    <w:p>
      <w:pPr>
        <w:pStyle w:val="ListBullet"/>
        <w:spacing w:after="80" w:line="264" w:lineRule="auto"/>
      </w:pPr>
      <w:r>
        <w:rPr>
          <w:rFonts w:ascii="Arial" w:hAnsi="Arial" w:eastAsia="Arial"/>
          <w:color w:val="000000"/>
          <w:sz w:val="22"/>
        </w:rPr>
        <w:t>диоксид серы — 0,01071 т/год</w:t>
      </w:r>
    </w:p>
    <w:p>
      <w:pPr>
        <w:pStyle w:val="ListBullet"/>
        <w:spacing w:after="80" w:line="264" w:lineRule="auto"/>
      </w:pPr>
      <w:r>
        <w:rPr>
          <w:rFonts w:ascii="Arial" w:hAnsi="Arial" w:eastAsia="Arial"/>
          <w:color w:val="000000"/>
          <w:sz w:val="22"/>
        </w:rPr>
        <w:t>предельные углеводороды — 0,007609997 т/год</w:t>
      </w:r>
    </w:p>
    <w:p>
      <w:pPr>
        <w:pStyle w:val="ListBullet"/>
        <w:spacing w:after="80" w:line="264" w:lineRule="auto"/>
      </w:pPr>
      <w:r>
        <w:rPr>
          <w:rFonts w:ascii="Arial" w:hAnsi="Arial" w:eastAsia="Arial"/>
          <w:color w:val="000000"/>
          <w:sz w:val="22"/>
        </w:rPr>
        <w:t>сажу — 0,001224003 т/год</w:t>
      </w:r>
    </w:p>
    <w:p>
      <w:pPr>
        <w:pStyle w:val="ListBullet"/>
        <w:spacing w:after="80" w:line="264" w:lineRule="auto"/>
      </w:pPr>
      <w:r>
        <w:rPr>
          <w:rFonts w:ascii="Arial" w:hAnsi="Arial" w:eastAsia="Arial"/>
          <w:color w:val="000000"/>
          <w:sz w:val="22"/>
        </w:rPr>
        <w:t>формальдегид — 0,000306006 т/год</w:t>
      </w:r>
    </w:p>
    <w:p>
      <w:pPr>
        <w:pStyle w:val="ListBullet"/>
        <w:spacing w:after="80" w:line="264" w:lineRule="auto"/>
      </w:pPr>
      <w:r>
        <w:rPr>
          <w:rFonts w:ascii="Arial" w:hAnsi="Arial" w:eastAsia="Arial"/>
          <w:color w:val="000000"/>
          <w:sz w:val="22"/>
        </w:rPr>
        <w:t>сероводород — 0,000001 т/год</w:t>
      </w:r>
    </w:p>
    <w:p>
      <w:pPr>
        <w:pStyle w:val="ListBullet"/>
        <w:spacing w:after="80" w:line="264" w:lineRule="auto"/>
      </w:pPr>
      <w:r>
        <w:rPr>
          <w:rFonts w:ascii="Arial" w:hAnsi="Arial" w:eastAsia="Arial"/>
          <w:color w:val="000000"/>
          <w:sz w:val="22"/>
        </w:rPr>
        <w:t>бензапирен — 0,0000000428 т/год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Залповые выбросы и сбросы загрязняющих веществ не предусматриваются. Источники ионизирующего излучения отсутствуют.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Планируемые отходы: твердые бытовые отходы — 1,125 т/год; вскрышная порода — 117 544,8 т/год. Твердые бытовые отходы будут собираться раздельно в контейнерах и передаваться специализированной организации. Вскрышная порода будет использоваться на самом объекте для дорог, оградительного вала, внутреннего отвала и рекультивации. Захоронение отходов в рамках проекта не планируется.</w:t>
      </w:r>
    </w:p>
    <w:p>
      <w:pPr>
        <w:pStyle w:val="Heading1"/>
        <w:keepNext/>
        <w:spacing w:before="240" w:after="120"/>
      </w:pPr>
      <w:r>
        <w:rPr>
          <w:rFonts w:ascii="Arial" w:hAnsi="Arial" w:eastAsia="Arial"/>
          <w:b/>
          <w:color w:val="000000"/>
          <w:sz w:val="28"/>
        </w:rPr>
        <w:t>8 Аварийные риски и действия при аварии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Основные потенциальные аварийные ситуации — пожар, разлив топлива, неисправность техники и внештатная остановка оборудования. Буровзрывные работы и технологические процессы с предусмотренными залповыми выбросами отсутствуют. Район не относится к сейсмоактивным.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Для предупреждения аварий предусматриваются техническое обслуживание техники, соблюдение противопожарных требований, движение по установленным маршрутам, контроль мест заправки и наличие средств локализации разливов. Действия персонала и порядок ликвидации последствий устанавливаются планом ликвидации аварий.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Если авария может привести к нарушению экологических нормативов, оператор должен безотлагательно, но не позднее двух часов после обнаружения, уведомить уполномоченный орган, принять меры по прекращению загрязнения и при необходимости частично или полностью остановить работу источника либо объекта. При угрозе жизни и здоровью людей проводится оповещение и применяются меры гражданской защиты.</w:t>
      </w:r>
    </w:p>
    <w:p>
      <w:pPr>
        <w:pStyle w:val="Heading1"/>
        <w:keepNext/>
        <w:spacing w:before="240" w:after="120"/>
      </w:pPr>
      <w:r>
        <w:rPr>
          <w:rFonts w:ascii="Arial" w:hAnsi="Arial" w:eastAsia="Arial"/>
          <w:b/>
          <w:color w:val="000000"/>
          <w:sz w:val="28"/>
        </w:rPr>
        <w:t>9 Меры по снижению воздействия и восстановлению территории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Для ограничения воздействия предусмотрены следующие меры:</w:t>
      </w:r>
    </w:p>
    <w:p>
      <w:pPr>
        <w:pStyle w:val="ListBullet"/>
        <w:spacing w:after="80" w:line="264" w:lineRule="auto"/>
      </w:pPr>
      <w:r>
        <w:rPr>
          <w:rFonts w:ascii="Arial" w:hAnsi="Arial" w:eastAsia="Arial"/>
          <w:color w:val="000000"/>
          <w:sz w:val="22"/>
        </w:rPr>
        <w:t>орошение технологических дорог, склада почвы, отвала и мест перегрузки в теплый период</w:t>
      </w:r>
    </w:p>
    <w:p>
      <w:pPr>
        <w:pStyle w:val="ListBullet"/>
        <w:spacing w:after="80" w:line="264" w:lineRule="auto"/>
      </w:pPr>
      <w:r>
        <w:rPr>
          <w:rFonts w:ascii="Arial" w:hAnsi="Arial" w:eastAsia="Arial"/>
          <w:color w:val="000000"/>
          <w:sz w:val="22"/>
        </w:rPr>
        <w:t>снижение высоты пересыпки материала и соблюдение установленных режимов работы техники</w:t>
      </w:r>
    </w:p>
    <w:p>
      <w:pPr>
        <w:pStyle w:val="ListBullet"/>
        <w:spacing w:after="80" w:line="264" w:lineRule="auto"/>
      </w:pPr>
      <w:r>
        <w:rPr>
          <w:rFonts w:ascii="Arial" w:hAnsi="Arial" w:eastAsia="Arial"/>
          <w:color w:val="000000"/>
          <w:sz w:val="22"/>
        </w:rPr>
        <w:t>регулярная уборка территории и запрет долговременного складирования бытовых отходов</w:t>
      </w:r>
    </w:p>
    <w:p>
      <w:pPr>
        <w:pStyle w:val="ListBullet"/>
        <w:spacing w:after="80" w:line="264" w:lineRule="auto"/>
      </w:pPr>
      <w:r>
        <w:rPr>
          <w:rFonts w:ascii="Arial" w:hAnsi="Arial" w:eastAsia="Arial"/>
          <w:color w:val="000000"/>
          <w:sz w:val="22"/>
        </w:rPr>
        <w:t>раздельный сбор отходов и их своевременная передача специализированным организациям</w:t>
      </w:r>
    </w:p>
    <w:p>
      <w:pPr>
        <w:pStyle w:val="ListBullet"/>
        <w:spacing w:after="80" w:line="264" w:lineRule="auto"/>
      </w:pPr>
      <w:r>
        <w:rPr>
          <w:rFonts w:ascii="Arial" w:hAnsi="Arial" w:eastAsia="Arial"/>
          <w:color w:val="000000"/>
          <w:sz w:val="22"/>
        </w:rPr>
        <w:t>движение транспорта только по отведенным дорогам и ограничение скорости</w:t>
      </w:r>
    </w:p>
    <w:p>
      <w:pPr>
        <w:pStyle w:val="ListBullet"/>
        <w:spacing w:after="80" w:line="264" w:lineRule="auto"/>
      </w:pPr>
      <w:r>
        <w:rPr>
          <w:rFonts w:ascii="Arial" w:hAnsi="Arial" w:eastAsia="Arial"/>
          <w:color w:val="000000"/>
          <w:sz w:val="22"/>
        </w:rPr>
        <w:t>хранение снятого почвенно-растительного слоя отдельно и защита склада от ветровой эрозии</w:t>
      </w:r>
    </w:p>
    <w:p>
      <w:pPr>
        <w:pStyle w:val="ListBullet"/>
        <w:spacing w:after="80" w:line="264" w:lineRule="auto"/>
      </w:pPr>
      <w:r>
        <w:rPr>
          <w:rFonts w:ascii="Arial" w:hAnsi="Arial" w:eastAsia="Arial"/>
          <w:color w:val="000000"/>
          <w:sz w:val="22"/>
        </w:rPr>
        <w:t>запрет охоты, разорения гнезд, кормления и приманивания диких животных</w:t>
      </w:r>
    </w:p>
    <w:p>
      <w:pPr>
        <w:pStyle w:val="ListBullet"/>
        <w:spacing w:after="80" w:line="264" w:lineRule="auto"/>
      </w:pPr>
      <w:r>
        <w:rPr>
          <w:rFonts w:ascii="Arial" w:hAnsi="Arial" w:eastAsia="Arial"/>
          <w:color w:val="000000"/>
          <w:sz w:val="22"/>
        </w:rPr>
        <w:t>контроль технического состояния машин и соблюдения требований пожарной безопасности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Контроль выбросов будет проводиться один раз в год. Воздух на границе санитарно-защитной зоны планируется проверять в четырех направлениях — север, юг, запад и восток — в теплый период. Также предусмотрены замеры шума и вибрации в рабочей зоне и на границе области воздействия. Контроль выполняет специализированная организация.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После завершения добычи предусматривается техническая и биологическая рекультивация. Вскрышные породы размещаются в выработанном пространстве, поверхность планируется, после чего наносится сохраненный почвенно-растительный слой. Эти меры уменьшают остаточное изменение рельефа и создают условия для восстановления растительности.</w:t>
      </w:r>
    </w:p>
    <w:p>
      <w:pPr>
        <w:keepNext w:val="0"/>
        <w:spacing w:after="140" w:line="276" w:lineRule="auto"/>
      </w:pPr>
      <w:r>
        <w:rPr>
          <w:rFonts w:ascii="Arial" w:hAnsi="Arial" w:eastAsia="Arial"/>
          <w:color w:val="000000"/>
          <w:sz w:val="22"/>
        </w:rPr>
        <w:t>Основным неизбежным длительным воздействием является изменение рельефа из-за извлечения песка. Оно обусловлено самой целью проекта и местоположением утвержденных запасов. Рекультивация предусмотрена для восстановления устойчивого состояния нарушенных земель. Отдельная компенсация потерь биоразнообразия не планируется, поскольку существенная потеря биоразнообразия по исходным материалам не прогнозируется.</w:t>
      </w:r>
    </w:p>
    <w:p>
      <w:pPr>
        <w:pStyle w:val="Heading1"/>
        <w:keepNext/>
        <w:spacing w:before="240" w:after="120"/>
      </w:pPr>
      <w:r>
        <w:rPr>
          <w:rFonts w:ascii="Arial" w:hAnsi="Arial" w:eastAsia="Arial"/>
          <w:b/>
          <w:color w:val="000000"/>
          <w:sz w:val="28"/>
        </w:rPr>
        <w:t>10 Источники информации</w:t>
      </w:r>
    </w:p>
    <w:p>
      <w:pPr>
        <w:spacing w:after="80" w:line="264" w:lineRule="auto"/>
        <w:ind w:left="283" w:hanging="283"/>
      </w:pPr>
      <w:r>
        <w:rPr>
          <w:rFonts w:ascii="Arial" w:hAnsi="Arial" w:eastAsia="Arial"/>
          <w:color w:val="000000"/>
          <w:sz w:val="22"/>
        </w:rPr>
        <w:t>1. Проект нормативов допустимых выбросов к Плану горных работ по добыче строительного песка месторождения Арчалинское участок 2, 2026 год</w:t>
      </w:r>
    </w:p>
    <w:p>
      <w:pPr>
        <w:spacing w:after="80" w:line="264" w:lineRule="auto"/>
        <w:ind w:left="283" w:hanging="283"/>
      </w:pPr>
      <w:r>
        <w:rPr>
          <w:rFonts w:ascii="Arial" w:hAnsi="Arial" w:eastAsia="Arial"/>
          <w:color w:val="000000"/>
          <w:sz w:val="22"/>
        </w:rPr>
        <w:t>2. Заявление о намечаемой деятельности по месторождению Арчалинское участок 2</w:t>
      </w:r>
    </w:p>
    <w:p>
      <w:pPr>
        <w:spacing w:after="80" w:line="264" w:lineRule="auto"/>
        <w:ind w:left="283" w:hanging="283"/>
      </w:pPr>
      <w:r>
        <w:rPr>
          <w:rFonts w:ascii="Arial" w:hAnsi="Arial" w:eastAsia="Arial"/>
          <w:color w:val="000000"/>
          <w:sz w:val="22"/>
        </w:rPr>
        <w:t>3. Заключение об определении сферы охвата оценки воздействия № KZ22VWF00639768 от 10 сентября 2026 года, сведения о котором приведены в проекте НДВ</w:t>
      </w:r>
    </w:p>
    <w:p>
      <w:pPr>
        <w:spacing w:after="80" w:line="264" w:lineRule="auto"/>
        <w:ind w:left="283" w:hanging="283"/>
      </w:pPr>
      <w:r>
        <w:rPr>
          <w:rFonts w:ascii="Arial" w:hAnsi="Arial" w:eastAsia="Arial"/>
          <w:color w:val="000000"/>
          <w:sz w:val="22"/>
        </w:rPr>
        <w:t>4. План горных работ и календарный план разработки месторождения на 2027–2036 годы</w:t>
      </w:r>
    </w:p>
    <w:p>
      <w:pPr>
        <w:spacing w:after="80" w:line="264" w:lineRule="auto"/>
        <w:ind w:left="283" w:hanging="283"/>
      </w:pPr>
      <w:r>
        <w:rPr>
          <w:rFonts w:ascii="Arial" w:hAnsi="Arial" w:eastAsia="Arial"/>
          <w:color w:val="000000"/>
          <w:sz w:val="22"/>
        </w:rPr>
        <w:t>5. Материалы инвентаризации источников выбросов и расчеты рассеивания, выполненные в программе ЭРА 3.0 по модели МРК 2014</w:t>
      </w:r>
    </w:p>
    <w:p>
      <w:pPr>
        <w:spacing w:after="80" w:line="264" w:lineRule="auto"/>
        <w:ind w:left="283" w:hanging="283"/>
      </w:pPr>
      <w:r>
        <w:rPr>
          <w:rFonts w:ascii="Arial" w:hAnsi="Arial" w:eastAsia="Arial"/>
          <w:color w:val="000000"/>
          <w:sz w:val="22"/>
        </w:rPr>
        <w:t>6. Экологический кодекс Республики Казахстан от 2 января 2021 года № 400-VI ЗРК</w:t>
      </w:r>
    </w:p>
    <w:p>
      <w:pPr>
        <w:spacing w:after="80" w:line="264" w:lineRule="auto"/>
        <w:ind w:left="283" w:hanging="283"/>
      </w:pPr>
      <w:r>
        <w:rPr>
          <w:rFonts w:ascii="Arial" w:hAnsi="Arial" w:eastAsia="Arial"/>
          <w:color w:val="000000"/>
          <w:sz w:val="22"/>
        </w:rPr>
        <w:t>7. Методика определения нормативов эмиссий в окружающую среду, утвержденная приказом от 10 марта 2021 года № 63</w:t>
      </w:r>
    </w:p>
    <w:p>
      <w:pPr>
        <w:spacing w:after="80" w:line="264" w:lineRule="auto"/>
        <w:ind w:left="283" w:hanging="283"/>
      </w:pPr>
      <w:r>
        <w:rPr>
          <w:rFonts w:ascii="Arial" w:hAnsi="Arial" w:eastAsia="Arial"/>
          <w:color w:val="000000"/>
          <w:sz w:val="22"/>
        </w:rPr>
        <w:t>8. Методика расчета выбросов загрязняющих веществ от предприятий по производству строительных материалов, приложение 11 к приказу от 18 апреля 2008 года № 100-п</w:t>
      </w:r>
    </w:p>
    <w:p>
      <w:pPr>
        <w:spacing w:after="80" w:line="264" w:lineRule="auto"/>
        <w:ind w:left="283" w:hanging="283"/>
      </w:pPr>
      <w:r>
        <w:rPr>
          <w:rFonts w:ascii="Arial" w:hAnsi="Arial" w:eastAsia="Arial"/>
          <w:color w:val="000000"/>
          <w:sz w:val="22"/>
        </w:rPr>
        <w:t>9. Санитарные правила по санитарно-защитным зонам, утвержденные приказом от 11 января 2022 года № ҚР ДСМ-2</w:t>
      </w:r>
    </w:p>
    <w:p>
      <w:pPr>
        <w:spacing w:after="80" w:line="264" w:lineRule="auto"/>
        <w:ind w:left="283" w:hanging="283"/>
      </w:pPr>
      <w:r>
        <w:rPr>
          <w:rFonts w:ascii="Arial" w:hAnsi="Arial" w:eastAsia="Arial"/>
          <w:color w:val="000000"/>
          <w:sz w:val="22"/>
        </w:rPr>
        <w:t>10. Информация РГУ «Тобол-Торгайская бассейновая инспекция по регулированию, охране и использованию водных ресурсов» от 26 июня 2026 года № ЗТ-2026-02741414</w:t>
      </w:r>
    </w:p>
    <w:sectPr w:rsidR="00FC693F" w:rsidRPr="0006063C" w:rsidSect="00034616">
      <w:footerReference w:type="default" r:id="rId9"/>
      <w:pgSz w:w="12240" w:h="15840"/>
      <w:pgMar w:top="1134" w:right="1134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000000"/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e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Краткое нетехническое резюме Арчалинское участок 2</dc:title>
  <dc:subject>Намечаемая добыча строительного песка и нормативы допустимых выбросов</dc:subject>
  <dc:creator>ТОО «Аршалы аққұм»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