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68171B" w14:textId="044B1724" w:rsidR="00EB0FFB" w:rsidRPr="00366F16" w:rsidRDefault="00EB0FFB" w:rsidP="00AD7BEE">
      <w:pPr>
        <w:pStyle w:val="a5"/>
        <w:jc w:val="center"/>
        <w:rPr>
          <w:rFonts w:ascii="Times New Roman" w:hAnsi="Times New Roman"/>
          <w:b/>
          <w:color w:val="000000"/>
          <w:sz w:val="24"/>
          <w:szCs w:val="24"/>
          <w:lang w:val="kk-KZ"/>
        </w:rPr>
      </w:pPr>
      <w:bookmarkStart w:id="0" w:name="_GoBack"/>
      <w:bookmarkEnd w:id="0"/>
    </w:p>
    <w:p w14:paraId="6D53416E" w14:textId="77777777" w:rsidR="008038EA" w:rsidRPr="00366F16" w:rsidRDefault="004F0F93" w:rsidP="008038EA">
      <w:pPr>
        <w:pStyle w:val="a5"/>
        <w:jc w:val="center"/>
        <w:rPr>
          <w:rFonts w:ascii="Times New Roman" w:hAnsi="Times New Roman"/>
          <w:b/>
          <w:color w:val="000000"/>
          <w:sz w:val="24"/>
          <w:szCs w:val="24"/>
          <w:lang w:val="kk-KZ"/>
        </w:rPr>
      </w:pPr>
      <w:r w:rsidRPr="00366F16">
        <w:rPr>
          <w:rFonts w:ascii="Times New Roman" w:hAnsi="Times New Roman"/>
          <w:b/>
          <w:color w:val="000000"/>
          <w:sz w:val="24"/>
          <w:szCs w:val="24"/>
          <w:lang w:val="kk-KZ"/>
        </w:rPr>
        <w:t xml:space="preserve">Зейнетақы жинақтары – өз бақылауыңызда: </w:t>
      </w:r>
    </w:p>
    <w:p w14:paraId="681672AA" w14:textId="2DBE01AE" w:rsidR="004F0F93" w:rsidRPr="00366F16" w:rsidRDefault="004F0F93" w:rsidP="008038EA">
      <w:pPr>
        <w:pStyle w:val="a5"/>
        <w:jc w:val="center"/>
        <w:rPr>
          <w:rFonts w:ascii="Times New Roman" w:hAnsi="Times New Roman"/>
          <w:b/>
          <w:color w:val="000000"/>
          <w:sz w:val="24"/>
          <w:szCs w:val="24"/>
          <w:lang w:val="kk-KZ"/>
        </w:rPr>
      </w:pPr>
      <w:r w:rsidRPr="00366F16">
        <w:rPr>
          <w:rFonts w:ascii="Times New Roman" w:hAnsi="Times New Roman"/>
          <w:b/>
          <w:color w:val="000000"/>
          <w:sz w:val="24"/>
          <w:szCs w:val="24"/>
          <w:lang w:val="kk-KZ"/>
        </w:rPr>
        <w:t>БЖЗҚ салымшыларының инвестициялық мүмкіндіктері кеңейтілуде</w:t>
      </w:r>
    </w:p>
    <w:p w14:paraId="4039DFEA" w14:textId="77777777" w:rsidR="004F0F93" w:rsidRPr="00366F16" w:rsidRDefault="004F0F93" w:rsidP="004F0F93">
      <w:pPr>
        <w:pStyle w:val="a5"/>
        <w:jc w:val="both"/>
        <w:rPr>
          <w:rFonts w:ascii="Times New Roman" w:hAnsi="Times New Roman"/>
          <w:color w:val="000000"/>
          <w:sz w:val="24"/>
          <w:szCs w:val="24"/>
          <w:lang w:val="kk-KZ"/>
        </w:rPr>
      </w:pPr>
    </w:p>
    <w:p w14:paraId="074FED07" w14:textId="0A01D5FC"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2026 жылғы 7 қыркүйектен бастап Қазақстан Республикасы Әлеуметтік кодексіне</w:t>
      </w:r>
      <w:r w:rsidR="00856D8E" w:rsidRPr="00366F16">
        <w:rPr>
          <w:rStyle w:val="af6"/>
          <w:rFonts w:ascii="Times New Roman" w:eastAsia="Times New Roman" w:hAnsi="Times New Roman"/>
          <w:color w:val="000000" w:themeColor="text1"/>
          <w:sz w:val="24"/>
          <w:szCs w:val="24"/>
          <w:lang w:eastAsia="ru-RU"/>
        </w:rPr>
        <w:footnoteReference w:id="1"/>
      </w:r>
      <w:r w:rsidR="00856D8E"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енгізілген өзгерістер күшіне енеді. Бұл өзгерістер БЖЗҚ салымшыларының зейнетақы жинақтарын басқару стратегиялары мен инвестициялық портфельдерді өз бетінше таңдау құқықтарын едәуір кеңейтеді. Енді салымшылар өздерінің зейнетақы жинақтарының 100%-ына дейін инвестициялық портфельді басқарушылардың (ИПБ) сенімгерлік басқаруына бере алады.</w:t>
      </w:r>
    </w:p>
    <w:p w14:paraId="0B0FF476" w14:textId="433F7B0B"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Жаңашылдықтардың мақсаты – ең қолайлы инвестициялық стратегиясы мен табыстылық тарихы бар ИПБ-ны таңдау арқылы жинақ</w:t>
      </w:r>
      <w:r w:rsidR="00856D8E" w:rsidRPr="00366F16">
        <w:rPr>
          <w:rFonts w:ascii="Times New Roman" w:hAnsi="Times New Roman"/>
          <w:color w:val="000000"/>
          <w:sz w:val="24"/>
          <w:szCs w:val="24"/>
          <w:lang w:val="kk-KZ"/>
        </w:rPr>
        <w:t>тарды басқарудың ұзақ мерзімді кірістілігін</w:t>
      </w:r>
      <w:r w:rsidRPr="00366F16">
        <w:rPr>
          <w:rFonts w:ascii="Times New Roman" w:hAnsi="Times New Roman"/>
          <w:color w:val="000000"/>
          <w:sz w:val="24"/>
          <w:szCs w:val="24"/>
          <w:lang w:val="kk-KZ"/>
        </w:rPr>
        <w:t xml:space="preserve"> арттыру.</w:t>
      </w:r>
    </w:p>
    <w:p w14:paraId="77FE8ACC"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Міндетті зейнетақы жарналарының (МЗЖ) және ерікті зейнетақы жарналарының (ЕЗЖ) салымшылары, сондай-ақ пайдасына міндетті кәсіптік зейнетақы жарналары (МКЗЖ) мен ЕЗЖ аударылатын жеке тұлғалар сенімгерлік басқаруға берілетін зейнетақы жинақтарының көлемін өз бетінше айқындауға, бір немесе бірнеше ИПБ-ны, сондай-ақ өздерінің қаржылық мақсаттарына сәйкес бір немесе бірнеше инвестициялық портфельді таңдауға мүмкіндік алады.</w:t>
      </w:r>
    </w:p>
    <w:p w14:paraId="7B1FA2ED" w14:textId="77777777" w:rsidR="004F0F93" w:rsidRPr="00366F16" w:rsidRDefault="004F0F93" w:rsidP="00856D8E">
      <w:pPr>
        <w:pStyle w:val="a5"/>
        <w:ind w:firstLine="709"/>
        <w:jc w:val="both"/>
        <w:rPr>
          <w:rFonts w:ascii="Times New Roman" w:hAnsi="Times New Roman"/>
          <w:color w:val="000000"/>
          <w:sz w:val="24"/>
          <w:szCs w:val="24"/>
          <w:lang w:val="kk-KZ"/>
        </w:rPr>
      </w:pPr>
    </w:p>
    <w:p w14:paraId="07BA50D1"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Таңдау мүмкіндігі арта түседі</w:t>
      </w:r>
    </w:p>
    <w:p w14:paraId="6DC12858" w14:textId="1C91614F"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Заңнамаға сәйкес әрбір ИПБ салымшыларға тәуекел деңгейі, инвестициялар құрылымы және инвестициялау мерзімі бойынша ерекшеленетін инвестициялық портфельдердің үш түріне дейін (консервативті, теңгерімді және тәуекелі жоғары) ұсына алады.</w:t>
      </w:r>
      <w:r w:rsidR="004C3974" w:rsidRPr="00366F16">
        <w:rPr>
          <w:rFonts w:ascii="Times New Roman" w:hAnsi="Times New Roman"/>
          <w:color w:val="000000"/>
          <w:sz w:val="24"/>
          <w:szCs w:val="24"/>
          <w:lang w:val="kk-KZ"/>
        </w:rPr>
        <w:t xml:space="preserve"> Үш түрлі п</w:t>
      </w:r>
      <w:r w:rsidRPr="00366F16">
        <w:rPr>
          <w:rFonts w:ascii="Times New Roman" w:hAnsi="Times New Roman"/>
          <w:color w:val="000000"/>
          <w:sz w:val="24"/>
          <w:szCs w:val="24"/>
          <w:lang w:val="kk-KZ"/>
        </w:rPr>
        <w:t xml:space="preserve">ортфельдің болуы </w:t>
      </w:r>
      <w:r w:rsidR="004C3974" w:rsidRPr="00366F16">
        <w:rPr>
          <w:rFonts w:ascii="Times New Roman" w:hAnsi="Times New Roman"/>
          <w:color w:val="000000"/>
          <w:sz w:val="24"/>
          <w:szCs w:val="24"/>
          <w:lang w:val="kk-KZ"/>
        </w:rPr>
        <w:t xml:space="preserve">инвестицияларды </w:t>
      </w:r>
      <w:r w:rsidRPr="00366F16">
        <w:rPr>
          <w:rFonts w:ascii="Times New Roman" w:hAnsi="Times New Roman"/>
          <w:color w:val="000000"/>
          <w:sz w:val="24"/>
          <w:szCs w:val="24"/>
          <w:lang w:val="kk-KZ"/>
        </w:rPr>
        <w:t>салымшының жасына және жеке мүдделеріне қарай бейімдеуге мүмкіндік береді. Ал жинақтарды бірнеше ИПБ арасында бөлу құқығы олардың табыстылығының ауытқуына тәуелділікті азайтады.</w:t>
      </w:r>
      <w:r w:rsidR="004C3974" w:rsidRPr="00366F16">
        <w:rPr>
          <w:rFonts w:ascii="Times New Roman" w:hAnsi="Times New Roman"/>
          <w:color w:val="000000"/>
          <w:sz w:val="24"/>
          <w:szCs w:val="24"/>
          <w:lang w:val="kk-KZ"/>
        </w:rPr>
        <w:t xml:space="preserve"> </w:t>
      </w:r>
    </w:p>
    <w:p w14:paraId="7174F4F1"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ИПБ-ның инвестициялық портфельдерін қалыптастыруға қойылатын талаптарды Қазақстан Республикасы Қаржы нарығын реттеу және дамыту агенттігі (ҚНРДА) айқындайды.</w:t>
      </w:r>
    </w:p>
    <w:p w14:paraId="2EE5B69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3D9A8E34"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Барлық ақпарат – бір платформада</w:t>
      </w:r>
    </w:p>
    <w:p w14:paraId="1E47AE4F" w14:textId="3EFEBC6D"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Салымшылар</w:t>
      </w:r>
      <w:r w:rsidR="004C3974" w:rsidRPr="00366F16">
        <w:rPr>
          <w:rFonts w:ascii="Times New Roman" w:hAnsi="Times New Roman"/>
          <w:color w:val="000000"/>
          <w:sz w:val="24"/>
          <w:szCs w:val="24"/>
          <w:lang w:val="kk-KZ"/>
        </w:rPr>
        <w:t xml:space="preserve">ға </w:t>
      </w:r>
      <w:r w:rsidRPr="00366F16">
        <w:rPr>
          <w:rFonts w:ascii="Times New Roman" w:hAnsi="Times New Roman"/>
          <w:color w:val="000000"/>
          <w:sz w:val="24"/>
          <w:szCs w:val="24"/>
          <w:lang w:val="kk-KZ"/>
        </w:rPr>
        <w:t>қолайлы</w:t>
      </w:r>
      <w:r w:rsidR="004C3974" w:rsidRPr="00366F16">
        <w:rPr>
          <w:rFonts w:ascii="Times New Roman" w:hAnsi="Times New Roman"/>
          <w:color w:val="000000"/>
          <w:sz w:val="24"/>
          <w:szCs w:val="24"/>
          <w:lang w:val="kk-KZ"/>
        </w:rPr>
        <w:t xml:space="preserve"> болу</w:t>
      </w:r>
      <w:r w:rsidRPr="00366F16">
        <w:rPr>
          <w:rFonts w:ascii="Times New Roman" w:hAnsi="Times New Roman"/>
          <w:color w:val="000000"/>
          <w:sz w:val="24"/>
          <w:szCs w:val="24"/>
          <w:lang w:val="kk-KZ"/>
        </w:rPr>
        <w:t xml:space="preserve"> үшін БЖЗҚ зейнетақы активтерін инвестициялық басқаруға қатысты негізгі ақпаратты біріктіретін </w:t>
      </w:r>
      <w:r w:rsidRPr="00366F16">
        <w:rPr>
          <w:rFonts w:ascii="Times New Roman" w:hAnsi="Times New Roman"/>
          <w:b/>
          <w:color w:val="000000"/>
          <w:sz w:val="24"/>
          <w:szCs w:val="24"/>
          <w:lang w:val="kk-KZ"/>
        </w:rPr>
        <w:t>invest.enpf.kz</w:t>
      </w:r>
      <w:r w:rsidRPr="00366F16">
        <w:rPr>
          <w:rFonts w:ascii="Times New Roman" w:hAnsi="Times New Roman"/>
          <w:color w:val="000000"/>
          <w:sz w:val="24"/>
          <w:szCs w:val="24"/>
          <w:lang w:val="kk-KZ"/>
        </w:rPr>
        <w:t xml:space="preserve"> бірыңғай ақпараттық интернет-платформасын іске қосты.</w:t>
      </w:r>
      <w:r w:rsidR="004C3974"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Платформа табыстылық туралы ақпаратқа ыңғайлы әрі құрылымдалған қолжетімділікті қамтамасыз етеді, белгіленген кезеңдер бойынша әртүрлі басқарушылардың (ҚР Ұлттық Банкі мен ИПБ-лардың) басқаруындағы инвестициялық портфельдердің көрсеткіштерін динамикада салыстыруға мүмкіндік береді.</w:t>
      </w:r>
    </w:p>
    <w:p w14:paraId="3EF6BCA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22DAC061" w14:textId="7518385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Салымшы инвестициялық портфельдерді бағалап, өзінің мүддесі мен инвестициялық мақсаттарына сәйкес басқарушыны және оның инвестициялық стратегияларын дербес таңдай алады.</w:t>
      </w:r>
    </w:p>
    <w:p w14:paraId="3D366AF3" w14:textId="6BB1C42A" w:rsidR="004F0F93" w:rsidRPr="00366F16" w:rsidRDefault="004F0F93" w:rsidP="00856D8E">
      <w:pPr>
        <w:pStyle w:val="a5"/>
        <w:ind w:firstLine="709"/>
        <w:jc w:val="both"/>
        <w:rPr>
          <w:rFonts w:ascii="Times New Roman" w:hAnsi="Times New Roman"/>
          <w:color w:val="000000"/>
          <w:sz w:val="24"/>
          <w:szCs w:val="24"/>
          <w:lang w:val="kk-KZ"/>
        </w:rPr>
      </w:pPr>
    </w:p>
    <w:p w14:paraId="508F9B81"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Зейнетақы жинақтарын сенімгерлік басқаруға қалай беруге болады?</w:t>
      </w:r>
    </w:p>
    <w:p w14:paraId="2A6D067A" w14:textId="56A59904"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 xml:space="preserve">Зейнетақы жинақтарын сенімгерлік басқаруға беру үшін салымшы зейнетақы активтерін басқаруға </w:t>
      </w:r>
      <w:r w:rsidR="004C3974" w:rsidRPr="00366F16">
        <w:rPr>
          <w:rFonts w:ascii="Times New Roman" w:hAnsi="Times New Roman"/>
          <w:color w:val="000000"/>
          <w:sz w:val="24"/>
          <w:szCs w:val="24"/>
          <w:lang w:val="kk-KZ"/>
        </w:rPr>
        <w:t>рұқсат етілген</w:t>
      </w:r>
      <w:r w:rsidRPr="00366F16">
        <w:rPr>
          <w:rFonts w:ascii="Times New Roman" w:hAnsi="Times New Roman"/>
          <w:color w:val="000000"/>
          <w:sz w:val="24"/>
          <w:szCs w:val="24"/>
          <w:lang w:val="kk-KZ"/>
        </w:rPr>
        <w:t xml:space="preserve"> инвестициялық портфельді басқарушылардың (ИПБ) тізілімінен басқарушы компанияны таңдауы және өтініш беруі қажет. (Толық ақпарат БЖЗҚ</w:t>
      </w:r>
      <w:r w:rsidR="00B36533" w:rsidRPr="00366F16">
        <w:rPr>
          <w:rFonts w:ascii="Times New Roman" w:hAnsi="Times New Roman"/>
          <w:color w:val="000000"/>
          <w:sz w:val="24"/>
          <w:szCs w:val="24"/>
          <w:lang w:val="kk-KZ"/>
        </w:rPr>
        <w:t xml:space="preserve"> сайтындағы </w:t>
      </w:r>
      <w:r w:rsidRPr="00366F16">
        <w:rPr>
          <w:rFonts w:ascii="Times New Roman" w:hAnsi="Times New Roman"/>
          <w:color w:val="000000"/>
          <w:sz w:val="24"/>
          <w:szCs w:val="24"/>
          <w:lang w:val="kk-KZ"/>
        </w:rPr>
        <w:t>«Қызметтер – Сенімгерлік басқаруға аудару – Инвестициялық портфельді басқарушылар тізілімі» бөлімінде орналастырылған.)</w:t>
      </w:r>
    </w:p>
    <w:p w14:paraId="57BBB180"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Өтінішті:</w:t>
      </w:r>
    </w:p>
    <w:p w14:paraId="3DB7D115" w14:textId="7A19FB62" w:rsidR="004F0F93" w:rsidRPr="00366F16" w:rsidRDefault="004F0F93" w:rsidP="00B36533">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color w:val="000000"/>
          <w:sz w:val="24"/>
          <w:szCs w:val="24"/>
          <w:lang w:val="kk-KZ"/>
        </w:rPr>
        <w:t>enpf.kz сайтындағы жеке кабинет арқылы (электрондық цифрлық қолтаңбаны пайдалана отырып);</w:t>
      </w:r>
    </w:p>
    <w:p w14:paraId="4FDCF0AA" w14:textId="5763C829" w:rsidR="004F0F93" w:rsidRPr="00366F16" w:rsidRDefault="004F0F93" w:rsidP="00B36533">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color w:val="000000"/>
          <w:sz w:val="24"/>
          <w:szCs w:val="24"/>
          <w:lang w:val="kk-KZ"/>
        </w:rPr>
        <w:lastRenderedPageBreak/>
        <w:t>жеке басын куәландыратын құжатты ұсыну арқылы БЖЗҚ-ның кез келген бөлімшесінде беруге болады.</w:t>
      </w:r>
    </w:p>
    <w:p w14:paraId="09CDF8F9" w14:textId="451D9D3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Зейнетақы жинақтарының бір бөлігін ИПБ-ға беру, бір ИПБ-дан екіншісіне ауыстыру немесе жинақтарды ИПБ-дан Қазақстан Республикасы Ұлттық Банкінің (ҚРҰБ) басқаруына қайтару бойынша қадамдық нұсқаулық мына сілтеме бойынша орналастырылған: https://www.enpf.kz/</w:t>
      </w:r>
      <w:r w:rsidR="00BE045D" w:rsidRPr="00366F16">
        <w:rPr>
          <w:rFonts w:ascii="Times New Roman" w:hAnsi="Times New Roman"/>
          <w:color w:val="000000"/>
          <w:sz w:val="24"/>
          <w:szCs w:val="24"/>
          <w:lang w:val="kk-KZ"/>
        </w:rPr>
        <w:t>kz</w:t>
      </w:r>
      <w:r w:rsidRPr="00366F16">
        <w:rPr>
          <w:rFonts w:ascii="Times New Roman" w:hAnsi="Times New Roman"/>
          <w:color w:val="000000"/>
          <w:sz w:val="24"/>
          <w:szCs w:val="24"/>
          <w:lang w:val="kk-KZ"/>
        </w:rPr>
        <w:t>/services/Invest/22218/</w:t>
      </w:r>
      <w:r w:rsidR="00BE045D" w:rsidRPr="00366F16">
        <w:rPr>
          <w:rFonts w:ascii="Times New Roman" w:hAnsi="Times New Roman"/>
          <w:color w:val="000000"/>
          <w:sz w:val="24"/>
          <w:szCs w:val="24"/>
          <w:lang w:val="kk-KZ"/>
        </w:rPr>
        <w:t>.</w:t>
      </w:r>
      <w:r w:rsidR="00BE045D" w:rsidRPr="00366F16">
        <w:rPr>
          <w:sz w:val="24"/>
          <w:szCs w:val="24"/>
          <w:lang w:val="kk-KZ"/>
        </w:rPr>
        <w:t xml:space="preserve">  </w:t>
      </w:r>
    </w:p>
    <w:p w14:paraId="218B0093" w14:textId="352F62A1"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 xml:space="preserve">Өтініштің орындалу мәртебесін БЖЗҚ сайтындағы </w:t>
      </w:r>
      <w:r w:rsidR="00EF2E5A" w:rsidRPr="00366F16">
        <w:rPr>
          <w:rFonts w:ascii="Times New Roman" w:hAnsi="Times New Roman"/>
          <w:color w:val="000000"/>
          <w:sz w:val="24"/>
          <w:szCs w:val="24"/>
          <w:lang w:val="kk-KZ"/>
        </w:rPr>
        <w:t xml:space="preserve">немесе мобильді қосымшасындағы </w:t>
      </w:r>
      <w:r w:rsidRPr="00366F16">
        <w:rPr>
          <w:rFonts w:ascii="Times New Roman" w:hAnsi="Times New Roman"/>
          <w:color w:val="000000"/>
          <w:sz w:val="24"/>
          <w:szCs w:val="24"/>
          <w:lang w:val="kk-KZ"/>
        </w:rPr>
        <w:t xml:space="preserve">жеке кабинеттен </w:t>
      </w:r>
      <w:r w:rsidR="00EF2E5A" w:rsidRPr="00366F16">
        <w:rPr>
          <w:rFonts w:ascii="Times New Roman" w:hAnsi="Times New Roman"/>
          <w:color w:val="000000"/>
          <w:sz w:val="24"/>
          <w:szCs w:val="24"/>
          <w:lang w:val="kk-KZ"/>
        </w:rPr>
        <w:t>(</w:t>
      </w:r>
      <w:r w:rsidRPr="00366F16">
        <w:rPr>
          <w:rFonts w:ascii="Times New Roman" w:hAnsi="Times New Roman"/>
          <w:color w:val="000000"/>
          <w:sz w:val="24"/>
          <w:szCs w:val="24"/>
          <w:lang w:val="kk-KZ"/>
        </w:rPr>
        <w:t>«Өтініштер» бөлімі</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қадағалауға болады.</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Өтініштерді қабылдау және өңдеу үдерісі толық автоматтандырылған. Зейнетақы жинақтарын ИПБ-ның сенімгерлік басқаруына беру өтініш келіп түскен күннен бастап 30 күнтізбелік күн ішінде БЖЗҚ арқылы жүзеге асырылады.</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 xml:space="preserve">Бұл ретте зейнетақы жинақтарын бір ИПБ-дан екіншісіне ауыстыруға немесе оларды Қазақстан Республикасы Ұлттық Банкінің басқаруына қайтаруға жинақтар </w:t>
      </w:r>
      <w:r w:rsidR="005107B2" w:rsidRPr="00366F16">
        <w:rPr>
          <w:rFonts w:ascii="Times New Roman" w:hAnsi="Times New Roman"/>
          <w:color w:val="000000"/>
          <w:sz w:val="24"/>
          <w:szCs w:val="24"/>
          <w:lang w:val="kk-KZ"/>
        </w:rPr>
        <w:t xml:space="preserve">инвестициялық портфельді басқарушының </w:t>
      </w:r>
      <w:r w:rsidRPr="00366F16">
        <w:rPr>
          <w:rFonts w:ascii="Times New Roman" w:hAnsi="Times New Roman"/>
          <w:color w:val="000000"/>
          <w:sz w:val="24"/>
          <w:szCs w:val="24"/>
          <w:lang w:val="kk-KZ"/>
        </w:rPr>
        <w:t>сенімгерлік басқару</w:t>
      </w:r>
      <w:r w:rsidR="005107B2" w:rsidRPr="00366F16">
        <w:rPr>
          <w:rFonts w:ascii="Times New Roman" w:hAnsi="Times New Roman"/>
          <w:color w:val="000000"/>
          <w:sz w:val="24"/>
          <w:szCs w:val="24"/>
          <w:lang w:val="kk-KZ"/>
        </w:rPr>
        <w:t>ын</w:t>
      </w:r>
      <w:r w:rsidRPr="00366F16">
        <w:rPr>
          <w:rFonts w:ascii="Times New Roman" w:hAnsi="Times New Roman"/>
          <w:color w:val="000000"/>
          <w:sz w:val="24"/>
          <w:szCs w:val="24"/>
          <w:lang w:val="kk-KZ"/>
        </w:rPr>
        <w:t xml:space="preserve">а берілген күннен бастап кемінде бір жыл өткеннен кейін ғана </w:t>
      </w:r>
      <w:r w:rsidR="002508B9" w:rsidRPr="00366F16">
        <w:rPr>
          <w:rFonts w:ascii="Times New Roman" w:hAnsi="Times New Roman"/>
          <w:color w:val="000000"/>
          <w:sz w:val="24"/>
          <w:szCs w:val="24"/>
          <w:lang w:val="kk-KZ"/>
        </w:rPr>
        <w:t>рұқсат</w:t>
      </w:r>
      <w:r w:rsidRPr="00366F16">
        <w:rPr>
          <w:rFonts w:ascii="Times New Roman" w:hAnsi="Times New Roman"/>
          <w:color w:val="000000"/>
          <w:sz w:val="24"/>
          <w:szCs w:val="24"/>
          <w:lang w:val="kk-KZ"/>
        </w:rPr>
        <w:t xml:space="preserve"> беріледі.</w:t>
      </w:r>
    </w:p>
    <w:p w14:paraId="6CA1C5F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15348846"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ИПБ басқаруындағы зейнетақы жинақтарын қорғау тетіктері</w:t>
      </w:r>
    </w:p>
    <w:p w14:paraId="4AECC7BF"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Зейнетақы жинақтарын басқару мүмкіндіктерінің кеңеюі салымшының жауапкершілігінің де артуын білдіреді. ИПБ-ны таңдау – салымшының дербес шешімі. Ол ұсынылатын инвестициялық стратегияны, инвестициялық портфельдің құрылымын, тәуекел деңгейін және активтерді басқару нәтижелерін өз бетінше бағалайды.</w:t>
      </w:r>
    </w:p>
    <w:p w14:paraId="3BF881DD"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Заңнамада зейнетақы жинақтарын қорғаудың кешенді жүйесі көзделген:</w:t>
      </w:r>
    </w:p>
    <w:p w14:paraId="1B3C6F4C" w14:textId="0D41F4D1"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ИПБ-ның қаржылық жауапкершілігі</w:t>
      </w:r>
      <w:r w:rsidRPr="00366F16">
        <w:rPr>
          <w:rFonts w:ascii="Times New Roman" w:hAnsi="Times New Roman"/>
          <w:color w:val="000000"/>
          <w:sz w:val="24"/>
          <w:szCs w:val="24"/>
          <w:lang w:val="kk-KZ"/>
        </w:rPr>
        <w:t>. 2026 жылғы 1 қаңтардан бастап табыстылықтың эталоны ретінде қолданылатын композиттік индекстер жүйесі енгізілді. Егер инвестициялық портфельдің табыстылығы белгіленген бағдардан төмен болса, басқарушы компания айырманы өз капиталы есебінен салымшыға өтеуге міндетті.</w:t>
      </w:r>
    </w:p>
    <w:p w14:paraId="78867E50" w14:textId="3659B71D"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Тәуелсіз кастодиан-банк</w:t>
      </w:r>
      <w:r w:rsidRPr="00366F16">
        <w:rPr>
          <w:rFonts w:ascii="Times New Roman" w:hAnsi="Times New Roman"/>
          <w:color w:val="000000"/>
          <w:sz w:val="24"/>
          <w:szCs w:val="24"/>
          <w:lang w:val="kk-KZ"/>
        </w:rPr>
        <w:t>. Барлық активтер кастодиан-банкте (тәуелсіз ірі банкте) сақталады. Ол активтердің заңнама талаптарына сәйкес орналастырылуын бақылайды. Бұл ретте активтер салымшының БЖЗҚ-дағы жеке зейнетақы шотында (ЖЗШ) есепке алынуын жалғастырады және ИПБ-ның меншікті активтерінен бөлек сақталады. ИПБ банкрот болған жағдайда салымшылардың зейнетақы активтері оның міндеттемелерін орындауға пайдаланылмайды.</w:t>
      </w:r>
    </w:p>
    <w:p w14:paraId="5AA8BCBF" w14:textId="049CB887"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Инвестициялық шектеулер және әртараптандыру</w:t>
      </w:r>
      <w:r w:rsidRPr="00366F16">
        <w:rPr>
          <w:rFonts w:ascii="Times New Roman" w:hAnsi="Times New Roman"/>
          <w:color w:val="000000"/>
          <w:sz w:val="24"/>
          <w:szCs w:val="24"/>
          <w:lang w:val="kk-KZ"/>
        </w:rPr>
        <w:t xml:space="preserve">. Реттеуші ИПБ инвестициялай алатын қаржы құралдарының тізбесін белгілейді. Олардың қатарына Қазақстан Республикасының және шет мемлекеттердің мемлекеттік бағалы қағаздары, қазақстандық және шетелдік ұйымдардың үлестік және борыштық бағалы қағаздары, сондай-ақ тиісті кредиттік рейтингі бар екінші деңгейдегі банктер мен </w:t>
      </w:r>
      <w:r w:rsidR="005D6B3A" w:rsidRPr="00366F16">
        <w:rPr>
          <w:rFonts w:ascii="Times New Roman" w:hAnsi="Times New Roman"/>
          <w:color w:val="000000"/>
          <w:sz w:val="24"/>
          <w:szCs w:val="24"/>
          <w:lang w:val="kk-KZ"/>
        </w:rPr>
        <w:t>бейрезидент-</w:t>
      </w:r>
      <w:r w:rsidRPr="00366F16">
        <w:rPr>
          <w:rFonts w:ascii="Times New Roman" w:hAnsi="Times New Roman"/>
          <w:color w:val="000000"/>
          <w:sz w:val="24"/>
          <w:szCs w:val="24"/>
          <w:lang w:val="kk-KZ"/>
        </w:rPr>
        <w:t>банктердегі салымдар кіреді. Жоғары тәуекелді цифрлық және криптоактивтер бұл тізбеге енгізілмеген, сондықтан зейнетақы жинақтарын оларға инвестициялауға жол берілмейді. Сонымен қатар заңнамада инвестициялау лимиттері белгіленген. Әрбір ИПБ реттеуші талаптарын ескере отырып, өзінің инвестициялық декларациясында басқару стратегиясын дербес айқындайды.</w:t>
      </w:r>
    </w:p>
    <w:p w14:paraId="1DBF81EF" w14:textId="1B66758A" w:rsidR="004F0F93" w:rsidRPr="00366F16" w:rsidRDefault="004F0F93" w:rsidP="00C90B6E">
      <w:pPr>
        <w:pStyle w:val="a5"/>
        <w:numPr>
          <w:ilvl w:val="0"/>
          <w:numId w:val="5"/>
        </w:numPr>
        <w:ind w:left="993" w:firstLine="709"/>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Басқарушы компанияларға қойылатын талаптар</w:t>
      </w:r>
      <w:r w:rsidRPr="00366F16">
        <w:rPr>
          <w:rFonts w:ascii="Times New Roman" w:hAnsi="Times New Roman"/>
          <w:color w:val="000000"/>
          <w:sz w:val="24"/>
          <w:szCs w:val="24"/>
          <w:lang w:val="kk-KZ"/>
        </w:rPr>
        <w:t xml:space="preserve">. Зейнетақы активтерін басқаруға </w:t>
      </w:r>
      <w:r w:rsidR="005D6B3A" w:rsidRPr="00366F16">
        <w:rPr>
          <w:rFonts w:ascii="Times New Roman" w:hAnsi="Times New Roman"/>
          <w:color w:val="000000"/>
          <w:sz w:val="24"/>
          <w:szCs w:val="24"/>
          <w:lang w:val="kk-KZ"/>
        </w:rPr>
        <w:t xml:space="preserve">қаржылық тұрғыдан орнықты ИПБ ғана жіберіледі. </w:t>
      </w:r>
      <w:r w:rsidR="00A52E69" w:rsidRPr="00366F16">
        <w:rPr>
          <w:rFonts w:ascii="Times New Roman" w:hAnsi="Times New Roman"/>
          <w:color w:val="000000"/>
          <w:sz w:val="24"/>
          <w:szCs w:val="24"/>
          <w:lang w:val="kk-KZ"/>
        </w:rPr>
        <w:t xml:space="preserve">Ол реттеушінің </w:t>
      </w:r>
      <w:r w:rsidRPr="00366F16">
        <w:rPr>
          <w:rFonts w:ascii="Times New Roman" w:hAnsi="Times New Roman"/>
          <w:color w:val="000000"/>
          <w:sz w:val="24"/>
          <w:szCs w:val="24"/>
          <w:lang w:val="kk-KZ"/>
        </w:rPr>
        <w:t xml:space="preserve">капитал жеткіліктілігіне, клиенттердің активтерін басқару тәжірибесіне, сондай-ақ </w:t>
      </w:r>
      <w:r w:rsidR="00A52E69" w:rsidRPr="00366F16">
        <w:rPr>
          <w:rFonts w:ascii="Times New Roman" w:hAnsi="Times New Roman"/>
          <w:color w:val="000000"/>
          <w:sz w:val="24"/>
          <w:szCs w:val="24"/>
          <w:lang w:val="kk-KZ"/>
        </w:rPr>
        <w:t xml:space="preserve">ірі акционерінің немесе </w:t>
      </w:r>
      <w:r w:rsidRPr="00366F16">
        <w:rPr>
          <w:rFonts w:ascii="Times New Roman" w:hAnsi="Times New Roman"/>
          <w:color w:val="000000"/>
          <w:sz w:val="24"/>
          <w:szCs w:val="24"/>
          <w:lang w:val="kk-KZ"/>
        </w:rPr>
        <w:t xml:space="preserve">рейтингі «BBB» деңгейінен төмен емес </w:t>
      </w:r>
      <w:r w:rsidR="00A52E69" w:rsidRPr="00366F16">
        <w:rPr>
          <w:rFonts w:ascii="Times New Roman" w:hAnsi="Times New Roman"/>
          <w:color w:val="000000"/>
          <w:sz w:val="24"/>
          <w:szCs w:val="24"/>
          <w:lang w:val="kk-KZ"/>
        </w:rPr>
        <w:t>бейрезидент акционерінің</w:t>
      </w:r>
      <w:r w:rsidRPr="00366F16">
        <w:rPr>
          <w:rFonts w:ascii="Times New Roman" w:hAnsi="Times New Roman"/>
          <w:color w:val="000000"/>
          <w:sz w:val="24"/>
          <w:szCs w:val="24"/>
          <w:lang w:val="kk-KZ"/>
        </w:rPr>
        <w:t xml:space="preserve"> болуына қатысты реттеушінің талаптарына сәйкес ке</w:t>
      </w:r>
      <w:r w:rsidR="00A52E69" w:rsidRPr="00366F16">
        <w:rPr>
          <w:rFonts w:ascii="Times New Roman" w:hAnsi="Times New Roman"/>
          <w:color w:val="000000"/>
          <w:sz w:val="24"/>
          <w:szCs w:val="24"/>
          <w:lang w:val="kk-KZ"/>
        </w:rPr>
        <w:t xml:space="preserve">луі тиіс. </w:t>
      </w:r>
      <w:r w:rsidRPr="00366F16">
        <w:rPr>
          <w:rFonts w:ascii="Times New Roman" w:hAnsi="Times New Roman"/>
          <w:color w:val="000000"/>
          <w:sz w:val="24"/>
          <w:szCs w:val="24"/>
          <w:lang w:val="kk-KZ"/>
        </w:rPr>
        <w:t xml:space="preserve">Зейнетақы активтерін басқаруға </w:t>
      </w:r>
      <w:r w:rsidR="00A52E69" w:rsidRPr="00366F16">
        <w:rPr>
          <w:rFonts w:ascii="Times New Roman" w:hAnsi="Times New Roman"/>
          <w:color w:val="000000"/>
          <w:sz w:val="24"/>
          <w:szCs w:val="24"/>
          <w:lang w:val="kk-KZ"/>
        </w:rPr>
        <w:t xml:space="preserve">рұқсат берілген </w:t>
      </w:r>
      <w:r w:rsidRPr="00366F16">
        <w:rPr>
          <w:rFonts w:ascii="Times New Roman" w:hAnsi="Times New Roman"/>
          <w:color w:val="000000"/>
          <w:sz w:val="24"/>
          <w:szCs w:val="24"/>
          <w:lang w:val="kk-KZ"/>
        </w:rPr>
        <w:t>ИПБ</w:t>
      </w:r>
      <w:r w:rsidR="00A52E69" w:rsidRPr="00366F16">
        <w:rPr>
          <w:rFonts w:ascii="Times New Roman" w:hAnsi="Times New Roman"/>
          <w:color w:val="000000"/>
          <w:sz w:val="24"/>
          <w:szCs w:val="24"/>
          <w:lang w:val="kk-KZ"/>
        </w:rPr>
        <w:t>-лар</w:t>
      </w:r>
      <w:r w:rsidRPr="00366F16">
        <w:rPr>
          <w:rFonts w:ascii="Times New Roman" w:hAnsi="Times New Roman"/>
          <w:color w:val="000000"/>
          <w:sz w:val="24"/>
          <w:szCs w:val="24"/>
          <w:lang w:val="kk-KZ"/>
        </w:rPr>
        <w:t xml:space="preserve"> тізілімі ҚНРДА мен БЖЗҚ-ның ресми интернет-ресурстарында жариялан</w:t>
      </w:r>
      <w:r w:rsidR="00A52E69" w:rsidRPr="00366F16">
        <w:rPr>
          <w:rFonts w:ascii="Times New Roman" w:hAnsi="Times New Roman"/>
          <w:color w:val="000000"/>
          <w:sz w:val="24"/>
          <w:szCs w:val="24"/>
          <w:lang w:val="kk-KZ"/>
        </w:rPr>
        <w:t xml:space="preserve">ған. </w:t>
      </w:r>
      <w:r w:rsidRPr="00366F16">
        <w:rPr>
          <w:rFonts w:ascii="Times New Roman" w:hAnsi="Times New Roman"/>
          <w:color w:val="000000"/>
          <w:sz w:val="24"/>
          <w:szCs w:val="24"/>
          <w:lang w:val="kk-KZ"/>
        </w:rPr>
        <w:t>Қазіргі уақытта зейнетақы активтерін басқару</w:t>
      </w:r>
      <w:r w:rsidR="00A52E69"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алты компания</w:t>
      </w:r>
      <w:r w:rsidR="00A52E69" w:rsidRPr="00366F16">
        <w:rPr>
          <w:rFonts w:ascii="Times New Roman" w:hAnsi="Times New Roman"/>
          <w:color w:val="000000"/>
          <w:sz w:val="24"/>
          <w:szCs w:val="24"/>
          <w:lang w:val="kk-KZ"/>
        </w:rPr>
        <w:t>ның құзыретінде</w:t>
      </w:r>
      <w:r w:rsidRPr="00366F16">
        <w:rPr>
          <w:rFonts w:ascii="Times New Roman" w:hAnsi="Times New Roman"/>
          <w:color w:val="000000"/>
          <w:sz w:val="24"/>
          <w:szCs w:val="24"/>
          <w:lang w:val="kk-KZ"/>
        </w:rPr>
        <w:t xml:space="preserve">: «Alatau City Invest» АҚ, «BCC Invest» АҚ, «Halyk Global </w:t>
      </w:r>
      <w:r w:rsidRPr="00366F16">
        <w:rPr>
          <w:rFonts w:ascii="Times New Roman" w:hAnsi="Times New Roman"/>
          <w:color w:val="000000"/>
          <w:sz w:val="24"/>
          <w:szCs w:val="24"/>
          <w:lang w:val="kk-KZ"/>
        </w:rPr>
        <w:lastRenderedPageBreak/>
        <w:t>Markets» АҚ</w:t>
      </w:r>
      <w:r w:rsidR="00A52E69" w:rsidRPr="00366F16">
        <w:rPr>
          <w:rStyle w:val="af6"/>
          <w:rFonts w:ascii="Times New Roman" w:eastAsia="Times New Roman" w:hAnsi="Times New Roman"/>
          <w:color w:val="000000" w:themeColor="text1"/>
          <w:sz w:val="24"/>
          <w:szCs w:val="24"/>
        </w:rPr>
        <w:footnoteReference w:id="2"/>
      </w:r>
      <w:r w:rsidRPr="00366F16">
        <w:rPr>
          <w:rFonts w:ascii="Times New Roman" w:hAnsi="Times New Roman"/>
          <w:color w:val="000000"/>
          <w:sz w:val="24"/>
          <w:szCs w:val="24"/>
          <w:lang w:val="kk-KZ"/>
        </w:rPr>
        <w:t>, «Halyk Finance» АҚ, «Сентрас Секьюритиз» АҚ және «Tansar Capital» АҚ.</w:t>
      </w:r>
      <w:r w:rsidR="00A52E69"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ИПБ тізілімнен шығарылған жағдайда салымшылардың зейнетақы жинақтары Қазақстан Республикасы Ұлттық Банкінің басқаруына қайтарылады.</w:t>
      </w:r>
    </w:p>
    <w:p w14:paraId="71B26F63" w14:textId="77777777" w:rsidR="004F0F93" w:rsidRPr="004F0F93" w:rsidRDefault="004F0F93" w:rsidP="004F0F93">
      <w:pPr>
        <w:pStyle w:val="a5"/>
        <w:jc w:val="both"/>
        <w:rPr>
          <w:rFonts w:ascii="Times New Roman" w:hAnsi="Times New Roman"/>
          <w:color w:val="000000"/>
          <w:sz w:val="24"/>
          <w:szCs w:val="24"/>
          <w:lang w:val="kk-KZ"/>
        </w:rPr>
      </w:pPr>
    </w:p>
    <w:p w14:paraId="16FF3E9B" w14:textId="77777777" w:rsidR="00EB0FFB" w:rsidRPr="00EB0FFB" w:rsidRDefault="00EB0FFB" w:rsidP="00EB0FFB">
      <w:pPr>
        <w:spacing w:after="0" w:line="240" w:lineRule="auto"/>
        <w:jc w:val="both"/>
        <w:rPr>
          <w:rFonts w:ascii="Times New Roman" w:hAnsi="Times New Roman"/>
          <w:color w:val="000000"/>
          <w:sz w:val="20"/>
          <w:szCs w:val="20"/>
          <w:lang w:val="kk-KZ"/>
        </w:rPr>
      </w:pPr>
      <w:r w:rsidRPr="00EB0FFB">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B0FFB">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EB0FFB">
          <w:rPr>
            <w:rFonts w:ascii="Times New Roman" w:hAnsi="Times New Roman"/>
            <w:i/>
            <w:color w:val="001CAC"/>
            <w:sz w:val="20"/>
            <w:szCs w:val="20"/>
            <w:u w:val="single"/>
            <w:lang w:val="kk-KZ" w:eastAsia="ru-RU" w:bidi="hi-IN"/>
          </w:rPr>
          <w:t>www.enpf.kz</w:t>
        </w:r>
      </w:hyperlink>
      <w:r w:rsidRPr="00EB0FFB">
        <w:rPr>
          <w:rFonts w:ascii="Times New Roman" w:hAnsi="Times New Roman"/>
          <w:i/>
          <w:color w:val="000000"/>
          <w:sz w:val="20"/>
          <w:szCs w:val="20"/>
          <w:lang w:val="kk-KZ" w:eastAsia="ru-RU" w:bidi="hi-IN"/>
        </w:rPr>
        <w:t xml:space="preserve"> сайтында).</w:t>
      </w:r>
      <w:r w:rsidRPr="00EB0FFB">
        <w:rPr>
          <w:rFonts w:ascii="Times New Roman" w:hAnsi="Times New Roman"/>
          <w:color w:val="000000"/>
          <w:sz w:val="20"/>
          <w:szCs w:val="20"/>
          <w:lang w:val="kk-KZ"/>
        </w:rPr>
        <w:t xml:space="preserve"> </w:t>
      </w:r>
    </w:p>
    <w:p w14:paraId="5355C29F" w14:textId="77777777" w:rsidR="00EB0FFB" w:rsidRPr="00EB0FFB" w:rsidRDefault="00EB0FFB" w:rsidP="00EB0FFB">
      <w:pPr>
        <w:pStyle w:val="a5"/>
        <w:rPr>
          <w:rFonts w:ascii="Times New Roman" w:hAnsi="Times New Roman"/>
          <w:b/>
          <w:color w:val="000000"/>
          <w:sz w:val="24"/>
          <w:szCs w:val="24"/>
          <w:lang w:val="kk-KZ"/>
        </w:rPr>
      </w:pPr>
    </w:p>
    <w:p w14:paraId="3CBB7F26" w14:textId="77777777" w:rsidR="00AD7BEE" w:rsidRPr="00856D8E" w:rsidRDefault="00AD7BEE" w:rsidP="005A2726">
      <w:pPr>
        <w:pStyle w:val="a5"/>
        <w:jc w:val="center"/>
        <w:rPr>
          <w:rFonts w:ascii="Times New Roman" w:hAnsi="Times New Roman"/>
          <w:b/>
          <w:color w:val="000000"/>
          <w:sz w:val="24"/>
          <w:szCs w:val="24"/>
          <w:lang w:val="kk-KZ"/>
        </w:rPr>
      </w:pPr>
    </w:p>
    <w:sectPr w:rsidR="00AD7BEE" w:rsidRPr="00856D8E"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E5ACF1" w14:textId="77777777" w:rsidR="00807278" w:rsidRDefault="00807278" w:rsidP="005E4B51">
      <w:pPr>
        <w:spacing w:after="0" w:line="240" w:lineRule="auto"/>
      </w:pPr>
      <w:r>
        <w:separator/>
      </w:r>
    </w:p>
  </w:endnote>
  <w:endnote w:type="continuationSeparator" w:id="0">
    <w:p w14:paraId="37CAF373" w14:textId="77777777" w:rsidR="00807278" w:rsidRDefault="00807278"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6B360F75" w:rsidR="00464AE8" w:rsidRPr="00EB0FFB" w:rsidRDefault="00EB0FF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C009EF" w14:textId="77777777" w:rsidR="00807278" w:rsidRDefault="00807278" w:rsidP="005E4B51">
      <w:pPr>
        <w:spacing w:after="0" w:line="240" w:lineRule="auto"/>
      </w:pPr>
      <w:r>
        <w:separator/>
      </w:r>
    </w:p>
  </w:footnote>
  <w:footnote w:type="continuationSeparator" w:id="0">
    <w:p w14:paraId="42C426B5" w14:textId="77777777" w:rsidR="00807278" w:rsidRDefault="00807278" w:rsidP="005E4B51">
      <w:pPr>
        <w:spacing w:after="0" w:line="240" w:lineRule="auto"/>
      </w:pPr>
      <w:r>
        <w:continuationSeparator/>
      </w:r>
    </w:p>
  </w:footnote>
  <w:footnote w:id="1">
    <w:p w14:paraId="2B25A983" w14:textId="7CD1BCB5" w:rsidR="00856D8E" w:rsidRDefault="00856D8E" w:rsidP="00856D8E">
      <w:pPr>
        <w:pStyle w:val="af5"/>
        <w:rPr>
          <w:rFonts w:asciiTheme="minorHAnsi" w:eastAsiaTheme="minorHAnsi" w:hAnsiTheme="minorHAnsi" w:cstheme="minorBidi"/>
          <w:lang w:eastAsia="en-US"/>
        </w:rPr>
      </w:pPr>
      <w:r w:rsidRPr="00E71A02">
        <w:rPr>
          <w:rStyle w:val="af6"/>
          <w:rFonts w:ascii="Times New Roman" w:hAnsi="Times New Roman"/>
        </w:rPr>
        <w:footnoteRef/>
      </w:r>
      <w:r w:rsidR="004C3974" w:rsidRPr="004C3974">
        <w:rPr>
          <w:rFonts w:ascii="Times New Roman" w:hAnsi="Times New Roman"/>
          <w:lang w:val="kk-KZ"/>
        </w:rPr>
        <w:t>ҚР Әлеуметтік кодексінің 37-1 бабы, 4-тармағы</w:t>
      </w:r>
      <w:r w:rsidR="004C3974">
        <w:rPr>
          <w:lang w:val="kk-KZ"/>
        </w:rPr>
        <w:t xml:space="preserve"> </w:t>
      </w:r>
      <w:r>
        <w:rPr>
          <w:rFonts w:ascii="Times New Roman" w:eastAsia="Times New Roman" w:hAnsi="Times New Roman"/>
          <w:sz w:val="24"/>
          <w:szCs w:val="24"/>
        </w:rPr>
        <w:t xml:space="preserve"> </w:t>
      </w:r>
    </w:p>
  </w:footnote>
  <w:footnote w:id="2">
    <w:p w14:paraId="44B7FF9B" w14:textId="75F06D55" w:rsidR="00A52E69" w:rsidRPr="00E71A02" w:rsidRDefault="00A52E69" w:rsidP="00A52E69">
      <w:pPr>
        <w:pStyle w:val="af5"/>
        <w:jc w:val="both"/>
        <w:rPr>
          <w:rFonts w:ascii="Times New Roman" w:hAnsi="Times New Roman"/>
          <w:i/>
          <w:color w:val="000000"/>
        </w:rPr>
      </w:pPr>
      <w:r w:rsidRPr="00CF2B83">
        <w:rPr>
          <w:rFonts w:ascii="Times New Roman" w:hAnsi="Times New Roman"/>
          <w:color w:val="000000"/>
          <w:sz w:val="24"/>
          <w:szCs w:val="24"/>
          <w:lang w:val="kk-KZ"/>
        </w:rPr>
        <w:t xml:space="preserve"> </w:t>
      </w:r>
      <w:r w:rsidRPr="00CF2B83">
        <w:rPr>
          <w:rFonts w:ascii="Times New Roman" w:hAnsi="Times New Roman"/>
          <w:color w:val="000000"/>
          <w:vertAlign w:val="superscript"/>
        </w:rPr>
        <w:footnoteRef/>
      </w:r>
      <w:r w:rsidR="00CF2B83">
        <w:rPr>
          <w:rFonts w:ascii="Times New Roman" w:hAnsi="Times New Roman"/>
          <w:color w:val="000000"/>
          <w:sz w:val="24"/>
          <w:szCs w:val="24"/>
          <w:lang w:val="kk-KZ"/>
        </w:rPr>
        <w:t xml:space="preserve"> </w:t>
      </w:r>
      <w:r w:rsidRPr="00E71A02">
        <w:rPr>
          <w:rFonts w:ascii="Times New Roman" w:hAnsi="Times New Roman"/>
          <w:iCs/>
        </w:rPr>
        <w:t>"</w:t>
      </w:r>
      <w:proofErr w:type="spellStart"/>
      <w:r w:rsidRPr="00E71A02">
        <w:rPr>
          <w:rFonts w:ascii="Times New Roman" w:hAnsi="Times New Roman"/>
          <w:iCs/>
        </w:rPr>
        <w:t>Halyk</w:t>
      </w:r>
      <w:proofErr w:type="spellEnd"/>
      <w:r w:rsidRPr="00E71A02">
        <w:rPr>
          <w:rFonts w:ascii="Times New Roman" w:hAnsi="Times New Roman"/>
          <w:iCs/>
        </w:rPr>
        <w:t xml:space="preserve"> </w:t>
      </w:r>
      <w:proofErr w:type="spellStart"/>
      <w:r w:rsidRPr="00E71A02">
        <w:rPr>
          <w:rFonts w:ascii="Times New Roman" w:hAnsi="Times New Roman"/>
          <w:iCs/>
        </w:rPr>
        <w:t>Global</w:t>
      </w:r>
      <w:proofErr w:type="spellEnd"/>
      <w:r w:rsidRPr="00E71A02">
        <w:rPr>
          <w:rFonts w:ascii="Times New Roman" w:hAnsi="Times New Roman"/>
          <w:iCs/>
        </w:rPr>
        <w:t xml:space="preserve"> </w:t>
      </w:r>
      <w:proofErr w:type="spellStart"/>
      <w:r w:rsidRPr="00E71A02">
        <w:rPr>
          <w:rFonts w:ascii="Times New Roman" w:hAnsi="Times New Roman"/>
          <w:iCs/>
        </w:rPr>
        <w:t>Markets</w:t>
      </w:r>
      <w:proofErr w:type="spellEnd"/>
      <w:r w:rsidRPr="00E71A02">
        <w:rPr>
          <w:rFonts w:ascii="Times New Roman" w:hAnsi="Times New Roman"/>
          <w:iCs/>
        </w:rPr>
        <w:t xml:space="preserve">" АҚ 2027 </w:t>
      </w:r>
      <w:proofErr w:type="spellStart"/>
      <w:r w:rsidRPr="00E71A02">
        <w:rPr>
          <w:rFonts w:ascii="Times New Roman" w:hAnsi="Times New Roman"/>
          <w:iCs/>
        </w:rPr>
        <w:t>жылдан</w:t>
      </w:r>
      <w:proofErr w:type="spellEnd"/>
      <w:r w:rsidRPr="00E71A02">
        <w:rPr>
          <w:rFonts w:ascii="Times New Roman" w:hAnsi="Times New Roman"/>
          <w:iCs/>
        </w:rPr>
        <w:t xml:space="preserve"> бастап </w:t>
      </w:r>
      <w:proofErr w:type="spellStart"/>
      <w:r w:rsidRPr="00E71A02">
        <w:rPr>
          <w:rFonts w:ascii="Times New Roman" w:hAnsi="Times New Roman"/>
          <w:iCs/>
        </w:rPr>
        <w:t>сенімгерлік</w:t>
      </w:r>
      <w:proofErr w:type="spellEnd"/>
      <w:r w:rsidRPr="00E71A02">
        <w:rPr>
          <w:rFonts w:ascii="Times New Roman" w:hAnsi="Times New Roman"/>
          <w:iCs/>
        </w:rPr>
        <w:t xml:space="preserve"> </w:t>
      </w:r>
      <w:proofErr w:type="spellStart"/>
      <w:r w:rsidRPr="00E71A02">
        <w:rPr>
          <w:rFonts w:ascii="Times New Roman" w:hAnsi="Times New Roman"/>
          <w:iCs/>
        </w:rPr>
        <w:t>басқару</w:t>
      </w:r>
      <w:proofErr w:type="spellEnd"/>
      <w:r w:rsidRPr="00E71A02">
        <w:rPr>
          <w:rFonts w:ascii="Times New Roman" w:hAnsi="Times New Roman"/>
          <w:iCs/>
        </w:rPr>
        <w:t xml:space="preserve"> туралы </w:t>
      </w:r>
      <w:proofErr w:type="spellStart"/>
      <w:r w:rsidRPr="00E71A02">
        <w:rPr>
          <w:rFonts w:ascii="Times New Roman" w:hAnsi="Times New Roman"/>
          <w:iCs/>
        </w:rPr>
        <w:t>шартты</w:t>
      </w:r>
      <w:proofErr w:type="spellEnd"/>
      <w:r w:rsidRPr="00E71A02">
        <w:rPr>
          <w:rFonts w:ascii="Times New Roman" w:hAnsi="Times New Roman"/>
          <w:iCs/>
        </w:rPr>
        <w:t xml:space="preserve"> </w:t>
      </w:r>
      <w:proofErr w:type="spellStart"/>
      <w:r w:rsidRPr="00E71A02">
        <w:rPr>
          <w:rFonts w:ascii="Times New Roman" w:hAnsi="Times New Roman"/>
          <w:iCs/>
        </w:rPr>
        <w:t>бұзу</w:t>
      </w:r>
      <w:proofErr w:type="spellEnd"/>
      <w:r w:rsidRPr="00E71A02">
        <w:rPr>
          <w:rFonts w:ascii="Times New Roman" w:hAnsi="Times New Roman"/>
          <w:iCs/>
        </w:rPr>
        <w:t xml:space="preserve"> туралы </w:t>
      </w:r>
      <w:proofErr w:type="spellStart"/>
      <w:r w:rsidRPr="00E71A02">
        <w:rPr>
          <w:rFonts w:ascii="Times New Roman" w:hAnsi="Times New Roman"/>
          <w:iCs/>
        </w:rPr>
        <w:t>хабарлама</w:t>
      </w:r>
      <w:proofErr w:type="spellEnd"/>
      <w:r w:rsidRPr="00E71A02">
        <w:rPr>
          <w:rFonts w:ascii="Times New Roman" w:hAnsi="Times New Roman"/>
          <w:iCs/>
        </w:rPr>
        <w:t xml:space="preserve"> </w:t>
      </w:r>
      <w:proofErr w:type="spellStart"/>
      <w:r w:rsidRPr="00E71A02">
        <w:rPr>
          <w:rFonts w:ascii="Times New Roman" w:hAnsi="Times New Roman"/>
          <w:iCs/>
        </w:rPr>
        <w:t>жіберді</w:t>
      </w:r>
      <w:proofErr w:type="spellEnd"/>
      <w:r w:rsidRPr="00E71A02">
        <w:rPr>
          <w:rFonts w:ascii="Times New Roman" w:hAnsi="Times New Roman"/>
          <w:iCs/>
        </w:rPr>
        <w:t xml:space="preserve">. </w:t>
      </w:r>
      <w:proofErr w:type="spellStart"/>
      <w:r w:rsidRPr="00E71A02">
        <w:rPr>
          <w:rFonts w:ascii="Times New Roman" w:hAnsi="Times New Roman"/>
          <w:iCs/>
        </w:rPr>
        <w:t>Осыған</w:t>
      </w:r>
      <w:proofErr w:type="spellEnd"/>
      <w:r w:rsidRPr="00E71A02">
        <w:rPr>
          <w:rFonts w:ascii="Times New Roman" w:hAnsi="Times New Roman"/>
          <w:iCs/>
        </w:rPr>
        <w:t xml:space="preserve"> байланысты БЖЗҚ 2026 </w:t>
      </w:r>
      <w:proofErr w:type="spellStart"/>
      <w:r w:rsidRPr="00E71A02">
        <w:rPr>
          <w:rFonts w:ascii="Times New Roman" w:hAnsi="Times New Roman"/>
          <w:iCs/>
        </w:rPr>
        <w:t>жылғы</w:t>
      </w:r>
      <w:proofErr w:type="spellEnd"/>
      <w:r w:rsidRPr="00E71A02">
        <w:rPr>
          <w:rFonts w:ascii="Times New Roman" w:hAnsi="Times New Roman"/>
          <w:iCs/>
        </w:rPr>
        <w:t xml:space="preserve"> 1 </w:t>
      </w:r>
      <w:proofErr w:type="spellStart"/>
      <w:r w:rsidRPr="00E71A02">
        <w:rPr>
          <w:rFonts w:ascii="Times New Roman" w:hAnsi="Times New Roman"/>
          <w:iCs/>
        </w:rPr>
        <w:t>қаңтардан</w:t>
      </w:r>
      <w:proofErr w:type="spellEnd"/>
      <w:r w:rsidRPr="00E71A02">
        <w:rPr>
          <w:rFonts w:ascii="Times New Roman" w:hAnsi="Times New Roman"/>
          <w:iCs/>
        </w:rPr>
        <w:t xml:space="preserve"> бастап </w:t>
      </w:r>
      <w:proofErr w:type="spellStart"/>
      <w:r w:rsidRPr="00E71A02">
        <w:rPr>
          <w:rFonts w:ascii="Times New Roman" w:hAnsi="Times New Roman"/>
          <w:iCs/>
        </w:rPr>
        <w:t>салымшылардың</w:t>
      </w:r>
      <w:proofErr w:type="spellEnd"/>
      <w:r w:rsidRPr="00E71A02">
        <w:rPr>
          <w:rFonts w:ascii="Times New Roman" w:hAnsi="Times New Roman"/>
          <w:iCs/>
        </w:rPr>
        <w:t xml:space="preserve"> зейнетақы </w:t>
      </w:r>
      <w:proofErr w:type="spellStart"/>
      <w:r w:rsidRPr="00E71A02">
        <w:rPr>
          <w:rFonts w:ascii="Times New Roman" w:hAnsi="Times New Roman"/>
          <w:iCs/>
        </w:rPr>
        <w:t>активтерін</w:t>
      </w:r>
      <w:proofErr w:type="spellEnd"/>
      <w:r w:rsidRPr="00E71A02">
        <w:rPr>
          <w:rFonts w:ascii="Times New Roman" w:hAnsi="Times New Roman"/>
          <w:iCs/>
        </w:rPr>
        <w:t xml:space="preserve"> </w:t>
      </w:r>
      <w:proofErr w:type="spellStart"/>
      <w:r w:rsidRPr="00E71A02">
        <w:rPr>
          <w:rFonts w:ascii="Times New Roman" w:hAnsi="Times New Roman"/>
          <w:iCs/>
        </w:rPr>
        <w:t>оның</w:t>
      </w:r>
      <w:proofErr w:type="spellEnd"/>
      <w:r w:rsidRPr="00E71A02">
        <w:rPr>
          <w:rFonts w:ascii="Times New Roman" w:hAnsi="Times New Roman"/>
          <w:iCs/>
        </w:rPr>
        <w:t xml:space="preserve"> </w:t>
      </w:r>
      <w:proofErr w:type="spellStart"/>
      <w:r w:rsidRPr="00E71A02">
        <w:rPr>
          <w:rFonts w:ascii="Times New Roman" w:hAnsi="Times New Roman"/>
          <w:iCs/>
        </w:rPr>
        <w:t>басқармасына</w:t>
      </w:r>
      <w:proofErr w:type="spellEnd"/>
      <w:r w:rsidRPr="00E71A02">
        <w:rPr>
          <w:rFonts w:ascii="Times New Roman" w:hAnsi="Times New Roman"/>
          <w:iCs/>
        </w:rPr>
        <w:t xml:space="preserve"> </w:t>
      </w:r>
      <w:proofErr w:type="spellStart"/>
      <w:r w:rsidRPr="00E71A02">
        <w:rPr>
          <w:rFonts w:ascii="Times New Roman" w:hAnsi="Times New Roman"/>
          <w:iCs/>
        </w:rPr>
        <w:t>ауыстыру</w:t>
      </w:r>
      <w:proofErr w:type="spellEnd"/>
      <w:r w:rsidRPr="00E71A02">
        <w:rPr>
          <w:rFonts w:ascii="Times New Roman" w:hAnsi="Times New Roman"/>
          <w:iCs/>
        </w:rPr>
        <w:t xml:space="preserve"> туралы </w:t>
      </w:r>
      <w:proofErr w:type="spellStart"/>
      <w:r w:rsidRPr="00E71A02">
        <w:rPr>
          <w:rFonts w:ascii="Times New Roman" w:hAnsi="Times New Roman"/>
          <w:iCs/>
        </w:rPr>
        <w:t>жаңа</w:t>
      </w:r>
      <w:proofErr w:type="spellEnd"/>
      <w:r w:rsidRPr="00E71A02">
        <w:rPr>
          <w:rFonts w:ascii="Times New Roman" w:hAnsi="Times New Roman"/>
          <w:iCs/>
        </w:rPr>
        <w:t xml:space="preserve"> </w:t>
      </w:r>
      <w:proofErr w:type="spellStart"/>
      <w:r w:rsidRPr="00E71A02">
        <w:rPr>
          <w:rFonts w:ascii="Times New Roman" w:hAnsi="Times New Roman"/>
          <w:iCs/>
        </w:rPr>
        <w:t>өтініштерін</w:t>
      </w:r>
      <w:proofErr w:type="spellEnd"/>
      <w:r w:rsidRPr="00E71A02">
        <w:rPr>
          <w:rFonts w:ascii="Times New Roman" w:hAnsi="Times New Roman"/>
          <w:iCs/>
        </w:rPr>
        <w:t xml:space="preserve"> </w:t>
      </w:r>
      <w:proofErr w:type="spellStart"/>
      <w:r w:rsidRPr="00E71A02">
        <w:rPr>
          <w:rFonts w:ascii="Times New Roman" w:hAnsi="Times New Roman"/>
          <w:iCs/>
        </w:rPr>
        <w:t>қабылдамайды</w:t>
      </w:r>
      <w:proofErr w:type="spellEnd"/>
      <w:r w:rsidRPr="00E71A02">
        <w:rPr>
          <w:rFonts w:ascii="Times New Roman" w:hAnsi="Times New Roman"/>
          <w:iCs/>
        </w:rPr>
        <w:t xml:space="preserve">. </w:t>
      </w:r>
    </w:p>
    <w:p w14:paraId="61D5BA4B" w14:textId="77777777" w:rsidR="00A52E69" w:rsidRPr="00EC45DC" w:rsidRDefault="00A52E69" w:rsidP="00A52E69">
      <w:pPr>
        <w:pStyle w:val="af5"/>
        <w:rPr>
          <w:rFonts w:ascii="Times New Roman" w:hAnsi="Times New Roman"/>
          <w:i/>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6ECEF403"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EB0FF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7E37E587" w:rsidR="00464AE8" w:rsidRPr="001729C9" w:rsidRDefault="00EB0FF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1729C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1729C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366F16"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366F1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366F1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366F1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366F1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366F16">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EB5DB3"/>
    <w:multiLevelType w:val="hybridMultilevel"/>
    <w:tmpl w:val="A98AC5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CD6202"/>
    <w:multiLevelType w:val="hybridMultilevel"/>
    <w:tmpl w:val="556A4042"/>
    <w:lvl w:ilvl="0" w:tplc="14E6245C">
      <w:numFmt w:val="bullet"/>
      <w:lvlText w:val=""/>
      <w:lvlJc w:val="left"/>
      <w:pPr>
        <w:ind w:left="1099" w:hanging="39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6FF26834"/>
    <w:multiLevelType w:val="hybridMultilevel"/>
    <w:tmpl w:val="C0AE6196"/>
    <w:lvl w:ilvl="0" w:tplc="14E6245C">
      <w:numFmt w:val="bullet"/>
      <w:lvlText w:val=""/>
      <w:lvlJc w:val="left"/>
      <w:pPr>
        <w:ind w:left="1808" w:hanging="390"/>
      </w:pPr>
      <w:rPr>
        <w:rFonts w:ascii="Symbol" w:eastAsia="Calibr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0"/>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4B48"/>
    <w:rsid w:val="000160A0"/>
    <w:rsid w:val="00021FD9"/>
    <w:rsid w:val="00023B4F"/>
    <w:rsid w:val="000321E5"/>
    <w:rsid w:val="00033E97"/>
    <w:rsid w:val="0003612F"/>
    <w:rsid w:val="00045435"/>
    <w:rsid w:val="00045E4F"/>
    <w:rsid w:val="00047330"/>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162F"/>
    <w:rsid w:val="000A7A17"/>
    <w:rsid w:val="000B0489"/>
    <w:rsid w:val="000B2AC1"/>
    <w:rsid w:val="000C02F6"/>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1E77"/>
    <w:rsid w:val="000F5C73"/>
    <w:rsid w:val="000F62B2"/>
    <w:rsid w:val="000F62BD"/>
    <w:rsid w:val="000F73B6"/>
    <w:rsid w:val="000F7E1E"/>
    <w:rsid w:val="00100F59"/>
    <w:rsid w:val="00101681"/>
    <w:rsid w:val="00101F50"/>
    <w:rsid w:val="0010375E"/>
    <w:rsid w:val="00104C72"/>
    <w:rsid w:val="001052E1"/>
    <w:rsid w:val="0010547B"/>
    <w:rsid w:val="0011119D"/>
    <w:rsid w:val="00111668"/>
    <w:rsid w:val="001129C9"/>
    <w:rsid w:val="00113BDC"/>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16F9"/>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33C4"/>
    <w:rsid w:val="00226169"/>
    <w:rsid w:val="00226486"/>
    <w:rsid w:val="002264A2"/>
    <w:rsid w:val="0023373F"/>
    <w:rsid w:val="00234B02"/>
    <w:rsid w:val="0023505F"/>
    <w:rsid w:val="002421C0"/>
    <w:rsid w:val="00244BB1"/>
    <w:rsid w:val="002508B9"/>
    <w:rsid w:val="00253124"/>
    <w:rsid w:val="00260020"/>
    <w:rsid w:val="00264EB0"/>
    <w:rsid w:val="002702E8"/>
    <w:rsid w:val="00272A93"/>
    <w:rsid w:val="0027611D"/>
    <w:rsid w:val="00281C53"/>
    <w:rsid w:val="00286FFB"/>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68A7"/>
    <w:rsid w:val="00337F14"/>
    <w:rsid w:val="00345132"/>
    <w:rsid w:val="0034624B"/>
    <w:rsid w:val="00353FAE"/>
    <w:rsid w:val="00360081"/>
    <w:rsid w:val="00365A51"/>
    <w:rsid w:val="00366F16"/>
    <w:rsid w:val="00367BF3"/>
    <w:rsid w:val="00370E20"/>
    <w:rsid w:val="003729D3"/>
    <w:rsid w:val="00374ECA"/>
    <w:rsid w:val="0037578D"/>
    <w:rsid w:val="00375843"/>
    <w:rsid w:val="003760EA"/>
    <w:rsid w:val="00380430"/>
    <w:rsid w:val="003818A4"/>
    <w:rsid w:val="00386214"/>
    <w:rsid w:val="00387908"/>
    <w:rsid w:val="003901B3"/>
    <w:rsid w:val="003907B4"/>
    <w:rsid w:val="00391897"/>
    <w:rsid w:val="0039581A"/>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3974"/>
    <w:rsid w:val="004C715C"/>
    <w:rsid w:val="004D4E94"/>
    <w:rsid w:val="004D5F64"/>
    <w:rsid w:val="004D7A68"/>
    <w:rsid w:val="004E03C3"/>
    <w:rsid w:val="004E3880"/>
    <w:rsid w:val="004E6EDB"/>
    <w:rsid w:val="004F0F93"/>
    <w:rsid w:val="004F10EC"/>
    <w:rsid w:val="004F13B8"/>
    <w:rsid w:val="004F1575"/>
    <w:rsid w:val="00501376"/>
    <w:rsid w:val="005049F2"/>
    <w:rsid w:val="00505B36"/>
    <w:rsid w:val="00506C5D"/>
    <w:rsid w:val="005107B2"/>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D6B3A"/>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0CCB"/>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3A4A"/>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38EA"/>
    <w:rsid w:val="0080418E"/>
    <w:rsid w:val="00804780"/>
    <w:rsid w:val="00804D99"/>
    <w:rsid w:val="00807278"/>
    <w:rsid w:val="00810E1C"/>
    <w:rsid w:val="00814451"/>
    <w:rsid w:val="0081463D"/>
    <w:rsid w:val="00814CA6"/>
    <w:rsid w:val="00817F2B"/>
    <w:rsid w:val="008203C9"/>
    <w:rsid w:val="0082095E"/>
    <w:rsid w:val="00821E00"/>
    <w:rsid w:val="00822D76"/>
    <w:rsid w:val="00822D94"/>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535B0"/>
    <w:rsid w:val="00856D8E"/>
    <w:rsid w:val="008605BE"/>
    <w:rsid w:val="00861B02"/>
    <w:rsid w:val="008621F2"/>
    <w:rsid w:val="00862832"/>
    <w:rsid w:val="008660C7"/>
    <w:rsid w:val="00866623"/>
    <w:rsid w:val="00867875"/>
    <w:rsid w:val="00870065"/>
    <w:rsid w:val="00870693"/>
    <w:rsid w:val="00870716"/>
    <w:rsid w:val="0087197A"/>
    <w:rsid w:val="00872C3D"/>
    <w:rsid w:val="008736FC"/>
    <w:rsid w:val="008769F1"/>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4EE"/>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37E6"/>
    <w:rsid w:val="0098553F"/>
    <w:rsid w:val="00985F4A"/>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2E9"/>
    <w:rsid w:val="00A35F5F"/>
    <w:rsid w:val="00A369F2"/>
    <w:rsid w:val="00A41696"/>
    <w:rsid w:val="00A477DF"/>
    <w:rsid w:val="00A50DD0"/>
    <w:rsid w:val="00A5289B"/>
    <w:rsid w:val="00A52E69"/>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D7BEE"/>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36533"/>
    <w:rsid w:val="00B42E39"/>
    <w:rsid w:val="00B44C4C"/>
    <w:rsid w:val="00B53240"/>
    <w:rsid w:val="00B53D73"/>
    <w:rsid w:val="00B55546"/>
    <w:rsid w:val="00B578A4"/>
    <w:rsid w:val="00B61E8C"/>
    <w:rsid w:val="00B62865"/>
    <w:rsid w:val="00B70427"/>
    <w:rsid w:val="00B707ED"/>
    <w:rsid w:val="00B71318"/>
    <w:rsid w:val="00B71DFE"/>
    <w:rsid w:val="00B72A81"/>
    <w:rsid w:val="00B72D6C"/>
    <w:rsid w:val="00B74522"/>
    <w:rsid w:val="00B748C8"/>
    <w:rsid w:val="00B776E3"/>
    <w:rsid w:val="00B81779"/>
    <w:rsid w:val="00B86B6B"/>
    <w:rsid w:val="00B8794C"/>
    <w:rsid w:val="00B92EAC"/>
    <w:rsid w:val="00B92F99"/>
    <w:rsid w:val="00B92FFE"/>
    <w:rsid w:val="00BA04FF"/>
    <w:rsid w:val="00BA6D7B"/>
    <w:rsid w:val="00BA7D83"/>
    <w:rsid w:val="00BC35B3"/>
    <w:rsid w:val="00BC3626"/>
    <w:rsid w:val="00BC49A8"/>
    <w:rsid w:val="00BD3184"/>
    <w:rsid w:val="00BD33AD"/>
    <w:rsid w:val="00BD42E3"/>
    <w:rsid w:val="00BD59C7"/>
    <w:rsid w:val="00BD6CAC"/>
    <w:rsid w:val="00BE045D"/>
    <w:rsid w:val="00BE113C"/>
    <w:rsid w:val="00BE6E70"/>
    <w:rsid w:val="00BE7E0A"/>
    <w:rsid w:val="00BF0277"/>
    <w:rsid w:val="00BF330A"/>
    <w:rsid w:val="00BF4BDD"/>
    <w:rsid w:val="00C00ABF"/>
    <w:rsid w:val="00C00C21"/>
    <w:rsid w:val="00C01112"/>
    <w:rsid w:val="00C0199A"/>
    <w:rsid w:val="00C04330"/>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01A3"/>
    <w:rsid w:val="00C83EE0"/>
    <w:rsid w:val="00C853FF"/>
    <w:rsid w:val="00C92B16"/>
    <w:rsid w:val="00C9370F"/>
    <w:rsid w:val="00CA0D11"/>
    <w:rsid w:val="00CA12E0"/>
    <w:rsid w:val="00CA1F94"/>
    <w:rsid w:val="00CA6402"/>
    <w:rsid w:val="00CA7209"/>
    <w:rsid w:val="00CA7237"/>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2B83"/>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2E92"/>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714A9"/>
    <w:rsid w:val="00E71A02"/>
    <w:rsid w:val="00E7288A"/>
    <w:rsid w:val="00E77103"/>
    <w:rsid w:val="00E81146"/>
    <w:rsid w:val="00E866F6"/>
    <w:rsid w:val="00E86F2D"/>
    <w:rsid w:val="00E8796E"/>
    <w:rsid w:val="00E87D86"/>
    <w:rsid w:val="00E90C85"/>
    <w:rsid w:val="00E926BF"/>
    <w:rsid w:val="00E93903"/>
    <w:rsid w:val="00E93AFD"/>
    <w:rsid w:val="00E9404C"/>
    <w:rsid w:val="00E97478"/>
    <w:rsid w:val="00E97BC3"/>
    <w:rsid w:val="00EA383D"/>
    <w:rsid w:val="00EA4B5E"/>
    <w:rsid w:val="00EA5979"/>
    <w:rsid w:val="00EA642F"/>
    <w:rsid w:val="00EA6634"/>
    <w:rsid w:val="00EB0FFB"/>
    <w:rsid w:val="00EB1110"/>
    <w:rsid w:val="00EB1C0D"/>
    <w:rsid w:val="00EB1CC6"/>
    <w:rsid w:val="00EB58C6"/>
    <w:rsid w:val="00EB685D"/>
    <w:rsid w:val="00EC10ED"/>
    <w:rsid w:val="00EC12E5"/>
    <w:rsid w:val="00EC2BD4"/>
    <w:rsid w:val="00EC45DC"/>
    <w:rsid w:val="00EC47C0"/>
    <w:rsid w:val="00EC60A4"/>
    <w:rsid w:val="00EC66B4"/>
    <w:rsid w:val="00ED0215"/>
    <w:rsid w:val="00ED0623"/>
    <w:rsid w:val="00ED0A28"/>
    <w:rsid w:val="00ED1C91"/>
    <w:rsid w:val="00ED2748"/>
    <w:rsid w:val="00ED3B45"/>
    <w:rsid w:val="00ED5FE3"/>
    <w:rsid w:val="00ED6BF0"/>
    <w:rsid w:val="00ED7126"/>
    <w:rsid w:val="00ED7D79"/>
    <w:rsid w:val="00EE03DE"/>
    <w:rsid w:val="00EE13B1"/>
    <w:rsid w:val="00EF0C94"/>
    <w:rsid w:val="00EF2E5A"/>
    <w:rsid w:val="00EF3C77"/>
    <w:rsid w:val="00EF446C"/>
    <w:rsid w:val="00EF4500"/>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E540D"/>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6797">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2277B-05B3-4B39-A1A1-1C1867B77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суд.dotx</Template>
  <TotalTime>0</TotalTime>
  <Pages>3</Pages>
  <Words>879</Words>
  <Characters>7175</Characters>
  <Application>Microsoft Office Word</Application>
  <DocSecurity>0</DocSecurity>
  <Lines>116</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8046</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Рашева Гульмира Сериковна</cp:lastModifiedBy>
  <cp:revision>2</cp:revision>
  <cp:lastPrinted>2026-07-29T05:43:00Z</cp:lastPrinted>
  <dcterms:created xsi:type="dcterms:W3CDTF">2026-08-03T11:00:00Z</dcterms:created>
  <dcterms:modified xsi:type="dcterms:W3CDTF">2026-08-03T11:00:00Z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