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«Ұлытау облысының ветеринария басқармасы» мемлекеттік мекемесінде анықталған сыбайлас жемқорлық тәуекелдерін жою жөніндегі жоспар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9"/>
        <w:gridCol w:w="2262"/>
        <w:gridCol w:w="2262"/>
        <w:gridCol w:w="1923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Анықталған тәуекел</w:t>
            </w:r>
          </w:p>
        </w:tc>
        <w:tc>
          <w:tcPr/>
          <w:p>
            <w:pPr>
              <w:pStyle w:val="Compact"/>
            </w:pPr>
            <w:r>
              <w:t xml:space="preserve">Жою жөніндегі шара</w:t>
            </w:r>
          </w:p>
        </w:tc>
        <w:tc>
          <w:tcPr/>
          <w:p>
            <w:pPr>
              <w:pStyle w:val="Compact"/>
            </w:pPr>
            <w:r>
              <w:t xml:space="preserve">Орындау мерзімі</w:t>
            </w:r>
          </w:p>
        </w:tc>
        <w:tc>
          <w:tcPr/>
          <w:p>
            <w:pPr>
              <w:pStyle w:val="Compact"/>
            </w:pPr>
            <w:r>
              <w:t xml:space="preserve">Жауапты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Ветеринариялық анықтамаларды беру кезінде қызмет алушы мен қызмет көрсетуші арасындағы тікелей байланыс</w:t>
            </w:r>
          </w:p>
        </w:tc>
        <w:tc>
          <w:tcPr/>
          <w:p>
            <w:pPr>
              <w:pStyle w:val="Compact"/>
            </w:pPr>
            <w:r>
              <w:t xml:space="preserve">Қызмет көрсету алгоритмін бекіту және электрондық форматқа көшіру бойынша ұсыныстар енгізу</w:t>
            </w:r>
          </w:p>
        </w:tc>
        <w:tc>
          <w:tcPr/>
          <w:p>
            <w:pPr>
              <w:pStyle w:val="Compact"/>
            </w:pPr>
            <w:r>
              <w:t xml:space="preserve">2026 жылғы IV тоқсан</w:t>
            </w:r>
          </w:p>
        </w:tc>
        <w:tc>
          <w:tcPr/>
          <w:p>
            <w:pPr>
              <w:pStyle w:val="Compact"/>
            </w:pPr>
            <w:r>
              <w:t xml:space="preserve">Жауапты бөлім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Мемлекеттік сатып алуда бір көзден сатып алу үлесінің жоғары болуы</w:t>
            </w:r>
          </w:p>
        </w:tc>
        <w:tc>
          <w:tcPr/>
          <w:p>
            <w:pPr>
              <w:pStyle w:val="Compact"/>
            </w:pPr>
            <w:r>
              <w:t xml:space="preserve">Бәсекелестік тәсілдер арқылы сатып алу үлесін арттыру, жоспарлау сапасын жақсарту</w:t>
            </w:r>
          </w:p>
        </w:tc>
        <w:tc>
          <w:tcPr/>
          <w:p>
            <w:pPr>
              <w:pStyle w:val="Compact"/>
            </w:pPr>
            <w:r>
              <w:t xml:space="preserve">Тұрақты</w:t>
            </w:r>
          </w:p>
        </w:tc>
        <w:tc>
          <w:tcPr/>
          <w:p>
            <w:pPr>
              <w:pStyle w:val="Compact"/>
            </w:pPr>
            <w:r>
              <w:t xml:space="preserve">Мемлекеттік сатып алу жөніндегі жауапты маман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Мемлекеттік қызмет көрсету мерзімдерінің созылу қаупі</w:t>
            </w:r>
          </w:p>
        </w:tc>
        <w:tc>
          <w:tcPr/>
          <w:p>
            <w:pPr>
              <w:pStyle w:val="Compact"/>
            </w:pPr>
            <w:r>
              <w:t xml:space="preserve">Қызмет көрсету мерзімдеріне тұрақты мониторинг жүргізу</w:t>
            </w:r>
          </w:p>
        </w:tc>
        <w:tc>
          <w:tcPr/>
          <w:p>
            <w:pPr>
              <w:pStyle w:val="Compact"/>
            </w:pPr>
            <w:r>
              <w:t xml:space="preserve">Ай сайын</w:t>
            </w:r>
          </w:p>
        </w:tc>
        <w:tc>
          <w:tcPr/>
          <w:p>
            <w:pPr>
              <w:pStyle w:val="Compact"/>
            </w:pPr>
            <w:r>
              <w:t xml:space="preserve">Жауапты бөлім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Лицензиялау рәсімдерінің күрделілігі</w:t>
            </w:r>
          </w:p>
        </w:tc>
        <w:tc>
          <w:tcPr/>
          <w:p>
            <w:pPr>
              <w:pStyle w:val="Compact"/>
            </w:pPr>
            <w:r>
              <w:t xml:space="preserve">Рәсімдерді оңтайландыру және ведомствоаралық өзара іс-қимылды жетілдіру бойынша ұсыныстар енгізу</w:t>
            </w:r>
          </w:p>
        </w:tc>
        <w:tc>
          <w:tcPr/>
          <w:p>
            <w:pPr>
              <w:pStyle w:val="Compact"/>
            </w:pPr>
            <w:r>
              <w:t xml:space="preserve">2026 жылғы IV тоқсан</w:t>
            </w:r>
          </w:p>
        </w:tc>
        <w:tc>
          <w:tcPr/>
          <w:p>
            <w:pPr>
              <w:pStyle w:val="Compact"/>
            </w:pPr>
            <w:r>
              <w:t xml:space="preserve">Жауапты бөлім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Адами фактордың жоғары болуы</w:t>
            </w:r>
          </w:p>
        </w:tc>
        <w:tc>
          <w:tcPr/>
          <w:p>
            <w:pPr>
              <w:pStyle w:val="Compact"/>
            </w:pPr>
            <w:r>
              <w:t xml:space="preserve">Ішкі бақылауды күшейту, қызметкерлерге түсіндіру жұмыстарын жүргізу</w:t>
            </w:r>
          </w:p>
        </w:tc>
        <w:tc>
          <w:tcPr/>
          <w:p>
            <w:pPr>
              <w:pStyle w:val="Compact"/>
            </w:pPr>
            <w:r>
              <w:t xml:space="preserve">Тұрақты</w:t>
            </w:r>
          </w:p>
        </w:tc>
        <w:tc>
          <w:tcPr/>
          <w:p>
            <w:pPr>
              <w:pStyle w:val="Compact"/>
            </w:pPr>
            <w:r>
              <w:t xml:space="preserve">Әдеп жөніндегі уәкіл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Сатып алу рәсімдеріне бақылаудың жеткіліксіздігі</w:t>
            </w:r>
          </w:p>
        </w:tc>
        <w:tc>
          <w:tcPr/>
          <w:p>
            <w:pPr>
              <w:pStyle w:val="Compact"/>
            </w:pPr>
            <w:r>
              <w:t xml:space="preserve">Мемлекеттік сатып алуларға ішкі аудит және мониторинг жүргізу</w:t>
            </w:r>
          </w:p>
        </w:tc>
        <w:tc>
          <w:tcPr/>
          <w:p>
            <w:pPr>
              <w:pStyle w:val="Compact"/>
            </w:pPr>
            <w:r>
              <w:t xml:space="preserve">Тоқсан сайын</w:t>
            </w:r>
          </w:p>
        </w:tc>
        <w:tc>
          <w:tcPr/>
          <w:p>
            <w:pPr>
              <w:pStyle w:val="Compact"/>
            </w:pPr>
            <w:r>
              <w:t xml:space="preserve">Жауапты бөлім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Сыбайлас жемқорлыққа қарсы талаптардың сақталуына бақылаудың жеткіліксіздігі</w:t>
            </w:r>
          </w:p>
        </w:tc>
        <w:tc>
          <w:tcPr/>
          <w:p>
            <w:pPr>
              <w:pStyle w:val="Compact"/>
            </w:pPr>
            <w:r>
              <w:t xml:space="preserve">Комплаенс-бақылау тетіктерін күшейту, тәуекелдерге тұрақты мониторинг жүргізу</w:t>
            </w:r>
          </w:p>
        </w:tc>
        <w:tc>
          <w:tcPr/>
          <w:p>
            <w:pPr>
              <w:pStyle w:val="Compact"/>
            </w:pPr>
            <w:r>
              <w:t xml:space="preserve">Тұрақты</w:t>
            </w:r>
          </w:p>
        </w:tc>
        <w:tc>
          <w:tcPr/>
          <w:p>
            <w:pPr>
              <w:pStyle w:val="Compact"/>
            </w:pPr>
            <w:r>
              <w:t xml:space="preserve">Басшылық</w:t>
            </w:r>
          </w:p>
        </w:tc>
      </w:tr>
    </w:tbl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