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«Ұлытау облысының ветеринария басқармасы» мемлекеттік мекемесінде анықталған сыбайлас жемқорлық тәуекелдерін төмендету жөніндегі іс-шаралар жоспары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65"/>
        <w:gridCol w:w="2262"/>
        <w:gridCol w:w="3205"/>
        <w:gridCol w:w="188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Іс-шаралар</w:t>
            </w:r>
          </w:p>
        </w:tc>
        <w:tc>
          <w:tcPr/>
          <w:p>
            <w:pPr>
              <w:pStyle w:val="Compact"/>
            </w:pPr>
            <w:r>
              <w:t xml:space="preserve">Орындау мерзімі</w:t>
            </w:r>
          </w:p>
        </w:tc>
        <w:tc>
          <w:tcPr/>
          <w:p>
            <w:pPr>
              <w:pStyle w:val="Compact"/>
            </w:pPr>
            <w:r>
              <w:t xml:space="preserve">Жауапты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Ветеринариялық анықтамаларды беру бойынша бизнес-процестерді қайта қарап, ішкі алгоритм әзірлеу</w:t>
            </w:r>
          </w:p>
        </w:tc>
        <w:tc>
          <w:tcPr/>
          <w:p>
            <w:pPr>
              <w:pStyle w:val="Compact"/>
            </w:pPr>
            <w:r>
              <w:t xml:space="preserve">2026 жылғы IV тоқсан</w:t>
            </w:r>
          </w:p>
        </w:tc>
        <w:tc>
          <w:tcPr/>
          <w:p>
            <w:pPr>
              <w:pStyle w:val="Compact"/>
            </w:pPr>
            <w:r>
              <w:t xml:space="preserve">Басшының орынбасары, жауапты бөлім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Мемлекеттік қызметтерді көрсету барысында рәсімдерді цифрландыру және электрондық форматқа көшіру бойынша ұсыныстар енгізу</w:t>
            </w:r>
          </w:p>
        </w:tc>
        <w:tc>
          <w:tcPr/>
          <w:p>
            <w:pPr>
              <w:pStyle w:val="Compact"/>
            </w:pPr>
            <w:r>
              <w:t xml:space="preserve">Тұрақты</w:t>
            </w:r>
          </w:p>
        </w:tc>
        <w:tc>
          <w:tcPr/>
          <w:p>
            <w:pPr>
              <w:pStyle w:val="Compact"/>
            </w:pPr>
            <w:r>
              <w:t xml:space="preserve">Жауапты бөлім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Мемлекеттік сатып алу рәсімдеріне тұрақты ішкі мониторинг жүргізу</w:t>
            </w:r>
          </w:p>
        </w:tc>
        <w:tc>
          <w:tcPr/>
          <w:p>
            <w:pPr>
              <w:pStyle w:val="Compact"/>
            </w:pPr>
            <w:r>
              <w:t xml:space="preserve">Ай сайын</w:t>
            </w:r>
          </w:p>
        </w:tc>
        <w:tc>
          <w:tcPr/>
          <w:p>
            <w:pPr>
              <w:pStyle w:val="Compact"/>
            </w:pPr>
            <w:r>
              <w:t xml:space="preserve">Мемлекеттік сатып алу жөніндегі жауапты маман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Бір көзден сатып алу тәсілін қолдануды барынша азайту және бәсекелестік тәсілдерді қолдану</w:t>
            </w:r>
          </w:p>
        </w:tc>
        <w:tc>
          <w:tcPr/>
          <w:p>
            <w:pPr>
              <w:pStyle w:val="Compact"/>
            </w:pPr>
            <w:r>
              <w:t xml:space="preserve">Тұрақты</w:t>
            </w:r>
          </w:p>
        </w:tc>
        <w:tc>
          <w:tcPr/>
          <w:p>
            <w:pPr>
              <w:pStyle w:val="Compact"/>
            </w:pPr>
            <w:r>
              <w:t xml:space="preserve">Мемлекеттік сатып алу жөніндегі жауапты маман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Лицензиялау рәсімдерін оңтайландыру бойынша ұсыныстар әзірлеу</w:t>
            </w:r>
          </w:p>
        </w:tc>
        <w:tc>
          <w:tcPr/>
          <w:p>
            <w:pPr>
              <w:pStyle w:val="Compact"/>
            </w:pPr>
            <w:r>
              <w:t xml:space="preserve">2026 жылғы IV тоқсан</w:t>
            </w:r>
          </w:p>
        </w:tc>
        <w:tc>
          <w:tcPr/>
          <w:p>
            <w:pPr>
              <w:pStyle w:val="Compact"/>
            </w:pPr>
            <w:r>
              <w:t xml:space="preserve">Жауапты бөлім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Қызметкерлер арасында сыбайлас жемқорлыққа қарсы заңнама талаптарын түсіндіру бойынша семинарлар өткізу</w:t>
            </w:r>
          </w:p>
        </w:tc>
        <w:tc>
          <w:tcPr/>
          <w:p>
            <w:pPr>
              <w:pStyle w:val="Compact"/>
            </w:pPr>
            <w:r>
              <w:t xml:space="preserve">Тоқсан сайын</w:t>
            </w:r>
          </w:p>
        </w:tc>
        <w:tc>
          <w:tcPr/>
          <w:p>
            <w:pPr>
              <w:pStyle w:val="Compact"/>
            </w:pPr>
            <w:r>
              <w:t xml:space="preserve">Әдеп жөніндегі уәкіл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Мемлекеттік қызмет көрсету сапасына ішкі бақылауды күшейту</w:t>
            </w:r>
          </w:p>
        </w:tc>
        <w:tc>
          <w:tcPr/>
          <w:p>
            <w:pPr>
              <w:pStyle w:val="Compact"/>
            </w:pPr>
            <w:r>
              <w:t xml:space="preserve">Тұрақты</w:t>
            </w:r>
          </w:p>
        </w:tc>
        <w:tc>
          <w:tcPr/>
          <w:p>
            <w:pPr>
              <w:pStyle w:val="Compact"/>
            </w:pPr>
            <w:r>
              <w:t xml:space="preserve">Басшылық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Азаматтардың өтініштері мен шағымдарына тұрақты талдау жүргізу</w:t>
            </w:r>
          </w:p>
        </w:tc>
        <w:tc>
          <w:tcPr/>
          <w:p>
            <w:pPr>
              <w:pStyle w:val="Compact"/>
            </w:pPr>
            <w:r>
              <w:t xml:space="preserve">Тоқсан сайын</w:t>
            </w:r>
          </w:p>
        </w:tc>
        <w:tc>
          <w:tcPr/>
          <w:p>
            <w:pPr>
              <w:pStyle w:val="Compact"/>
            </w:pPr>
            <w:r>
              <w:t xml:space="preserve">Құжаттамалық қамтамасыз ету бөлімі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Комплаенс-бақылау тетіктерін жетілдіру және ішкі бақылауды күшейту</w:t>
            </w:r>
          </w:p>
        </w:tc>
        <w:tc>
          <w:tcPr/>
          <w:p>
            <w:pPr>
              <w:pStyle w:val="Compact"/>
            </w:pPr>
            <w:r>
              <w:t xml:space="preserve">Тұрақты</w:t>
            </w:r>
          </w:p>
        </w:tc>
        <w:tc>
          <w:tcPr/>
          <w:p>
            <w:pPr>
              <w:pStyle w:val="Compact"/>
            </w:pPr>
            <w:r>
              <w:t xml:space="preserve">Комплаенс-қызметкер (бар болған жағдайда) немесе жауапты тұлға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Сыбайлас жемқорлық тәуекелдеріне ішкі талдау нәтижелерінің орындалуына мониторинг жүргізу</w:t>
            </w:r>
          </w:p>
        </w:tc>
        <w:tc>
          <w:tcPr/>
          <w:p>
            <w:pPr>
              <w:pStyle w:val="Compact"/>
            </w:pPr>
            <w:r>
              <w:t xml:space="preserve">Жартыжылдық сайын</w:t>
            </w:r>
          </w:p>
        </w:tc>
        <w:tc>
          <w:tcPr/>
          <w:p>
            <w:pPr>
              <w:pStyle w:val="Compact"/>
            </w:pPr>
            <w:r>
              <w:t xml:space="preserve">Басқарма басшысы, жұмыс тобы</w:t>
            </w:r>
          </w:p>
        </w:tc>
      </w:tr>
    </w:tbl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