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firstLine="709"/>
        <w:jc w:val="center"/>
        <w:rPr>
          <w:sz w:val="18"/>
          <w:szCs w:val="18"/>
        </w:rPr>
      </w:pPr>
      <w:r>
        <w:rPr>
          <w:b/>
          <w:bCs/>
          <w:sz w:val="18"/>
          <w:szCs w:val="18"/>
          <w:lang w:val="kk-KZ"/>
        </w:rPr>
        <w:t xml:space="preserve">«ПромКирпичKZ» ЖШС-нің «Қарағанды облысының аумағында орналасқан ашық тәсілмен </w:t>
      </w:r>
      <w:r>
        <w:rPr>
          <w:b/>
          <w:bCs/>
          <w:sz w:val="18"/>
          <w:szCs w:val="18"/>
          <w:lang w:val="kk-KZ"/>
        </w:rPr>
        <w:t>«</w:t>
      </w:r>
      <w:r>
        <w:rPr>
          <w:b/>
          <w:bCs/>
          <w:sz w:val="18"/>
          <w:szCs w:val="18"/>
          <w:lang w:val="kk-KZ"/>
        </w:rPr>
        <w:t xml:space="preserve">Нұра» кен орнының саз шикізатын өндірудің тау-кен жұмыстарының жоспары» туралы көзделіп отырған қызмет туралы өтініш бойынша ұсыныстар мен ескертулердің жиынтық кестесі / </w:t>
      </w:r>
      <w:r>
        <w:rPr>
          <w:b/>
          <w:bCs/>
          <w:sz w:val="18"/>
          <w:szCs w:val="18"/>
        </w:rPr>
        <w:t>Сводная таблица предложений и замечаний по Заявлению о намечаемой деятельности по объекту «План горных работ добычи глинистого сырья месторождения «Нура» открытым способом распложенного на территории Карагандинской области»</w:t>
      </w:r>
      <w:r>
        <w:rPr>
          <w:b/>
          <w:sz w:val="18"/>
          <w:szCs w:val="18"/>
        </w:rPr>
        <w:t xml:space="preserve"> от</w:t>
      </w:r>
      <w:r>
        <w:rPr>
          <w:b/>
          <w:sz w:val="18"/>
          <w:szCs w:val="18"/>
          <w:lang w:val="kk-KZ"/>
        </w:rPr>
        <w:t xml:space="preserve"> ТОО </w:t>
      </w:r>
      <w:r>
        <w:rPr>
          <w:b/>
          <w:sz w:val="18"/>
          <w:szCs w:val="18"/>
        </w:rPr>
        <w:t>«ПромКирпичKZ»</w:t>
      </w:r>
    </w:p>
    <w:p>
      <w:pPr>
        <w:pStyle w:val="Normal"/>
        <w:ind w:firstLine="709"/>
        <w:jc w:val="center"/>
        <w:rPr>
          <w:b/>
          <w:b/>
          <w:bCs/>
          <w:sz w:val="18"/>
          <w:szCs w:val="18"/>
          <w:lang w:val="kk-KZ"/>
        </w:rPr>
      </w:pPr>
      <w:r>
        <w:rPr>
          <w:b/>
          <w:bCs/>
          <w:sz w:val="18"/>
          <w:szCs w:val="18"/>
          <w:lang w:val="kk-KZ"/>
        </w:rPr>
      </w:r>
    </w:p>
    <w:p>
      <w:pPr>
        <w:pStyle w:val="ListParagraph"/>
        <w:tabs>
          <w:tab w:val="clear" w:pos="708"/>
          <w:tab w:val="left" w:pos="1134" w:leader="none"/>
        </w:tabs>
        <w:ind w:left="0" w:firstLine="709"/>
        <w:jc w:val="both"/>
        <w:rPr>
          <w:sz w:val="18"/>
          <w:szCs w:val="18"/>
        </w:rPr>
      </w:pPr>
      <w:r>
        <w:rPr>
          <w:sz w:val="18"/>
          <w:szCs w:val="18"/>
        </w:rPr>
        <w:t xml:space="preserve">Жиынтық кесте жасалған күні/Дата составления сводной таблицы: </w:t>
      </w:r>
      <w:r>
        <w:rPr>
          <w:b/>
          <w:bCs/>
          <w:sz w:val="18"/>
          <w:szCs w:val="18"/>
          <w:u w:val="single"/>
          <w:lang w:val="ru-RU"/>
        </w:rPr>
        <w:t>06</w:t>
      </w:r>
      <w:r>
        <w:rPr>
          <w:b/>
          <w:bCs/>
          <w:sz w:val="18"/>
          <w:szCs w:val="18"/>
          <w:u w:val="single"/>
          <w:lang w:val="ru-RU"/>
        </w:rPr>
        <w:t>.0</w:t>
      </w:r>
      <w:r>
        <w:rPr>
          <w:b/>
          <w:bCs/>
          <w:sz w:val="18"/>
          <w:szCs w:val="18"/>
          <w:u w:val="single"/>
          <w:lang w:val="ru-RU"/>
        </w:rPr>
        <w:t>8</w:t>
      </w:r>
      <w:r>
        <w:rPr>
          <w:b/>
          <w:bCs/>
          <w:sz w:val="18"/>
          <w:szCs w:val="18"/>
          <w:u w:val="single"/>
          <w:lang w:val="ru-RU"/>
        </w:rPr>
        <w:t>.2026</w:t>
      </w:r>
      <w:r>
        <w:rPr>
          <w:b/>
          <w:bCs/>
          <w:sz w:val="18"/>
          <w:szCs w:val="18"/>
          <w:u w:val="single"/>
        </w:rPr>
        <w:t xml:space="preserve"> ж. / </w:t>
      </w:r>
      <w:r>
        <w:rPr>
          <w:b/>
          <w:bCs/>
          <w:sz w:val="18"/>
          <w:szCs w:val="18"/>
          <w:u w:val="single"/>
          <w:lang w:val="ru-RU"/>
        </w:rPr>
        <w:t>0</w:t>
      </w:r>
      <w:r>
        <w:rPr>
          <w:b/>
          <w:bCs/>
          <w:sz w:val="18"/>
          <w:szCs w:val="18"/>
          <w:u w:val="single"/>
          <w:lang w:val="ru-RU"/>
        </w:rPr>
        <w:t>6</w:t>
      </w:r>
      <w:r>
        <w:rPr>
          <w:b/>
          <w:bCs/>
          <w:sz w:val="18"/>
          <w:szCs w:val="18"/>
          <w:u w:val="single"/>
          <w:lang w:val="ru-RU"/>
        </w:rPr>
        <w:t>.0</w:t>
      </w:r>
      <w:r>
        <w:rPr>
          <w:b/>
          <w:bCs/>
          <w:sz w:val="18"/>
          <w:szCs w:val="18"/>
          <w:u w:val="single"/>
          <w:lang w:val="ru-RU"/>
        </w:rPr>
        <w:t>8</w:t>
      </w:r>
      <w:r>
        <w:rPr>
          <w:b/>
          <w:bCs/>
          <w:sz w:val="18"/>
          <w:szCs w:val="18"/>
          <w:u w:val="single"/>
          <w:lang w:val="ru-RU"/>
        </w:rPr>
        <w:t>.2026</w:t>
      </w:r>
      <w:r>
        <w:rPr>
          <w:b/>
          <w:bCs/>
          <w:sz w:val="18"/>
          <w:szCs w:val="18"/>
          <w:u w:val="single"/>
          <w:lang w:val="kk-KZ"/>
        </w:rPr>
        <w:t xml:space="preserve"> г.</w:t>
      </w:r>
    </w:p>
    <w:p>
      <w:pPr>
        <w:pStyle w:val="ListParagraph"/>
        <w:tabs>
          <w:tab w:val="clear" w:pos="708"/>
          <w:tab w:val="left" w:pos="1134" w:leader="none"/>
        </w:tabs>
        <w:ind w:left="0" w:firstLine="709"/>
        <w:jc w:val="both"/>
        <w:rPr>
          <w:sz w:val="18"/>
          <w:szCs w:val="18"/>
        </w:rPr>
      </w:pPr>
      <w:r>
        <w:rPr>
          <w:sz w:val="18"/>
          <w:szCs w:val="18"/>
        </w:rPr>
        <w:t xml:space="preserve">Жиынтық кесте жасалған орны/Место составления сводной таблицы: </w:t>
      </w:r>
      <w:r>
        <w:rPr>
          <w:b/>
          <w:bCs/>
          <w:sz w:val="18"/>
          <w:szCs w:val="18"/>
          <w:u w:val="single"/>
        </w:rPr>
        <w:t>Қарағанды облысы, Қарағанды қ</w:t>
      </w:r>
      <w:r>
        <w:rPr>
          <w:b/>
          <w:bCs/>
          <w:sz w:val="18"/>
          <w:szCs w:val="18"/>
          <w:u w:val="single"/>
          <w:lang w:val="kk-KZ"/>
        </w:rPr>
        <w:t>.</w:t>
      </w:r>
      <w:r>
        <w:rPr>
          <w:b/>
          <w:bCs/>
          <w:sz w:val="18"/>
          <w:szCs w:val="18"/>
          <w:u w:val="single"/>
        </w:rPr>
        <w:t>, Б</w:t>
      </w:r>
      <w:r>
        <w:rPr>
          <w:b/>
          <w:bCs/>
          <w:sz w:val="18"/>
          <w:szCs w:val="18"/>
          <w:u w:val="single"/>
          <w:lang w:val="kk-KZ"/>
        </w:rPr>
        <w:t>ұқ</w:t>
      </w:r>
      <w:r>
        <w:rPr>
          <w:b/>
          <w:bCs/>
          <w:sz w:val="18"/>
          <w:szCs w:val="18"/>
          <w:u w:val="single"/>
        </w:rPr>
        <w:t>ар-Жырау даңғылы 47, Қара</w:t>
      </w:r>
      <w:r>
        <w:rPr>
          <w:b/>
          <w:bCs/>
          <w:sz w:val="18"/>
          <w:szCs w:val="18"/>
          <w:u w:val="single"/>
          <w:lang w:val="kk-KZ"/>
        </w:rPr>
        <w:t>ғанды облысы</w:t>
      </w:r>
      <w:r>
        <w:rPr>
          <w:b/>
          <w:bCs/>
          <w:sz w:val="18"/>
          <w:szCs w:val="18"/>
          <w:u w:val="single"/>
        </w:rPr>
        <w:t xml:space="preserve"> бойынша </w:t>
      </w:r>
      <w:r>
        <w:rPr>
          <w:b/>
          <w:bCs/>
          <w:sz w:val="18"/>
          <w:szCs w:val="18"/>
          <w:u w:val="single"/>
          <w:lang w:val="kk-KZ"/>
        </w:rPr>
        <w:t>э</w:t>
      </w:r>
      <w:r>
        <w:rPr>
          <w:b/>
          <w:bCs/>
          <w:sz w:val="18"/>
          <w:szCs w:val="18"/>
          <w:u w:val="single"/>
        </w:rPr>
        <w:t>кология департаменті</w:t>
      </w:r>
      <w:r>
        <w:rPr>
          <w:b/>
          <w:bCs/>
          <w:sz w:val="18"/>
          <w:szCs w:val="18"/>
          <w:u w:val="single"/>
          <w:lang w:val="kk-KZ"/>
        </w:rPr>
        <w:t xml:space="preserve"> / Карагандинская область</w:t>
      </w:r>
      <w:r>
        <w:rPr>
          <w:b/>
          <w:bCs/>
          <w:sz w:val="18"/>
          <w:szCs w:val="18"/>
          <w:u w:val="single"/>
        </w:rPr>
        <w:t xml:space="preserve">, г. </w:t>
      </w:r>
      <w:r>
        <w:rPr>
          <w:b/>
          <w:bCs/>
          <w:sz w:val="18"/>
          <w:szCs w:val="18"/>
          <w:u w:val="single"/>
          <w:lang w:val="kk-KZ"/>
        </w:rPr>
        <w:t>Караганда</w:t>
      </w:r>
      <w:r>
        <w:rPr>
          <w:b/>
          <w:bCs/>
          <w:sz w:val="18"/>
          <w:szCs w:val="18"/>
          <w:u w:val="single"/>
        </w:rPr>
        <w:t xml:space="preserve">, проспект </w:t>
      </w:r>
      <w:r>
        <w:rPr>
          <w:b/>
          <w:bCs/>
          <w:sz w:val="18"/>
          <w:szCs w:val="18"/>
          <w:u w:val="single"/>
          <w:lang w:val="kk-KZ"/>
        </w:rPr>
        <w:t>Бухар-Жырау</w:t>
      </w:r>
      <w:r>
        <w:rPr>
          <w:b/>
          <w:bCs/>
          <w:sz w:val="18"/>
          <w:szCs w:val="18"/>
          <w:u w:val="single"/>
        </w:rPr>
        <w:t xml:space="preserve"> </w:t>
      </w:r>
      <w:r>
        <w:rPr>
          <w:b/>
          <w:bCs/>
          <w:sz w:val="18"/>
          <w:szCs w:val="18"/>
          <w:u w:val="single"/>
          <w:lang w:val="kk-KZ"/>
        </w:rPr>
        <w:t>47</w:t>
      </w:r>
      <w:r>
        <w:rPr>
          <w:b/>
          <w:bCs/>
          <w:sz w:val="18"/>
          <w:szCs w:val="18"/>
          <w:u w:val="single"/>
        </w:rPr>
        <w:t xml:space="preserve">, Департамент экологии по </w:t>
      </w:r>
      <w:r>
        <w:rPr>
          <w:b/>
          <w:bCs/>
          <w:sz w:val="18"/>
          <w:szCs w:val="18"/>
          <w:u w:val="single"/>
          <w:lang w:val="kk-KZ"/>
        </w:rPr>
        <w:t>Карагандинской</w:t>
      </w:r>
      <w:r>
        <w:rPr>
          <w:b/>
          <w:bCs/>
          <w:sz w:val="18"/>
          <w:szCs w:val="18"/>
          <w:u w:val="single"/>
        </w:rPr>
        <w:t xml:space="preserve"> области</w:t>
      </w:r>
    </w:p>
    <w:p>
      <w:pPr>
        <w:pStyle w:val="ListParagraph"/>
        <w:tabs>
          <w:tab w:val="clear" w:pos="708"/>
          <w:tab w:val="left" w:pos="1134" w:leader="none"/>
        </w:tabs>
        <w:ind w:left="0" w:firstLine="709"/>
        <w:jc w:val="both"/>
        <w:rPr>
          <w:sz w:val="18"/>
          <w:szCs w:val="18"/>
        </w:rPr>
      </w:pPr>
      <w:r>
        <w:rPr>
          <w:sz w:val="18"/>
          <w:szCs w:val="18"/>
        </w:rPr>
        <w:t>Қоршаған ортаны қорғау саласындағы уәкілетті органның атауы</w:t>
      </w:r>
      <w:r>
        <w:rPr>
          <w:sz w:val="18"/>
          <w:szCs w:val="18"/>
          <w:lang w:val="kk-KZ"/>
        </w:rPr>
        <w:t>/</w:t>
      </w:r>
      <w:r>
        <w:rPr>
          <w:sz w:val="18"/>
          <w:szCs w:val="18"/>
        </w:rPr>
        <w:t>Наименование уполномоченного органа в области охраны окружающей среды:</w:t>
      </w:r>
      <w:r>
        <w:rPr>
          <w:sz w:val="18"/>
          <w:szCs w:val="18"/>
          <w:lang w:val="kk-KZ"/>
        </w:rPr>
        <w:t xml:space="preserve"> </w:t>
      </w:r>
      <w:r>
        <w:rPr>
          <w:b/>
          <w:bCs/>
          <w:sz w:val="18"/>
          <w:szCs w:val="18"/>
          <w:u w:val="single"/>
        </w:rPr>
        <w:t>Қара</w:t>
      </w:r>
      <w:r>
        <w:rPr>
          <w:b/>
          <w:bCs/>
          <w:sz w:val="18"/>
          <w:szCs w:val="18"/>
          <w:u w:val="single"/>
          <w:lang w:val="kk-KZ"/>
        </w:rPr>
        <w:t>ғанды облысы</w:t>
      </w:r>
      <w:r>
        <w:rPr>
          <w:b/>
          <w:bCs/>
          <w:sz w:val="18"/>
          <w:szCs w:val="18"/>
          <w:u w:val="single"/>
        </w:rPr>
        <w:t xml:space="preserve"> бойынша </w:t>
      </w:r>
      <w:r>
        <w:rPr>
          <w:b/>
          <w:bCs/>
          <w:sz w:val="18"/>
          <w:szCs w:val="18"/>
          <w:u w:val="single"/>
          <w:lang w:val="kk-KZ"/>
        </w:rPr>
        <w:t>э</w:t>
      </w:r>
      <w:r>
        <w:rPr>
          <w:b/>
          <w:bCs/>
          <w:sz w:val="18"/>
          <w:szCs w:val="18"/>
          <w:u w:val="single"/>
        </w:rPr>
        <w:t>кология департаменті</w:t>
      </w:r>
      <w:r>
        <w:rPr>
          <w:b/>
          <w:bCs/>
          <w:sz w:val="18"/>
          <w:szCs w:val="18"/>
        </w:rPr>
        <w:t xml:space="preserve"> </w:t>
      </w:r>
      <w:r>
        <w:rPr>
          <w:b/>
          <w:bCs/>
          <w:sz w:val="18"/>
          <w:szCs w:val="18"/>
          <w:lang w:val="kk-KZ"/>
        </w:rPr>
        <w:t xml:space="preserve">/ </w:t>
      </w:r>
      <w:r>
        <w:rPr>
          <w:b/>
          <w:bCs/>
          <w:sz w:val="18"/>
          <w:szCs w:val="18"/>
          <w:u w:val="single"/>
        </w:rPr>
        <w:t xml:space="preserve">Департамент экологии по </w:t>
      </w:r>
      <w:r>
        <w:rPr>
          <w:b/>
          <w:bCs/>
          <w:sz w:val="18"/>
          <w:szCs w:val="18"/>
          <w:u w:val="single"/>
          <w:lang w:val="kk-KZ"/>
        </w:rPr>
        <w:t xml:space="preserve">Карагандинской </w:t>
      </w:r>
      <w:r>
        <w:rPr>
          <w:b/>
          <w:bCs/>
          <w:sz w:val="18"/>
          <w:szCs w:val="18"/>
          <w:u w:val="single"/>
        </w:rPr>
        <w:t>области</w:t>
      </w:r>
    </w:p>
    <w:p>
      <w:pPr>
        <w:pStyle w:val="ListParagraph"/>
        <w:tabs>
          <w:tab w:val="clear" w:pos="708"/>
          <w:tab w:val="left" w:pos="1134" w:leader="none"/>
        </w:tabs>
        <w:ind w:left="0" w:firstLine="709"/>
        <w:jc w:val="both"/>
        <w:rPr>
          <w:sz w:val="18"/>
          <w:szCs w:val="18"/>
        </w:rPr>
      </w:pPr>
      <w:r>
        <w:rPr>
          <w:sz w:val="18"/>
          <w:szCs w:val="18"/>
        </w:rPr>
        <w:t>Мүдделі мемлекеттік органдардың ескертулері мен ұсыныстарын жинау туралы хабарлама күні</w:t>
      </w:r>
      <w:r>
        <w:rPr>
          <w:sz w:val="18"/>
          <w:szCs w:val="18"/>
          <w:lang w:val="kk-KZ"/>
        </w:rPr>
        <w:t>/</w:t>
      </w:r>
      <w:r>
        <w:rPr>
          <w:sz w:val="18"/>
          <w:szCs w:val="18"/>
        </w:rPr>
        <w:t xml:space="preserve">Дата извещения о сборе замечаний и предложений заинтересованных государственных органов: </w:t>
      </w:r>
      <w:r>
        <w:rPr>
          <w:b/>
          <w:bCs/>
          <w:sz w:val="18"/>
          <w:szCs w:val="18"/>
          <w:u w:val="single"/>
          <w:lang w:val="ru-RU"/>
        </w:rPr>
        <w:t>08</w:t>
      </w:r>
      <w:r>
        <w:rPr>
          <w:b/>
          <w:bCs/>
          <w:sz w:val="18"/>
          <w:szCs w:val="18"/>
          <w:u w:val="single"/>
          <w:lang w:val="ru-RU"/>
        </w:rPr>
        <w:t>.0</w:t>
      </w:r>
      <w:r>
        <w:rPr>
          <w:b/>
          <w:bCs/>
          <w:sz w:val="18"/>
          <w:szCs w:val="18"/>
          <w:u w:val="single"/>
          <w:lang w:val="ru-RU"/>
        </w:rPr>
        <w:t>7</w:t>
      </w:r>
      <w:r>
        <w:rPr>
          <w:b/>
          <w:bCs/>
          <w:sz w:val="18"/>
          <w:szCs w:val="18"/>
          <w:u w:val="single"/>
          <w:lang w:val="ru-RU"/>
        </w:rPr>
        <w:t>.2026</w:t>
      </w:r>
      <w:r>
        <w:rPr>
          <w:b/>
          <w:bCs/>
          <w:sz w:val="18"/>
          <w:szCs w:val="18"/>
          <w:u w:val="single"/>
        </w:rPr>
        <w:t xml:space="preserve"> ж.</w:t>
      </w:r>
      <w:r>
        <w:rPr>
          <w:b/>
          <w:bCs/>
          <w:sz w:val="18"/>
          <w:szCs w:val="18"/>
          <w:u w:val="single"/>
          <w:lang w:val="kk-KZ"/>
        </w:rPr>
        <w:t xml:space="preserve"> / </w:t>
      </w:r>
      <w:r>
        <w:rPr>
          <w:b/>
          <w:bCs/>
          <w:sz w:val="18"/>
          <w:szCs w:val="18"/>
          <w:u w:val="single"/>
          <w:lang w:val="ru-RU"/>
        </w:rPr>
        <w:t>0</w:t>
      </w:r>
      <w:r>
        <w:rPr>
          <w:b/>
          <w:bCs/>
          <w:sz w:val="18"/>
          <w:szCs w:val="18"/>
          <w:u w:val="single"/>
          <w:lang w:val="ru-RU"/>
        </w:rPr>
        <w:t>8</w:t>
      </w:r>
      <w:r>
        <w:rPr>
          <w:b/>
          <w:bCs/>
          <w:sz w:val="18"/>
          <w:szCs w:val="18"/>
          <w:u w:val="single"/>
          <w:lang w:val="ru-RU"/>
        </w:rPr>
        <w:t>.0</w:t>
      </w:r>
      <w:r>
        <w:rPr>
          <w:b/>
          <w:bCs/>
          <w:sz w:val="18"/>
          <w:szCs w:val="18"/>
          <w:u w:val="single"/>
          <w:lang w:val="ru-RU"/>
        </w:rPr>
        <w:t>7</w:t>
      </w:r>
      <w:r>
        <w:rPr>
          <w:b/>
          <w:bCs/>
          <w:sz w:val="18"/>
          <w:szCs w:val="18"/>
          <w:u w:val="single"/>
          <w:lang w:val="ru-RU"/>
        </w:rPr>
        <w:t>.2026</w:t>
      </w:r>
      <w:r>
        <w:rPr>
          <w:b/>
          <w:bCs/>
          <w:sz w:val="18"/>
          <w:szCs w:val="18"/>
          <w:u w:val="single"/>
          <w:lang w:val="kk-KZ"/>
        </w:rPr>
        <w:t xml:space="preserve"> г.</w:t>
      </w:r>
    </w:p>
    <w:p>
      <w:pPr>
        <w:pStyle w:val="ListParagraph"/>
        <w:tabs>
          <w:tab w:val="clear" w:pos="708"/>
          <w:tab w:val="left" w:pos="1134" w:leader="none"/>
        </w:tabs>
        <w:ind w:left="0" w:firstLine="709"/>
        <w:jc w:val="both"/>
        <w:rPr>
          <w:sz w:val="18"/>
          <w:szCs w:val="18"/>
        </w:rPr>
      </w:pPr>
      <w:r>
        <w:rPr>
          <w:sz w:val="18"/>
          <w:szCs w:val="18"/>
        </w:rPr>
        <w:t>Мүдделі мемлекеттік органдардың ескертулері мен ұсыныстарын ұсыну мерзімі</w:t>
      </w:r>
      <w:r>
        <w:rPr>
          <w:sz w:val="18"/>
          <w:szCs w:val="18"/>
          <w:lang w:val="kk-KZ"/>
        </w:rPr>
        <w:t>/</w:t>
      </w:r>
      <w:r>
        <w:rPr>
          <w:sz w:val="18"/>
          <w:szCs w:val="18"/>
        </w:rPr>
        <w:t xml:space="preserve">Срок предоставления замечаний и предложений заинтересованных государственных органов: </w:t>
      </w:r>
      <w:r>
        <w:rPr>
          <w:b/>
          <w:bCs/>
          <w:sz w:val="18"/>
          <w:szCs w:val="18"/>
          <w:u w:val="single"/>
          <w:lang w:val="ru-RU"/>
        </w:rPr>
        <w:t>0</w:t>
      </w:r>
      <w:r>
        <w:rPr>
          <w:b/>
          <w:bCs/>
          <w:sz w:val="18"/>
          <w:szCs w:val="18"/>
          <w:u w:val="single"/>
          <w:lang w:val="ru-RU"/>
        </w:rPr>
        <w:t>8</w:t>
      </w:r>
      <w:r>
        <w:rPr>
          <w:b/>
          <w:bCs/>
          <w:sz w:val="18"/>
          <w:szCs w:val="18"/>
          <w:u w:val="single"/>
          <w:lang w:val="ru-RU"/>
        </w:rPr>
        <w:t>.0</w:t>
      </w:r>
      <w:r>
        <w:rPr>
          <w:b/>
          <w:bCs/>
          <w:sz w:val="18"/>
          <w:szCs w:val="18"/>
          <w:u w:val="single"/>
          <w:lang w:val="ru-RU"/>
        </w:rPr>
        <w:t>7</w:t>
      </w:r>
      <w:r>
        <w:rPr>
          <w:b/>
          <w:bCs/>
          <w:sz w:val="18"/>
          <w:szCs w:val="18"/>
          <w:u w:val="single"/>
          <w:lang w:val="ru-RU"/>
        </w:rPr>
        <w:t>.2026</w:t>
      </w:r>
      <w:r>
        <w:rPr>
          <w:b/>
          <w:bCs/>
          <w:sz w:val="18"/>
          <w:szCs w:val="18"/>
          <w:u w:val="single"/>
        </w:rPr>
        <w:t>–</w:t>
      </w:r>
      <w:r>
        <w:rPr>
          <w:b/>
          <w:bCs/>
          <w:sz w:val="18"/>
          <w:szCs w:val="18"/>
          <w:u w:val="single"/>
          <w:lang w:val="ru-RU"/>
        </w:rPr>
        <w:t>30</w:t>
      </w:r>
      <w:r>
        <w:rPr>
          <w:b/>
          <w:bCs/>
          <w:sz w:val="18"/>
          <w:szCs w:val="18"/>
          <w:u w:val="single"/>
          <w:lang w:val="ru-RU"/>
        </w:rPr>
        <w:t>.0</w:t>
      </w:r>
      <w:r>
        <w:rPr>
          <w:b/>
          <w:bCs/>
          <w:sz w:val="18"/>
          <w:szCs w:val="18"/>
          <w:u w:val="single"/>
          <w:lang w:val="ru-RU"/>
        </w:rPr>
        <w:t>8</w:t>
      </w:r>
      <w:r>
        <w:rPr>
          <w:b/>
          <w:bCs/>
          <w:sz w:val="18"/>
          <w:szCs w:val="18"/>
          <w:u w:val="single"/>
          <w:lang w:val="ru-RU"/>
        </w:rPr>
        <w:t>.2026</w:t>
      </w:r>
      <w:r>
        <w:rPr>
          <w:b/>
          <w:bCs/>
          <w:sz w:val="18"/>
          <w:szCs w:val="18"/>
          <w:u w:val="single"/>
        </w:rPr>
        <w:t xml:space="preserve"> жж.</w:t>
      </w:r>
      <w:r>
        <w:rPr>
          <w:b/>
          <w:bCs/>
          <w:sz w:val="18"/>
          <w:szCs w:val="18"/>
          <w:u w:val="single"/>
          <w:lang w:val="kk-KZ"/>
        </w:rPr>
        <w:t xml:space="preserve"> / </w:t>
      </w:r>
      <w:r>
        <w:rPr>
          <w:b/>
          <w:bCs/>
          <w:sz w:val="18"/>
          <w:szCs w:val="18"/>
          <w:u w:val="single"/>
          <w:lang w:val="ru-RU"/>
        </w:rPr>
        <w:t>0</w:t>
      </w:r>
      <w:r>
        <w:rPr>
          <w:b/>
          <w:bCs/>
          <w:sz w:val="18"/>
          <w:szCs w:val="18"/>
          <w:u w:val="single"/>
          <w:lang w:val="ru-RU"/>
        </w:rPr>
        <w:t>8</w:t>
      </w:r>
      <w:r>
        <w:rPr>
          <w:b/>
          <w:bCs/>
          <w:sz w:val="18"/>
          <w:szCs w:val="18"/>
          <w:u w:val="single"/>
          <w:lang w:val="ru-RU"/>
        </w:rPr>
        <w:t>.0</w:t>
      </w:r>
      <w:r>
        <w:rPr>
          <w:b/>
          <w:bCs/>
          <w:sz w:val="18"/>
          <w:szCs w:val="18"/>
          <w:u w:val="single"/>
          <w:lang w:val="ru-RU"/>
        </w:rPr>
        <w:t>7</w:t>
      </w:r>
      <w:r>
        <w:rPr>
          <w:b/>
          <w:bCs/>
          <w:sz w:val="18"/>
          <w:szCs w:val="18"/>
          <w:u w:val="single"/>
          <w:lang w:val="ru-RU"/>
        </w:rPr>
        <w:t>.2026</w:t>
      </w:r>
      <w:r>
        <w:rPr>
          <w:b/>
          <w:bCs/>
          <w:sz w:val="18"/>
          <w:szCs w:val="18"/>
          <w:u w:val="single"/>
          <w:lang w:val="kk-KZ"/>
        </w:rPr>
        <w:t>-</w:t>
      </w:r>
      <w:r>
        <w:rPr>
          <w:b/>
          <w:bCs/>
          <w:sz w:val="18"/>
          <w:szCs w:val="18"/>
          <w:u w:val="single"/>
          <w:lang w:val="ru-RU"/>
        </w:rPr>
        <w:t>30</w:t>
      </w:r>
      <w:r>
        <w:rPr>
          <w:b/>
          <w:bCs/>
          <w:sz w:val="18"/>
          <w:szCs w:val="18"/>
          <w:u w:val="single"/>
          <w:lang w:val="ru-RU"/>
        </w:rPr>
        <w:t>.0</w:t>
      </w:r>
      <w:r>
        <w:rPr>
          <w:b/>
          <w:bCs/>
          <w:sz w:val="18"/>
          <w:szCs w:val="18"/>
          <w:u w:val="single"/>
          <w:lang w:val="ru-RU"/>
        </w:rPr>
        <w:t>8</w:t>
      </w:r>
      <w:r>
        <w:rPr>
          <w:b/>
          <w:bCs/>
          <w:sz w:val="18"/>
          <w:szCs w:val="18"/>
          <w:u w:val="single"/>
          <w:lang w:val="ru-RU"/>
        </w:rPr>
        <w:t>.2026</w:t>
      </w:r>
      <w:r>
        <w:rPr>
          <w:b/>
          <w:bCs/>
          <w:sz w:val="18"/>
          <w:szCs w:val="18"/>
          <w:u w:val="single"/>
          <w:lang w:val="kk-KZ"/>
        </w:rPr>
        <w:t xml:space="preserve"> гг.</w:t>
      </w:r>
    </w:p>
    <w:p>
      <w:pPr>
        <w:pStyle w:val="ListParagraph"/>
        <w:tabs>
          <w:tab w:val="clear" w:pos="708"/>
          <w:tab w:val="left" w:pos="1134" w:leader="none"/>
        </w:tabs>
        <w:ind w:left="0" w:firstLine="709"/>
        <w:jc w:val="both"/>
        <w:rPr>
          <w:sz w:val="18"/>
          <w:szCs w:val="18"/>
        </w:rPr>
      </w:pPr>
      <w:r>
        <w:rPr>
          <w:sz w:val="18"/>
          <w:szCs w:val="18"/>
        </w:rPr>
        <w:t>Мүдделі мемлекеттік органдардың ескертулер мен ұсыныстары</w:t>
      </w:r>
      <w:r>
        <w:rPr>
          <w:sz w:val="18"/>
          <w:szCs w:val="18"/>
          <w:lang w:val="kk-KZ"/>
        </w:rPr>
        <w:t>/За</w:t>
      </w:r>
      <w:r>
        <w:rPr>
          <w:sz w:val="18"/>
          <w:szCs w:val="18"/>
        </w:rPr>
        <w:t>мечания и предложения заинтересованных государственных органов:</w:t>
      </w:r>
    </w:p>
    <w:tbl>
      <w:tblPr>
        <w:tblW w:w="10201"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421"/>
        <w:gridCol w:w="2247"/>
        <w:gridCol w:w="5832"/>
        <w:gridCol w:w="1700"/>
      </w:tblGrid>
      <w:tr>
        <w:trPr>
          <w:trHeight w:val="3645" w:hRule="atLeast"/>
        </w:trPr>
        <w:tc>
          <w:tcPr>
            <w:tcW w:w="421" w:type="dxa"/>
            <w:tcBorders>
              <w:top w:val="single" w:sz="4" w:space="0" w:color="000000"/>
              <w:left w:val="single" w:sz="4" w:space="0" w:color="000000"/>
              <w:right w:val="single" w:sz="4" w:space="0" w:color="000000"/>
            </w:tcBorders>
          </w:tcPr>
          <w:p>
            <w:pPr>
              <w:pStyle w:val="ListParagraph"/>
              <w:widowControl w:val="false"/>
              <w:tabs>
                <w:tab w:val="clear" w:pos="708"/>
                <w:tab w:val="left" w:pos="1134" w:leader="none"/>
              </w:tabs>
              <w:ind w:left="0" w:hanging="0"/>
              <w:jc w:val="center"/>
              <w:rPr>
                <w:sz w:val="17"/>
                <w:szCs w:val="17"/>
              </w:rPr>
            </w:pPr>
            <w:r>
              <w:rPr>
                <w:b/>
                <w:sz w:val="17"/>
                <w:szCs w:val="17"/>
              </w:rPr>
              <w:t>№</w:t>
            </w:r>
          </w:p>
        </w:tc>
        <w:tc>
          <w:tcPr>
            <w:tcW w:w="2247" w:type="dxa"/>
            <w:tcBorders>
              <w:top w:val="single" w:sz="4" w:space="0" w:color="000000"/>
              <w:left w:val="single" w:sz="4" w:space="0" w:color="000000"/>
              <w:right w:val="single" w:sz="4" w:space="0" w:color="000000"/>
            </w:tcBorders>
          </w:tcPr>
          <w:p>
            <w:pPr>
              <w:pStyle w:val="ListParagraph"/>
              <w:widowControl w:val="false"/>
              <w:tabs>
                <w:tab w:val="clear" w:pos="708"/>
                <w:tab w:val="left" w:pos="1134" w:leader="none"/>
              </w:tabs>
              <w:ind w:left="0" w:hanging="0"/>
              <w:jc w:val="center"/>
              <w:rPr>
                <w:sz w:val="17"/>
                <w:szCs w:val="17"/>
              </w:rPr>
            </w:pPr>
            <w:r>
              <w:rPr>
                <w:b/>
                <w:bCs/>
                <w:sz w:val="17"/>
                <w:szCs w:val="17"/>
              </w:rPr>
              <w:t>Мүдделі мемлекеттік орган</w:t>
            </w:r>
            <w:r>
              <w:rPr>
                <w:b/>
                <w:sz w:val="17"/>
                <w:szCs w:val="17"/>
              </w:rPr>
              <w:t xml:space="preserve"> </w:t>
            </w:r>
            <w:r>
              <w:rPr>
                <w:b/>
                <w:sz w:val="17"/>
                <w:szCs w:val="17"/>
                <w:lang w:val="kk-KZ"/>
              </w:rPr>
              <w:t xml:space="preserve">/ </w:t>
            </w:r>
            <w:r>
              <w:rPr>
                <w:b/>
                <w:sz w:val="17"/>
                <w:szCs w:val="17"/>
              </w:rPr>
              <w:t>Заинтересованный государственный орган</w:t>
            </w:r>
          </w:p>
        </w:tc>
        <w:tc>
          <w:tcPr>
            <w:tcW w:w="5832" w:type="dxa"/>
            <w:tcBorders>
              <w:top w:val="single" w:sz="4" w:space="0" w:color="000000"/>
              <w:left w:val="single" w:sz="4" w:space="0" w:color="000000"/>
              <w:right w:val="single" w:sz="4" w:space="0" w:color="000000"/>
            </w:tcBorders>
          </w:tcPr>
          <w:p>
            <w:pPr>
              <w:pStyle w:val="ListParagraph"/>
              <w:widowControl w:val="false"/>
              <w:tabs>
                <w:tab w:val="clear" w:pos="708"/>
                <w:tab w:val="left" w:pos="1134" w:leader="none"/>
              </w:tabs>
              <w:ind w:left="0" w:hanging="0"/>
              <w:jc w:val="center"/>
              <w:rPr>
                <w:sz w:val="17"/>
                <w:szCs w:val="17"/>
              </w:rPr>
            </w:pPr>
            <w:r>
              <w:rPr>
                <w:b/>
                <w:bCs/>
                <w:sz w:val="17"/>
                <w:szCs w:val="17"/>
                <w:lang w:val="kk-KZ"/>
              </w:rPr>
              <w:t>Е</w:t>
            </w:r>
            <w:r>
              <w:rPr>
                <w:b/>
                <w:bCs/>
                <w:sz w:val="17"/>
                <w:szCs w:val="17"/>
              </w:rPr>
              <w:t xml:space="preserve">скертулер </w:t>
            </w:r>
            <w:r>
              <w:rPr>
                <w:b/>
                <w:bCs/>
                <w:sz w:val="17"/>
                <w:szCs w:val="17"/>
                <w:lang w:val="kk-KZ"/>
              </w:rPr>
              <w:t>немесе</w:t>
            </w:r>
            <w:r>
              <w:rPr>
                <w:b/>
                <w:bCs/>
                <w:sz w:val="17"/>
                <w:szCs w:val="17"/>
              </w:rPr>
              <w:t xml:space="preserve"> ұсыныстар</w:t>
            </w:r>
            <w:r>
              <w:rPr>
                <w:b/>
                <w:sz w:val="17"/>
                <w:szCs w:val="17"/>
              </w:rPr>
              <w:t xml:space="preserve"> </w:t>
            </w:r>
            <w:r>
              <w:rPr>
                <w:b/>
                <w:sz w:val="17"/>
                <w:szCs w:val="17"/>
                <w:lang w:val="kk-KZ"/>
              </w:rPr>
              <w:t xml:space="preserve">/ </w:t>
            </w:r>
            <w:r>
              <w:rPr>
                <w:b/>
                <w:sz w:val="17"/>
                <w:szCs w:val="17"/>
              </w:rPr>
              <w:t>Замечани</w:t>
            </w:r>
            <w:r>
              <w:rPr>
                <w:b/>
                <w:sz w:val="17"/>
                <w:szCs w:val="17"/>
                <w:lang w:val="kk-KZ"/>
              </w:rPr>
              <w:t>я</w:t>
            </w:r>
            <w:r>
              <w:rPr>
                <w:b/>
                <w:sz w:val="17"/>
                <w:szCs w:val="17"/>
              </w:rPr>
              <w:t xml:space="preserve"> или предложени</w:t>
            </w:r>
            <w:r>
              <w:rPr>
                <w:b/>
                <w:sz w:val="17"/>
                <w:szCs w:val="17"/>
                <w:lang w:val="kk-KZ"/>
              </w:rPr>
              <w:t>я</w:t>
            </w:r>
          </w:p>
        </w:tc>
        <w:tc>
          <w:tcPr>
            <w:tcW w:w="1700" w:type="dxa"/>
            <w:tcBorders>
              <w:top w:val="single" w:sz="4" w:space="0" w:color="000000"/>
              <w:left w:val="single" w:sz="4" w:space="0" w:color="000000"/>
              <w:right w:val="single" w:sz="4" w:space="0" w:color="000000"/>
            </w:tcBorders>
          </w:tcPr>
          <w:p>
            <w:pPr>
              <w:pStyle w:val="ListParagraph"/>
              <w:widowControl w:val="false"/>
              <w:tabs>
                <w:tab w:val="clear" w:pos="708"/>
                <w:tab w:val="left" w:pos="1134" w:leader="none"/>
              </w:tabs>
              <w:ind w:left="0" w:hanging="0"/>
              <w:jc w:val="center"/>
              <w:rPr>
                <w:sz w:val="17"/>
                <w:szCs w:val="17"/>
              </w:rPr>
            </w:pPr>
            <w:r>
              <w:rPr>
                <w:b/>
                <w:sz w:val="17"/>
                <w:szCs w:val="17"/>
                <w:lang w:val="kk-KZ"/>
              </w:rPr>
              <w:t xml:space="preserve">Ескертудің немесе ұсыныстың қандай жолмен ескерілгені туралы мәлімет, немесе ескертудің не ұсыныстың ескерілмеу себептері / </w:t>
            </w:r>
            <w:r>
              <w:rPr>
                <w:b/>
                <w:sz w:val="17"/>
                <w:szCs w:val="17"/>
              </w:rPr>
              <w:t>Сведения о том, каким образом замечание или предложение было учтено, или причины, по которым замечание или предложение не было учтено</w:t>
            </w:r>
          </w:p>
        </w:tc>
      </w:tr>
      <w:tr>
        <w:trPr>
          <w:trHeight w:val="163" w:hRule="atLeast"/>
        </w:trPr>
        <w:tc>
          <w:tcPr>
            <w:tcW w:w="421" w:type="dxa"/>
            <w:vMerge w:val="restart"/>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
              </w:numPr>
              <w:tabs>
                <w:tab w:val="clear" w:pos="708"/>
                <w:tab w:val="left" w:pos="1134" w:leader="none"/>
              </w:tabs>
              <w:ind w:left="0" w:hanging="0"/>
              <w:jc w:val="center"/>
              <w:rPr>
                <w:rFonts w:ascii="Times New Roman" w:hAnsi="Times New Roman"/>
                <w:b/>
                <w:b/>
                <w:sz w:val="17"/>
                <w:szCs w:val="17"/>
                <w:lang w:val="kk-KZ"/>
              </w:rPr>
            </w:pPr>
            <w:r>
              <w:rPr>
                <w:b/>
                <w:sz w:val="17"/>
                <w:szCs w:val="17"/>
                <w:lang w:val="kk-KZ"/>
              </w:rPr>
            </w:r>
          </w:p>
        </w:tc>
        <w:tc>
          <w:tcPr>
            <w:tcW w:w="2247" w:type="dxa"/>
            <w:tcBorders>
              <w:top w:val="single" w:sz="4" w:space="0" w:color="000000"/>
              <w:left w:val="single" w:sz="4" w:space="0" w:color="000000"/>
              <w:bottom w:val="single" w:sz="4" w:space="0" w:color="000000"/>
              <w:right w:val="single" w:sz="4" w:space="0" w:color="000000"/>
            </w:tcBorders>
          </w:tcPr>
          <w:p>
            <w:pPr>
              <w:pStyle w:val="ListParagraph"/>
              <w:widowControl w:val="false"/>
              <w:tabs>
                <w:tab w:val="clear" w:pos="708"/>
                <w:tab w:val="left" w:pos="1134" w:leader="none"/>
              </w:tabs>
              <w:ind w:left="0" w:hanging="0"/>
              <w:jc w:val="center"/>
              <w:rPr>
                <w:sz w:val="17"/>
                <w:szCs w:val="17"/>
              </w:rPr>
            </w:pPr>
            <w:r>
              <w:rPr>
                <w:sz w:val="17"/>
                <w:szCs w:val="17"/>
                <w:lang w:val="kk-KZ"/>
              </w:rPr>
              <w:t>«</w:t>
            </w:r>
            <w:r>
              <w:rPr>
                <w:b/>
                <w:bCs/>
                <w:sz w:val="17"/>
                <w:szCs w:val="17"/>
                <w:lang w:val="kk-KZ"/>
              </w:rPr>
              <w:t xml:space="preserve">Қарағанды облысы </w:t>
            </w:r>
            <w:r>
              <w:rPr>
                <w:b/>
                <w:bCs/>
                <w:sz w:val="17"/>
                <w:szCs w:val="17"/>
                <w:lang w:val="kk-KZ"/>
              </w:rPr>
              <w:t>Нұра</w:t>
            </w:r>
            <w:r>
              <w:rPr>
                <w:b/>
                <w:bCs/>
                <w:sz w:val="17"/>
                <w:szCs w:val="17"/>
                <w:lang w:val="kk-KZ"/>
              </w:rPr>
              <w:t xml:space="preserve"> ауданы әкімінің аппараты</w:t>
            </w:r>
            <w:r>
              <w:rPr>
                <w:sz w:val="17"/>
                <w:szCs w:val="17"/>
                <w:lang w:val="kk-KZ"/>
              </w:rPr>
              <w:t xml:space="preserve">» </w:t>
            </w:r>
            <w:r>
              <w:rPr>
                <w:b/>
                <w:bCs/>
                <w:sz w:val="17"/>
                <w:szCs w:val="17"/>
                <w:lang w:val="kk-KZ"/>
              </w:rPr>
              <w:t>ММ</w:t>
            </w:r>
          </w:p>
        </w:tc>
        <w:tc>
          <w:tcPr>
            <w:tcW w:w="583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1134" w:leader="none"/>
              </w:tabs>
              <w:ind w:firstLine="170"/>
              <w:jc w:val="both"/>
              <w:rPr>
                <w:sz w:val="17"/>
                <w:szCs w:val="17"/>
              </w:rPr>
            </w:pPr>
            <w:r>
              <w:rPr>
                <w:sz w:val="17"/>
                <w:szCs w:val="17"/>
                <w:lang w:val="kk-KZ"/>
              </w:rPr>
              <w:t>Ұ</w:t>
            </w:r>
            <w:r>
              <w:rPr>
                <w:sz w:val="17"/>
                <w:szCs w:val="17"/>
              </w:rPr>
              <w:t>сынылмаған</w:t>
            </w:r>
            <w:r>
              <w:rPr>
                <w:sz w:val="17"/>
                <w:szCs w:val="17"/>
                <w:lang w:val="kk-KZ"/>
              </w:rPr>
              <w:t>.</w:t>
            </w:r>
          </w:p>
        </w:tc>
        <w:tc>
          <w:tcPr>
            <w:tcW w:w="1700" w:type="dxa"/>
            <w:tcBorders>
              <w:top w:val="single" w:sz="4" w:space="0" w:color="000000"/>
              <w:left w:val="single" w:sz="4" w:space="0" w:color="000000"/>
              <w:bottom w:val="single" w:sz="4" w:space="0" w:color="000000"/>
              <w:right w:val="single" w:sz="4" w:space="0" w:color="000000"/>
            </w:tcBorders>
          </w:tcPr>
          <w:p>
            <w:pPr>
              <w:pStyle w:val="ListParagraph"/>
              <w:widowControl w:val="false"/>
              <w:tabs>
                <w:tab w:val="clear" w:pos="708"/>
                <w:tab w:val="left" w:pos="1134" w:leader="none"/>
              </w:tabs>
              <w:ind w:left="0" w:hanging="0"/>
              <w:jc w:val="center"/>
              <w:rPr>
                <w:rFonts w:ascii="Times New Roman" w:hAnsi="Times New Roman"/>
                <w:sz w:val="17"/>
                <w:szCs w:val="17"/>
              </w:rPr>
            </w:pPr>
            <w:r>
              <w:rPr>
                <w:sz w:val="17"/>
                <w:szCs w:val="17"/>
              </w:rPr>
            </w:r>
          </w:p>
        </w:tc>
      </w:tr>
      <w:tr>
        <w:trPr>
          <w:trHeight w:val="163" w:hRule="atLeast"/>
        </w:trPr>
        <w:tc>
          <w:tcPr>
            <w:tcW w:w="421" w:type="dxa"/>
            <w:vMerge w:val="continue"/>
            <w:tcBorders>
              <w:left w:val="single" w:sz="4" w:space="0" w:color="000000"/>
              <w:bottom w:val="single" w:sz="4" w:space="0" w:color="000000"/>
              <w:right w:val="single" w:sz="4" w:space="0" w:color="000000"/>
            </w:tcBorders>
          </w:tcPr>
          <w:p>
            <w:pPr>
              <w:pStyle w:val="ListParagraph"/>
              <w:widowControl w:val="false"/>
              <w:tabs>
                <w:tab w:val="clear" w:pos="708"/>
                <w:tab w:val="left" w:pos="1134" w:leader="none"/>
              </w:tabs>
              <w:ind w:left="0" w:hanging="0"/>
              <w:rPr>
                <w:rFonts w:ascii="Times New Roman" w:hAnsi="Times New Roman"/>
                <w:b/>
                <w:b/>
                <w:sz w:val="17"/>
                <w:szCs w:val="17"/>
              </w:rPr>
            </w:pPr>
            <w:r>
              <w:rPr>
                <w:b/>
                <w:sz w:val="17"/>
                <w:szCs w:val="17"/>
              </w:rPr>
            </w:r>
          </w:p>
        </w:tc>
        <w:tc>
          <w:tcPr>
            <w:tcW w:w="2247" w:type="dxa"/>
            <w:tcBorders>
              <w:top w:val="single" w:sz="4" w:space="0" w:color="000000"/>
              <w:left w:val="single" w:sz="4" w:space="0" w:color="000000"/>
              <w:bottom w:val="single" w:sz="4" w:space="0" w:color="000000"/>
              <w:right w:val="single" w:sz="4" w:space="0" w:color="000000"/>
            </w:tcBorders>
          </w:tcPr>
          <w:p>
            <w:pPr>
              <w:pStyle w:val="ListParagraph"/>
              <w:widowControl w:val="false"/>
              <w:tabs>
                <w:tab w:val="clear" w:pos="708"/>
                <w:tab w:val="left" w:pos="1134" w:leader="none"/>
              </w:tabs>
              <w:ind w:left="0" w:hanging="0"/>
              <w:jc w:val="center"/>
              <w:rPr>
                <w:sz w:val="17"/>
                <w:szCs w:val="17"/>
              </w:rPr>
            </w:pPr>
            <w:r>
              <w:rPr>
                <w:b/>
                <w:sz w:val="17"/>
                <w:szCs w:val="17"/>
              </w:rPr>
              <w:t xml:space="preserve">ГУ «Аппарат акима </w:t>
            </w:r>
            <w:r>
              <w:rPr>
                <w:b/>
                <w:sz w:val="17"/>
                <w:szCs w:val="17"/>
                <w:lang w:val="kk-KZ"/>
              </w:rPr>
              <w:t>Нуринского</w:t>
            </w:r>
            <w:r>
              <w:rPr>
                <w:b/>
                <w:sz w:val="17"/>
                <w:szCs w:val="17"/>
              </w:rPr>
              <w:t xml:space="preserve"> района Карагандинской области»</w:t>
            </w:r>
          </w:p>
        </w:tc>
        <w:tc>
          <w:tcPr>
            <w:tcW w:w="583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1134" w:leader="none"/>
              </w:tabs>
              <w:ind w:firstLine="170"/>
              <w:jc w:val="both"/>
              <w:rPr>
                <w:sz w:val="17"/>
                <w:szCs w:val="17"/>
              </w:rPr>
            </w:pPr>
            <w:r>
              <w:rPr>
                <w:sz w:val="17"/>
                <w:szCs w:val="17"/>
                <w:lang w:val="kk-KZ"/>
              </w:rPr>
              <w:t>Не представлено.</w:t>
            </w:r>
          </w:p>
        </w:tc>
        <w:tc>
          <w:tcPr>
            <w:tcW w:w="1700" w:type="dxa"/>
            <w:tcBorders>
              <w:top w:val="single" w:sz="4" w:space="0" w:color="000000"/>
              <w:left w:val="single" w:sz="4" w:space="0" w:color="000000"/>
              <w:bottom w:val="single" w:sz="4" w:space="0" w:color="000000"/>
              <w:right w:val="single" w:sz="4" w:space="0" w:color="000000"/>
            </w:tcBorders>
          </w:tcPr>
          <w:p>
            <w:pPr>
              <w:pStyle w:val="ListParagraph"/>
              <w:widowControl w:val="false"/>
              <w:tabs>
                <w:tab w:val="clear" w:pos="708"/>
                <w:tab w:val="left" w:pos="1134" w:leader="none"/>
              </w:tabs>
              <w:ind w:left="0" w:hanging="0"/>
              <w:jc w:val="center"/>
              <w:rPr>
                <w:rFonts w:ascii="Times New Roman" w:hAnsi="Times New Roman"/>
                <w:sz w:val="17"/>
                <w:szCs w:val="17"/>
              </w:rPr>
            </w:pPr>
            <w:r>
              <w:rPr>
                <w:sz w:val="17"/>
                <w:szCs w:val="17"/>
              </w:rPr>
            </w:r>
          </w:p>
        </w:tc>
      </w:tr>
      <w:tr>
        <w:trPr>
          <w:trHeight w:val="163" w:hRule="atLeast"/>
        </w:trPr>
        <w:tc>
          <w:tcPr>
            <w:tcW w:w="421" w:type="dxa"/>
            <w:vMerge w:val="restart"/>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
              </w:numPr>
              <w:tabs>
                <w:tab w:val="clear" w:pos="708"/>
                <w:tab w:val="left" w:pos="1134" w:leader="none"/>
              </w:tabs>
              <w:ind w:left="0" w:hanging="0"/>
              <w:jc w:val="center"/>
              <w:rPr>
                <w:rFonts w:ascii="Times New Roman" w:hAnsi="Times New Roman"/>
                <w:b/>
                <w:b/>
                <w:sz w:val="17"/>
                <w:szCs w:val="17"/>
                <w:highlight w:val="none"/>
                <w:shd w:fill="FFFF00" w:val="clear"/>
              </w:rPr>
            </w:pPr>
            <w:r>
              <w:rPr>
                <w:b/>
                <w:sz w:val="17"/>
                <w:szCs w:val="17"/>
                <w:shd w:fill="FFFF00" w:val="clear"/>
              </w:rPr>
            </w:r>
          </w:p>
        </w:tc>
        <w:tc>
          <w:tcPr>
            <w:tcW w:w="224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7"/>
                <w:szCs w:val="17"/>
              </w:rPr>
            </w:pPr>
            <w:r>
              <w:rPr>
                <w:b/>
                <w:bCs/>
                <w:iCs/>
                <w:color w:val="000000"/>
                <w:sz w:val="17"/>
                <w:szCs w:val="17"/>
                <w:shd w:fill="auto" w:val="clear"/>
              </w:rPr>
              <w:t xml:space="preserve">«Су ресурстарын қорғау және пайдалануды реттеу жөніндегі </w:t>
            </w:r>
            <w:r>
              <w:rPr>
                <w:b/>
                <w:bCs/>
                <w:iCs/>
                <w:color w:val="000000"/>
                <w:sz w:val="17"/>
                <w:szCs w:val="17"/>
                <w:shd w:fill="auto" w:val="clear"/>
                <w:lang w:val="kk-KZ"/>
              </w:rPr>
              <w:t>Нұра-Сарысу</w:t>
            </w:r>
            <w:r>
              <w:rPr>
                <w:b/>
                <w:bCs/>
                <w:iCs/>
                <w:color w:val="000000"/>
                <w:sz w:val="17"/>
                <w:szCs w:val="17"/>
                <w:shd w:fill="auto" w:val="clear"/>
              </w:rPr>
              <w:t xml:space="preserve"> бассейндік су инспекциясы» РММ</w:t>
            </w:r>
          </w:p>
        </w:tc>
        <w:tc>
          <w:tcPr>
            <w:tcW w:w="5832" w:type="dxa"/>
            <w:tcBorders>
              <w:top w:val="single" w:sz="4" w:space="0" w:color="000000"/>
              <w:left w:val="single" w:sz="4" w:space="0" w:color="000000"/>
              <w:bottom w:val="single" w:sz="4" w:space="0" w:color="000000"/>
              <w:right w:val="single" w:sz="4" w:space="0" w:color="000000"/>
            </w:tcBorders>
          </w:tcPr>
          <w:p>
            <w:pPr>
              <w:pStyle w:val="Normal"/>
              <w:widowControl w:val="false"/>
              <w:ind w:firstLine="170"/>
              <w:jc w:val="both"/>
              <w:rPr>
                <w:sz w:val="17"/>
                <w:szCs w:val="17"/>
              </w:rPr>
            </w:pPr>
            <w:r>
              <w:rPr>
                <w:sz w:val="17"/>
                <w:szCs w:val="17"/>
                <w:lang w:val="kk-KZ"/>
              </w:rPr>
              <w:t>Ұ</w:t>
            </w:r>
            <w:r>
              <w:rPr>
                <w:sz w:val="17"/>
                <w:szCs w:val="17"/>
              </w:rPr>
              <w:t>сынылмаған.</w:t>
            </w:r>
          </w:p>
        </w:tc>
        <w:tc>
          <w:tcPr>
            <w:tcW w:w="1700" w:type="dxa"/>
            <w:tcBorders>
              <w:top w:val="single" w:sz="4" w:space="0" w:color="000000"/>
              <w:left w:val="single" w:sz="4" w:space="0" w:color="000000"/>
              <w:bottom w:val="single" w:sz="4" w:space="0" w:color="000000"/>
              <w:right w:val="single" w:sz="4" w:space="0" w:color="000000"/>
            </w:tcBorders>
          </w:tcPr>
          <w:p>
            <w:pPr>
              <w:pStyle w:val="ListParagraph"/>
              <w:widowControl w:val="false"/>
              <w:tabs>
                <w:tab w:val="clear" w:pos="708"/>
                <w:tab w:val="left" w:pos="1134" w:leader="none"/>
              </w:tabs>
              <w:ind w:left="0" w:hanging="0"/>
              <w:jc w:val="center"/>
              <w:rPr>
                <w:rFonts w:ascii="Times New Roman" w:hAnsi="Times New Roman"/>
                <w:sz w:val="17"/>
                <w:szCs w:val="17"/>
                <w:highlight w:val="none"/>
                <w:shd w:fill="auto" w:val="clear"/>
              </w:rPr>
            </w:pPr>
            <w:r>
              <w:rPr>
                <w:sz w:val="17"/>
                <w:szCs w:val="17"/>
                <w:shd w:fill="auto" w:val="clear"/>
              </w:rPr>
            </w:r>
          </w:p>
        </w:tc>
      </w:tr>
      <w:tr>
        <w:trPr>
          <w:trHeight w:val="163" w:hRule="atLeast"/>
        </w:trPr>
        <w:tc>
          <w:tcPr>
            <w:tcW w:w="421" w:type="dxa"/>
            <w:vMerge w:val="continue"/>
            <w:tcBorders>
              <w:left w:val="single" w:sz="4" w:space="0" w:color="000000"/>
              <w:bottom w:val="single" w:sz="4" w:space="0" w:color="000000"/>
              <w:right w:val="single" w:sz="4" w:space="0" w:color="000000"/>
            </w:tcBorders>
          </w:tcPr>
          <w:p>
            <w:pPr>
              <w:pStyle w:val="ListParagraph"/>
              <w:widowControl w:val="false"/>
              <w:numPr>
                <w:ilvl w:val="0"/>
                <w:numId w:val="1"/>
              </w:numPr>
              <w:tabs>
                <w:tab w:val="clear" w:pos="708"/>
                <w:tab w:val="left" w:pos="1134" w:leader="none"/>
              </w:tabs>
              <w:ind w:left="0" w:hanging="0"/>
              <w:jc w:val="center"/>
              <w:rPr>
                <w:rFonts w:ascii="Times New Roman" w:hAnsi="Times New Roman"/>
                <w:b/>
                <w:b/>
                <w:sz w:val="17"/>
                <w:szCs w:val="17"/>
              </w:rPr>
            </w:pPr>
            <w:r>
              <w:rPr>
                <w:b/>
                <w:sz w:val="17"/>
                <w:szCs w:val="17"/>
              </w:rPr>
            </w:r>
          </w:p>
        </w:tc>
        <w:tc>
          <w:tcPr>
            <w:tcW w:w="224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7"/>
                <w:szCs w:val="17"/>
                <w:highlight w:val="none"/>
                <w:shd w:fill="auto" w:val="clear"/>
              </w:rPr>
            </w:pPr>
            <w:r>
              <w:rPr>
                <w:b/>
                <w:iCs/>
                <w:color w:val="000000"/>
                <w:sz w:val="17"/>
                <w:szCs w:val="17"/>
                <w:shd w:fill="auto" w:val="clear"/>
                <w:lang w:val="kk-KZ"/>
              </w:rPr>
              <w:t>РГУ «</w:t>
            </w:r>
            <w:r>
              <w:rPr>
                <w:b/>
                <w:iCs/>
                <w:color w:val="000000"/>
                <w:sz w:val="17"/>
                <w:szCs w:val="17"/>
                <w:shd w:fill="auto" w:val="clear"/>
                <w:lang w:val="kk-KZ"/>
              </w:rPr>
              <w:t>Нура-Сарысуская</w:t>
            </w:r>
            <w:r>
              <w:rPr>
                <w:b/>
                <w:bCs/>
                <w:iCs/>
                <w:color w:val="000000"/>
                <w:sz w:val="17"/>
                <w:szCs w:val="17"/>
                <w:shd w:fill="auto" w:val="clear"/>
              </w:rPr>
              <w:t xml:space="preserve"> бассейновая водная инспекция по охране и регулированию использования водных ресурсов</w:t>
            </w:r>
            <w:r>
              <w:rPr>
                <w:b/>
                <w:iCs/>
                <w:color w:val="000000"/>
                <w:sz w:val="17"/>
                <w:szCs w:val="17"/>
                <w:shd w:fill="auto" w:val="clear"/>
                <w:lang w:val="kk-KZ"/>
              </w:rPr>
              <w:t>»</w:t>
            </w:r>
          </w:p>
        </w:tc>
        <w:tc>
          <w:tcPr>
            <w:tcW w:w="5832" w:type="dxa"/>
            <w:tcBorders>
              <w:top w:val="single" w:sz="4" w:space="0" w:color="000000"/>
              <w:left w:val="single" w:sz="4" w:space="0" w:color="000000"/>
              <w:bottom w:val="single" w:sz="4" w:space="0" w:color="000000"/>
              <w:right w:val="single" w:sz="4" w:space="0" w:color="000000"/>
            </w:tcBorders>
          </w:tcPr>
          <w:p>
            <w:pPr>
              <w:pStyle w:val="Normal"/>
              <w:widowControl w:val="false"/>
              <w:ind w:firstLine="170"/>
              <w:jc w:val="both"/>
              <w:rPr>
                <w:sz w:val="17"/>
                <w:szCs w:val="17"/>
              </w:rPr>
            </w:pPr>
            <w:r>
              <w:rPr>
                <w:rFonts w:eastAsia="Calibri"/>
                <w:color w:val="000000"/>
                <w:sz w:val="17"/>
                <w:szCs w:val="17"/>
                <w:lang w:val="kk-KZ" w:eastAsia="en-US"/>
              </w:rPr>
              <w:t>Не представлено.</w:t>
            </w:r>
          </w:p>
        </w:tc>
        <w:tc>
          <w:tcPr>
            <w:tcW w:w="1700" w:type="dxa"/>
            <w:tcBorders>
              <w:top w:val="single" w:sz="4" w:space="0" w:color="000000"/>
              <w:left w:val="single" w:sz="4" w:space="0" w:color="000000"/>
              <w:bottom w:val="single" w:sz="4" w:space="0" w:color="000000"/>
              <w:right w:val="single" w:sz="4" w:space="0" w:color="000000"/>
            </w:tcBorders>
          </w:tcPr>
          <w:p>
            <w:pPr>
              <w:pStyle w:val="ListParagraph"/>
              <w:widowControl w:val="false"/>
              <w:tabs>
                <w:tab w:val="clear" w:pos="708"/>
                <w:tab w:val="left" w:pos="1134" w:leader="none"/>
              </w:tabs>
              <w:ind w:left="0" w:hanging="0"/>
              <w:jc w:val="center"/>
              <w:rPr>
                <w:rFonts w:ascii="Times New Roman" w:hAnsi="Times New Roman"/>
                <w:sz w:val="17"/>
                <w:szCs w:val="17"/>
                <w:highlight w:val="none"/>
                <w:shd w:fill="auto" w:val="clear"/>
              </w:rPr>
            </w:pPr>
            <w:r>
              <w:rPr>
                <w:sz w:val="17"/>
                <w:szCs w:val="17"/>
                <w:shd w:fill="auto" w:val="clear"/>
              </w:rPr>
            </w:r>
          </w:p>
        </w:tc>
      </w:tr>
      <w:tr>
        <w:trPr>
          <w:trHeight w:val="742" w:hRule="atLeast"/>
        </w:trPr>
        <w:tc>
          <w:tcPr>
            <w:tcW w:w="421" w:type="dxa"/>
            <w:vMerge w:val="restart"/>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
              </w:numPr>
              <w:tabs>
                <w:tab w:val="clear" w:pos="708"/>
                <w:tab w:val="left" w:pos="1134" w:leader="none"/>
              </w:tabs>
              <w:ind w:left="0" w:hanging="0"/>
              <w:jc w:val="center"/>
              <w:rPr>
                <w:rFonts w:ascii="Times New Roman" w:hAnsi="Times New Roman"/>
                <w:b/>
                <w:b/>
                <w:sz w:val="17"/>
                <w:szCs w:val="17"/>
                <w:highlight w:val="none"/>
                <w:shd w:fill="auto" w:val="clear"/>
              </w:rPr>
            </w:pPr>
            <w:r>
              <w:rPr>
                <w:b/>
                <w:sz w:val="17"/>
                <w:szCs w:val="17"/>
                <w:shd w:fill="auto" w:val="clear"/>
              </w:rPr>
            </w:r>
          </w:p>
        </w:tc>
        <w:tc>
          <w:tcPr>
            <w:tcW w:w="2247" w:type="dxa"/>
            <w:tcBorders>
              <w:top w:val="single" w:sz="4" w:space="0" w:color="000000"/>
              <w:left w:val="single" w:sz="4" w:space="0" w:color="000000"/>
              <w:bottom w:val="single" w:sz="4" w:space="0" w:color="000000"/>
              <w:right w:val="single" w:sz="4" w:space="0" w:color="000000"/>
            </w:tcBorders>
          </w:tcPr>
          <w:p>
            <w:pPr>
              <w:pStyle w:val="ListParagraph"/>
              <w:widowControl w:val="false"/>
              <w:tabs>
                <w:tab w:val="clear" w:pos="708"/>
                <w:tab w:val="left" w:pos="1134" w:leader="none"/>
              </w:tabs>
              <w:ind w:left="0" w:hanging="0"/>
              <w:jc w:val="center"/>
              <w:rPr>
                <w:sz w:val="17"/>
                <w:szCs w:val="17"/>
                <w:highlight w:val="none"/>
                <w:shd w:fill="auto" w:val="clear"/>
              </w:rPr>
            </w:pPr>
            <w:r>
              <w:rPr>
                <w:b/>
                <w:bCs/>
                <w:color w:val="000000"/>
                <w:sz w:val="17"/>
                <w:szCs w:val="17"/>
                <w:shd w:fill="auto" w:val="clear"/>
              </w:rPr>
              <w:t xml:space="preserve">«Қарағанды облысы </w:t>
            </w:r>
            <w:r>
              <w:rPr>
                <w:b/>
                <w:bCs/>
                <w:color w:val="000000"/>
                <w:sz w:val="17"/>
                <w:szCs w:val="17"/>
                <w:shd w:fill="auto" w:val="clear"/>
                <w:lang w:val="kk-KZ"/>
              </w:rPr>
              <w:t>Нұра</w:t>
            </w:r>
            <w:r>
              <w:rPr>
                <w:b/>
                <w:bCs/>
                <w:color w:val="000000"/>
                <w:sz w:val="17"/>
                <w:szCs w:val="17"/>
                <w:shd w:fill="auto" w:val="clear"/>
              </w:rPr>
              <w:t xml:space="preserve"> ауданының санитариялық-эпидемиологиялық бақылау басқармасы» РММ</w:t>
            </w:r>
          </w:p>
        </w:tc>
        <w:tc>
          <w:tcPr>
            <w:tcW w:w="5832" w:type="dxa"/>
            <w:tcBorders>
              <w:top w:val="single" w:sz="4" w:space="0" w:color="000000"/>
              <w:left w:val="single" w:sz="4" w:space="0" w:color="000000"/>
              <w:bottom w:val="single" w:sz="4" w:space="0" w:color="000000"/>
              <w:right w:val="single" w:sz="4" w:space="0" w:color="000000"/>
            </w:tcBorders>
          </w:tcPr>
          <w:p>
            <w:pPr>
              <w:pStyle w:val="Normal"/>
              <w:widowControl w:val="false"/>
              <w:ind w:firstLine="170"/>
              <w:jc w:val="both"/>
              <w:rPr>
                <w:sz w:val="17"/>
                <w:szCs w:val="17"/>
                <w:highlight w:val="none"/>
                <w:shd w:fill="auto" w:val="clear"/>
              </w:rPr>
            </w:pPr>
            <w:r>
              <w:rPr>
                <w:sz w:val="17"/>
                <w:szCs w:val="17"/>
                <w:shd w:fill="auto" w:val="clear"/>
                <w:lang w:val="kk-KZ"/>
              </w:rPr>
              <w:t>Ұ</w:t>
            </w:r>
            <w:r>
              <w:rPr>
                <w:sz w:val="17"/>
                <w:szCs w:val="17"/>
                <w:shd w:fill="auto" w:val="clear"/>
              </w:rPr>
              <w:t>сынылмаған.</w:t>
            </w:r>
          </w:p>
        </w:tc>
        <w:tc>
          <w:tcPr>
            <w:tcW w:w="1700" w:type="dxa"/>
            <w:tcBorders>
              <w:top w:val="single" w:sz="4" w:space="0" w:color="000000"/>
              <w:left w:val="single" w:sz="4" w:space="0" w:color="000000"/>
              <w:bottom w:val="single" w:sz="4" w:space="0" w:color="000000"/>
              <w:right w:val="single" w:sz="4" w:space="0" w:color="000000"/>
            </w:tcBorders>
          </w:tcPr>
          <w:p>
            <w:pPr>
              <w:pStyle w:val="ListParagraph"/>
              <w:widowControl w:val="false"/>
              <w:tabs>
                <w:tab w:val="clear" w:pos="708"/>
                <w:tab w:val="left" w:pos="1134" w:leader="none"/>
              </w:tabs>
              <w:ind w:left="0" w:hanging="0"/>
              <w:jc w:val="center"/>
              <w:rPr>
                <w:rFonts w:ascii="Times New Roman" w:hAnsi="Times New Roman"/>
                <w:sz w:val="17"/>
                <w:szCs w:val="17"/>
                <w:highlight w:val="none"/>
                <w:shd w:fill="auto" w:val="clear"/>
              </w:rPr>
            </w:pPr>
            <w:r>
              <w:rPr>
                <w:sz w:val="17"/>
                <w:szCs w:val="17"/>
                <w:shd w:fill="auto" w:val="clear"/>
              </w:rPr>
            </w:r>
          </w:p>
        </w:tc>
      </w:tr>
      <w:tr>
        <w:trPr>
          <w:trHeight w:val="742" w:hRule="atLeast"/>
        </w:trPr>
        <w:tc>
          <w:tcPr>
            <w:tcW w:w="421" w:type="dxa"/>
            <w:vMerge w:val="continue"/>
            <w:tcBorders>
              <w:left w:val="single" w:sz="4" w:space="0" w:color="000000"/>
              <w:bottom w:val="single" w:sz="4" w:space="0" w:color="000000"/>
              <w:right w:val="single" w:sz="4" w:space="0" w:color="000000"/>
            </w:tcBorders>
          </w:tcPr>
          <w:p>
            <w:pPr>
              <w:pStyle w:val="ListParagraph"/>
              <w:widowControl w:val="false"/>
              <w:numPr>
                <w:ilvl w:val="0"/>
                <w:numId w:val="1"/>
              </w:numPr>
              <w:tabs>
                <w:tab w:val="clear" w:pos="708"/>
                <w:tab w:val="left" w:pos="1134" w:leader="none"/>
              </w:tabs>
              <w:ind w:left="0" w:hanging="0"/>
              <w:jc w:val="center"/>
              <w:rPr>
                <w:rFonts w:ascii="Times New Roman" w:hAnsi="Times New Roman"/>
                <w:b/>
                <w:b/>
                <w:sz w:val="17"/>
                <w:szCs w:val="17"/>
                <w:highlight w:val="none"/>
                <w:shd w:fill="auto" w:val="clear"/>
              </w:rPr>
            </w:pPr>
            <w:r>
              <w:rPr>
                <w:b/>
                <w:sz w:val="17"/>
                <w:szCs w:val="17"/>
                <w:shd w:fill="auto" w:val="clear"/>
              </w:rPr>
            </w:r>
          </w:p>
        </w:tc>
        <w:tc>
          <w:tcPr>
            <w:tcW w:w="2247" w:type="dxa"/>
            <w:tcBorders>
              <w:top w:val="single" w:sz="4" w:space="0" w:color="000000"/>
              <w:left w:val="single" w:sz="4" w:space="0" w:color="000000"/>
              <w:bottom w:val="single" w:sz="4" w:space="0" w:color="000000"/>
              <w:right w:val="single" w:sz="4" w:space="0" w:color="000000"/>
            </w:tcBorders>
          </w:tcPr>
          <w:p>
            <w:pPr>
              <w:pStyle w:val="ListParagraph"/>
              <w:widowControl w:val="false"/>
              <w:tabs>
                <w:tab w:val="clear" w:pos="708"/>
                <w:tab w:val="left" w:pos="1134" w:leader="none"/>
              </w:tabs>
              <w:ind w:left="0" w:hanging="0"/>
              <w:jc w:val="center"/>
              <w:rPr>
                <w:sz w:val="17"/>
                <w:szCs w:val="17"/>
                <w:highlight w:val="none"/>
                <w:shd w:fill="auto" w:val="clear"/>
              </w:rPr>
            </w:pPr>
            <w:r>
              <w:rPr>
                <w:b/>
                <w:color w:val="000000"/>
                <w:sz w:val="17"/>
                <w:szCs w:val="17"/>
                <w:shd w:fill="auto" w:val="clear"/>
              </w:rPr>
              <w:t>РГУ</w:t>
            </w:r>
            <w:r>
              <w:rPr>
                <w:b/>
                <w:sz w:val="17"/>
                <w:szCs w:val="17"/>
                <w:shd w:fill="auto" w:val="clear"/>
              </w:rPr>
              <w:t xml:space="preserve"> «</w:t>
            </w:r>
            <w:r>
              <w:rPr>
                <w:b/>
                <w:sz w:val="17"/>
                <w:szCs w:val="17"/>
                <w:shd w:fill="auto" w:val="clear"/>
              </w:rPr>
              <w:t>Н</w:t>
            </w:r>
            <w:r>
              <w:rPr>
                <w:b/>
                <w:sz w:val="17"/>
                <w:szCs w:val="17"/>
                <w:shd w:fill="auto" w:val="clear"/>
                <w:lang w:val="kk-KZ"/>
              </w:rPr>
              <w:t>уринское</w:t>
            </w:r>
            <w:r>
              <w:rPr>
                <w:b/>
                <w:sz w:val="17"/>
                <w:szCs w:val="17"/>
                <w:shd w:fill="auto" w:val="clear"/>
                <w:lang w:val="kk-KZ"/>
              </w:rPr>
              <w:t xml:space="preserve"> </w:t>
            </w:r>
            <w:r>
              <w:rPr>
                <w:b/>
                <w:sz w:val="17"/>
                <w:szCs w:val="17"/>
                <w:shd w:fill="auto" w:val="clear"/>
              </w:rPr>
              <w:t>районное Управление санитарно-эпидемиологического контроля»</w:t>
            </w:r>
          </w:p>
        </w:tc>
        <w:tc>
          <w:tcPr>
            <w:tcW w:w="5832" w:type="dxa"/>
            <w:tcBorders>
              <w:top w:val="single" w:sz="4" w:space="0" w:color="000000"/>
              <w:left w:val="single" w:sz="4" w:space="0" w:color="000000"/>
              <w:bottom w:val="single" w:sz="4" w:space="0" w:color="000000"/>
              <w:right w:val="single" w:sz="4" w:space="0" w:color="000000"/>
            </w:tcBorders>
          </w:tcPr>
          <w:p>
            <w:pPr>
              <w:pStyle w:val="Normal"/>
              <w:widowControl w:val="false"/>
              <w:ind w:firstLine="170"/>
              <w:jc w:val="both"/>
              <w:rPr>
                <w:sz w:val="17"/>
                <w:szCs w:val="17"/>
                <w:highlight w:val="none"/>
                <w:shd w:fill="auto" w:val="clear"/>
              </w:rPr>
            </w:pPr>
            <w:r>
              <w:rPr>
                <w:rFonts w:eastAsia="Calibri"/>
                <w:color w:val="000000"/>
                <w:sz w:val="17"/>
                <w:szCs w:val="17"/>
                <w:shd w:fill="auto" w:val="clear"/>
                <w:lang w:val="kk-KZ" w:eastAsia="en-US"/>
              </w:rPr>
              <w:t>Не представлено.</w:t>
            </w:r>
          </w:p>
        </w:tc>
        <w:tc>
          <w:tcPr>
            <w:tcW w:w="1700" w:type="dxa"/>
            <w:tcBorders>
              <w:top w:val="single" w:sz="4" w:space="0" w:color="000000"/>
              <w:left w:val="single" w:sz="4" w:space="0" w:color="000000"/>
              <w:bottom w:val="single" w:sz="4" w:space="0" w:color="000000"/>
              <w:right w:val="single" w:sz="4" w:space="0" w:color="000000"/>
            </w:tcBorders>
          </w:tcPr>
          <w:p>
            <w:pPr>
              <w:pStyle w:val="ListParagraph"/>
              <w:widowControl w:val="false"/>
              <w:tabs>
                <w:tab w:val="clear" w:pos="708"/>
                <w:tab w:val="left" w:pos="1134" w:leader="none"/>
              </w:tabs>
              <w:ind w:left="0" w:hanging="0"/>
              <w:jc w:val="center"/>
              <w:rPr>
                <w:rFonts w:ascii="Times New Roman" w:hAnsi="Times New Roman"/>
                <w:sz w:val="17"/>
                <w:szCs w:val="17"/>
                <w:highlight w:val="none"/>
                <w:shd w:fill="auto" w:val="clear"/>
              </w:rPr>
            </w:pPr>
            <w:r>
              <w:rPr>
                <w:sz w:val="17"/>
                <w:szCs w:val="17"/>
                <w:shd w:fill="auto" w:val="clear"/>
              </w:rPr>
            </w:r>
          </w:p>
        </w:tc>
      </w:tr>
      <w:tr>
        <w:trPr>
          <w:trHeight w:val="1027" w:hRule="atLeast"/>
        </w:trPr>
        <w:tc>
          <w:tcPr>
            <w:tcW w:w="421" w:type="dxa"/>
            <w:vMerge w:val="restart"/>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
              </w:numPr>
              <w:tabs>
                <w:tab w:val="clear" w:pos="708"/>
                <w:tab w:val="left" w:pos="1134" w:leader="none"/>
              </w:tabs>
              <w:ind w:left="0" w:hanging="0"/>
              <w:jc w:val="center"/>
              <w:rPr>
                <w:rFonts w:ascii="Times New Roman" w:hAnsi="Times New Roman"/>
                <w:b/>
                <w:b/>
                <w:sz w:val="18"/>
                <w:szCs w:val="18"/>
                <w:highlight w:val="none"/>
                <w:shd w:fill="auto" w:val="clear"/>
              </w:rPr>
            </w:pPr>
            <w:r>
              <w:rPr>
                <w:b/>
                <w:sz w:val="18"/>
                <w:szCs w:val="18"/>
                <w:shd w:fill="auto" w:val="clear"/>
              </w:rPr>
            </w:r>
          </w:p>
        </w:tc>
        <w:tc>
          <w:tcPr>
            <w:tcW w:w="224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1134" w:leader="none"/>
              </w:tabs>
              <w:jc w:val="center"/>
              <w:rPr>
                <w:highlight w:val="none"/>
                <w:shd w:fill="auto" w:val="clear"/>
              </w:rPr>
            </w:pPr>
            <w:r>
              <w:rPr>
                <w:b/>
                <w:color w:val="000000"/>
                <w:sz w:val="18"/>
                <w:szCs w:val="18"/>
                <w:shd w:fill="auto" w:val="clear"/>
              </w:rPr>
              <w:t>«Қарағанды облыстық орман шаруашылығы және жануарлар дүниесі аумақтық инспекциясы» РММ</w:t>
            </w:r>
          </w:p>
        </w:tc>
        <w:tc>
          <w:tcPr>
            <w:tcW w:w="5832" w:type="dxa"/>
            <w:tcBorders>
              <w:top w:val="single" w:sz="4" w:space="0" w:color="000000"/>
              <w:left w:val="single" w:sz="4" w:space="0" w:color="000000"/>
              <w:bottom w:val="single" w:sz="4" w:space="0" w:color="000000"/>
              <w:right w:val="single" w:sz="4" w:space="0" w:color="000000"/>
            </w:tcBorders>
          </w:tcPr>
          <w:p>
            <w:pPr>
              <w:pStyle w:val="Normal"/>
              <w:ind w:hanging="0"/>
              <w:jc w:val="both"/>
              <w:rPr>
                <w:sz w:val="18"/>
                <w:szCs w:val="18"/>
                <w:highlight w:val="none"/>
                <w:shd w:fill="auto" w:val="clear"/>
              </w:rPr>
            </w:pPr>
            <w:r>
              <w:rPr>
                <w:bCs/>
                <w:sz w:val="18"/>
                <w:szCs w:val="18"/>
                <w:shd w:fill="auto" w:val="clear"/>
                <w:lang w:val="kk-KZ"/>
              </w:rPr>
              <w:t xml:space="preserve"> </w:t>
            </w:r>
            <w:r>
              <w:rPr>
                <w:bCs/>
                <w:sz w:val="18"/>
                <w:szCs w:val="18"/>
                <w:shd w:fill="auto" w:val="clear"/>
                <w:lang w:val="kk-KZ"/>
              </w:rPr>
              <w:t>Қарағанды облыстық орман шаруашылығы және жануарлар дүниесі аумақтық инспекциясы (бұдан әрі – Инспекция) «ПромКирпичKZ» ЖШС 07.07.2026 жылғы № KZ92RYS01815525 белгіленген қызмет туралы өтінішін қарастырып, келесіні хабарлайды.</w:t>
            </w:r>
          </w:p>
          <w:p>
            <w:pPr>
              <w:pStyle w:val="Normal"/>
              <w:ind w:hanging="0"/>
              <w:jc w:val="both"/>
              <w:rPr>
                <w:sz w:val="18"/>
                <w:szCs w:val="18"/>
                <w:highlight w:val="none"/>
                <w:shd w:fill="auto" w:val="clear"/>
              </w:rPr>
            </w:pPr>
            <w:r>
              <w:rPr>
                <w:sz w:val="18"/>
                <w:szCs w:val="18"/>
                <w:shd w:fill="auto" w:val="clear"/>
                <w:lang w:val="kk-KZ"/>
              </w:rPr>
              <w:t xml:space="preserve">  </w:t>
            </w:r>
            <w:r>
              <w:rPr>
                <w:sz w:val="18"/>
                <w:szCs w:val="18"/>
                <w:shd w:fill="auto" w:val="clear"/>
                <w:lang w:val="kk-KZ"/>
              </w:rPr>
              <w:t xml:space="preserve">«Қазақ орман орналастыру кәсіпорны» РМҚК берген ақпаратқа сәйкес,  көрсетілген учаске Қарағанды облысында және ерекше қорғалатын табиғи аумақ пен мемлекеттік орман қоры аумағынан тыс жерде орналасқан деп хабарлайды. </w:t>
            </w:r>
          </w:p>
          <w:p>
            <w:pPr>
              <w:pStyle w:val="Normal"/>
              <w:ind w:hanging="0"/>
              <w:jc w:val="both"/>
              <w:rPr>
                <w:sz w:val="18"/>
                <w:szCs w:val="18"/>
                <w:highlight w:val="none"/>
                <w:shd w:fill="auto" w:val="clear"/>
              </w:rPr>
            </w:pPr>
            <w:r>
              <w:rPr>
                <w:sz w:val="18"/>
                <w:szCs w:val="18"/>
                <w:shd w:fill="auto" w:val="clear"/>
                <w:lang w:val="kk-KZ"/>
              </w:rPr>
              <w:t xml:space="preserve">  </w:t>
            </w:r>
            <w:r>
              <w:rPr>
                <w:sz w:val="18"/>
                <w:szCs w:val="18"/>
                <w:shd w:fill="auto" w:val="clear"/>
                <w:lang w:val="kk-KZ"/>
              </w:rPr>
              <w:t xml:space="preserve">Қазақстан Республикасы Үкіметінің 2006 жылғы 31 қазандағы № 1034 қаулысымен бекітілген Өсімдіктер мен жануарлардың сирек кездесетiн және құрып кету қаупi төнген түрлерiнiң тiзбесiне (бұдан әрі - Тізбе) енгізілген өсімдіктер түрлері, сондай-ақ жануарлар түрлеріннің бар болуы туралы ақпараты Инспекцияда жоқ. </w:t>
            </w:r>
          </w:p>
          <w:p>
            <w:pPr>
              <w:pStyle w:val="Normal"/>
              <w:ind w:hanging="0"/>
              <w:jc w:val="both"/>
              <w:rPr>
                <w:sz w:val="18"/>
                <w:szCs w:val="18"/>
                <w:highlight w:val="none"/>
                <w:shd w:fill="auto" w:val="clear"/>
              </w:rPr>
            </w:pPr>
            <w:r>
              <w:rPr>
                <w:sz w:val="18"/>
                <w:szCs w:val="18"/>
                <w:shd w:fill="auto" w:val="clear"/>
                <w:lang w:val="kk-KZ"/>
              </w:rPr>
              <w:t xml:space="preserve"> </w:t>
            </w:r>
            <w:r>
              <w:rPr>
                <w:sz w:val="18"/>
                <w:szCs w:val="18"/>
                <w:shd w:fill="auto" w:val="clear"/>
                <w:lang w:val="kk-KZ"/>
              </w:rPr>
              <w:t>Сонымен бірге, сұралған аумақта тізбеге кіретін өсімдіктер мен жануарлардың болуын анықтау үшін ғылыми ұйымдарға: өсімдіктер бойынша «Ботаника және фитоиндустрия институты» ШЖҚ РМҚ, жануарлар дүниесі бойынша – «Зоология институты» ШЖҚ РМК және «Қазақстандық боиәртүрлілікті сақтау қауымдастығы» РБҚ жүгінуді ұсынамыз.</w:t>
            </w:r>
          </w:p>
          <w:p>
            <w:pPr>
              <w:pStyle w:val="Normal"/>
              <w:ind w:hanging="0"/>
              <w:jc w:val="both"/>
              <w:rPr>
                <w:sz w:val="18"/>
                <w:szCs w:val="18"/>
                <w:highlight w:val="none"/>
                <w:shd w:fill="auto" w:val="clear"/>
              </w:rPr>
            </w:pPr>
            <w:r>
              <w:rPr>
                <w:sz w:val="18"/>
                <w:szCs w:val="18"/>
                <w:shd w:fill="auto" w:val="clear"/>
                <w:lang w:val="kk-KZ"/>
              </w:rPr>
              <w:t xml:space="preserve"> </w:t>
            </w:r>
            <w:r>
              <w:rPr>
                <w:sz w:val="18"/>
                <w:szCs w:val="18"/>
                <w:shd w:fill="auto" w:val="clear"/>
                <w:lang w:val="kk-KZ"/>
              </w:rPr>
              <w:t>Сонымен қатар, бұл аумақ киіктің Бетпақдала популяциясының көші-қон жолдарына жатады, бірақ Қазақстандық тау ешкілерінің (архар) мекендейтін жерлеріне жатпайды.</w:t>
            </w:r>
          </w:p>
          <w:p>
            <w:pPr>
              <w:pStyle w:val="Normal"/>
              <w:ind w:hanging="0"/>
              <w:jc w:val="both"/>
              <w:rPr>
                <w:sz w:val="18"/>
                <w:szCs w:val="18"/>
                <w:highlight w:val="none"/>
                <w:shd w:fill="auto" w:val="clear"/>
              </w:rPr>
            </w:pPr>
            <w:r>
              <w:rPr>
                <w:sz w:val="18"/>
                <w:szCs w:val="18"/>
                <w:shd w:fill="auto" w:val="clear"/>
                <w:lang w:val="kk-KZ"/>
              </w:rPr>
              <w:t xml:space="preserve"> </w:t>
            </w:r>
            <w:r>
              <w:rPr>
                <w:sz w:val="18"/>
                <w:szCs w:val="18"/>
                <w:shd w:fill="auto" w:val="clear"/>
                <w:lang w:val="kk-KZ"/>
              </w:rPr>
              <w:t>Қазақстан Республикасының Экологиялық кодексінің қоршаған ортаны қорғау жөніндегі іс-шаралардың үлгілік тізбесінің 4-тармағының 3) тармақшасына, 6- тармағының 1) және 6) тармақшаларына сәйкес, бүлінген жерлерді рекультивациялау, эрозия процестерінің алдын алу және экологиялық жағдайды жақсарту, сондай-ақ аумақтың орман жамылғысын ұлғайту бойынша іс-шаралар мен жұмыстарды сапалы жүргізу мақсатында мелиоративтік учаскеде ағаштар мен бұталардан орман екпелерін отырғызу  мүмкіндігін қарастыруды ұсынамыз.</w:t>
            </w:r>
          </w:p>
          <w:p>
            <w:pPr>
              <w:pStyle w:val="Normal"/>
              <w:ind w:hanging="0"/>
              <w:jc w:val="both"/>
              <w:rPr>
                <w:sz w:val="18"/>
                <w:szCs w:val="18"/>
                <w:highlight w:val="none"/>
                <w:shd w:fill="auto" w:val="clear"/>
              </w:rPr>
            </w:pPr>
            <w:r>
              <w:rPr>
                <w:sz w:val="18"/>
                <w:szCs w:val="18"/>
                <w:shd w:fill="auto" w:val="clear"/>
                <w:lang w:val="kk-KZ"/>
              </w:rPr>
              <w:t xml:space="preserve"> </w:t>
            </w:r>
            <w:r>
              <w:rPr>
                <w:sz w:val="18"/>
                <w:szCs w:val="18"/>
                <w:shd w:fill="auto" w:val="clear"/>
                <w:lang w:val="kk-KZ"/>
              </w:rPr>
              <w:t>«Ерекше қорғалатын табиғи аумақтар туралы» Қазақстан Республикасының Заңының (бұдан әрі - Заң) 1-бабының 15-тармағына сәйкес сирек кездесетін және құрып кету қаупі төнген жануарлар мен өсімдіктердің түрлері мемлекеттік табиғи-қорық қорының объектілері болып табылады.</w:t>
            </w:r>
          </w:p>
          <w:p>
            <w:pPr>
              <w:pStyle w:val="Normal"/>
              <w:ind w:hanging="0"/>
              <w:jc w:val="both"/>
              <w:rPr>
                <w:sz w:val="18"/>
                <w:szCs w:val="18"/>
                <w:highlight w:val="none"/>
                <w:shd w:fill="auto" w:val="clear"/>
              </w:rPr>
            </w:pPr>
            <w:r>
              <w:rPr>
                <w:sz w:val="18"/>
                <w:szCs w:val="18"/>
                <w:shd w:fill="auto" w:val="clear"/>
                <w:lang w:val="kk-KZ"/>
              </w:rPr>
              <w:t xml:space="preserve">  </w:t>
            </w:r>
            <w:r>
              <w:rPr>
                <w:sz w:val="18"/>
                <w:szCs w:val="18"/>
                <w:shd w:fill="auto" w:val="clear"/>
                <w:lang w:val="kk-KZ"/>
              </w:rPr>
              <w:t>Заңның 78-бабының 2-тармағына сәйкес жеке және заңды тұлғалар сирек кездесетін және құрып кету қаупі төнген өсімдіктер мен жануарлардың түрлерін қорғау жөнінде шаралар қолдануға міндетті.</w:t>
            </w:r>
          </w:p>
          <w:p>
            <w:pPr>
              <w:pStyle w:val="Normal"/>
              <w:ind w:hanging="0"/>
              <w:jc w:val="both"/>
              <w:rPr>
                <w:sz w:val="18"/>
                <w:szCs w:val="18"/>
                <w:highlight w:val="none"/>
                <w:shd w:fill="auto" w:val="clear"/>
              </w:rPr>
            </w:pPr>
            <w:r>
              <w:rPr>
                <w:sz w:val="18"/>
                <w:szCs w:val="18"/>
                <w:shd w:fill="auto" w:val="clear"/>
                <w:lang w:val="kk-KZ"/>
              </w:rPr>
              <w:t xml:space="preserve">  </w:t>
            </w:r>
            <w:r>
              <w:rPr>
                <w:sz w:val="18"/>
                <w:szCs w:val="18"/>
                <w:shd w:fill="auto" w:val="clear"/>
                <w:lang w:val="kk-KZ"/>
              </w:rPr>
              <w:t>«Жануарлар дүниесін қорғау, өсімін молайту және пайдалану туралы» Қазақстан Республикасы Заңының (бұдан әрі - Заң) 12-бабының 1-тармағына сәйкес жануарлар дүниесiнiң жай-күйiне, мекендейтiн ортасына, көбею жағдайларына және жануарлардың өрiс аудару жолдарына әсер ететін немесе әсер етуі мүмкін болатын қызмет жануарлар дүниесінiң, олар мекендейтін ортаның сақталуы мен өсiмiн молайтуды және келтірілетін және келтірілген, оның ішінде болмай қоймайтын зиянды өтеудi қамтамасыз етудiң талаптары, оның iшiнде экологиялық талаптар сақтала отырып жүзеге асырылуға тиiс.</w:t>
            </w:r>
          </w:p>
          <w:p>
            <w:pPr>
              <w:pStyle w:val="Normal"/>
              <w:ind w:hanging="0"/>
              <w:jc w:val="both"/>
              <w:rPr>
                <w:sz w:val="18"/>
                <w:szCs w:val="18"/>
                <w:highlight w:val="none"/>
                <w:shd w:fill="auto" w:val="clear"/>
              </w:rPr>
            </w:pPr>
            <w:r>
              <w:rPr>
                <w:sz w:val="18"/>
                <w:szCs w:val="18"/>
                <w:shd w:fill="auto" w:val="clear"/>
                <w:lang w:val="kk-KZ"/>
              </w:rPr>
              <w:t xml:space="preserve">  </w:t>
            </w:r>
            <w:r>
              <w:rPr>
                <w:sz w:val="18"/>
                <w:szCs w:val="18"/>
                <w:shd w:fill="auto" w:val="clear"/>
                <w:lang w:val="kk-KZ"/>
              </w:rPr>
              <w:t xml:space="preserve">Сондай-ақ, Заңның 17-бабына сәйкес елдi мекендердi, кәсiпорындарды, құрылыстар мен басқа да объектiлердi орналастыру, жобалау және салу, өндiрiстiк процестердi жүзеге асыру мен көлiк құралдарын пайдалану, қолданыстағы технологиялық процестердi жетiлдiру және олардың жаңаларын енгiзу, пайдаланылмаған, жағалау маңындағы, батпақты, бұта басқан аумақтарды шаруашылық айналымына енгiзу, жердi мелиорациялау, орман ресурстарын және су объектiлерiн пайдалану, геологиялық-барлау жұмыстарын жүргiзу, пайдалы қазбаларды өндiру, ауыл шаруашылығы жануарлары жайылатын және оларды айдап өтетiн жерлердi белгiлеу, туристiк маршруттар әзiрлеу мен халықтың жаппай демалатын орындарын ұйымдастыру кезiнде жануарлар дүниесi объектiлерi мекендейтiн ортаны және олардың көбею жағдайларын, жануарлардың өрiс аудару жолдары мен шоғырланған жерлерiн сақтау жөнiндегi iс-шаралар көзделуге және жүзеге асырылуға, сондай-ақ жабайы жануарлар мекендейтiн орта ретiнде ерекше құнды болып табылатын учаскелерге ешкiмнiң қол сұқпауы қамтамасыз етiлуге тиiс. </w:t>
            </w:r>
          </w:p>
          <w:p>
            <w:pPr>
              <w:pStyle w:val="Normal"/>
              <w:ind w:hanging="0"/>
              <w:jc w:val="both"/>
              <w:rPr>
                <w:sz w:val="18"/>
                <w:szCs w:val="18"/>
                <w:highlight w:val="none"/>
                <w:shd w:fill="auto" w:val="clear"/>
              </w:rPr>
            </w:pPr>
            <w:r>
              <w:rPr>
                <w:sz w:val="18"/>
                <w:szCs w:val="18"/>
                <w:shd w:fill="auto" w:val="clear"/>
                <w:lang w:val="kk-KZ"/>
              </w:rPr>
              <w:t xml:space="preserve">  </w:t>
            </w:r>
            <w:r>
              <w:rPr>
                <w:sz w:val="18"/>
                <w:szCs w:val="18"/>
                <w:shd w:fill="auto" w:val="clear"/>
                <w:lang w:val="kk-KZ"/>
              </w:rPr>
              <w:t>Темiр жол, тас жол, құбыр тарту және басқа көлiк магистральдарын, электр беру және байланыс желiлерiн, арналарды, бөгеттердi және өзге де су шаруашылығы құрылыстарын пайдалану, орналастыру, жобалау және салу кезiнде жануарлар мекендейтiн ортаны, олардың көбею жағдайларын, өрiс аудару жолдары мен шоғырланған жерлерiн сақтауды қамтамасыз ететiн іс-шаралар әзiрленiп, жүзеге асырылуға тиiс.</w:t>
            </w:r>
          </w:p>
          <w:p>
            <w:pPr>
              <w:pStyle w:val="Normal"/>
              <w:ind w:hanging="0"/>
              <w:jc w:val="both"/>
              <w:rPr>
                <w:sz w:val="18"/>
                <w:szCs w:val="18"/>
                <w:highlight w:val="none"/>
                <w:shd w:fill="auto" w:val="clear"/>
              </w:rPr>
            </w:pPr>
            <w:r>
              <w:rPr>
                <w:sz w:val="18"/>
                <w:szCs w:val="18"/>
                <w:shd w:fill="auto" w:val="clear"/>
                <w:lang w:val="kk-KZ"/>
              </w:rPr>
              <w:t xml:space="preserve">  </w:t>
            </w:r>
            <w:r>
              <w:rPr>
                <w:sz w:val="18"/>
                <w:szCs w:val="18"/>
                <w:shd w:fill="auto" w:val="clear"/>
                <w:lang w:val="kk-KZ"/>
              </w:rPr>
              <w:t>Сирек кездесетін және құрып кету қаупі төнген өсімдіктер мен жануарлардың түрлерін, олардың бөліктерін немесе дериваттарын, сондай - ақ пайдалануға тыйым салынған өсімдіктер мен жануарларды, олардың бөліктерін немесе дериваттарын заңсыз аулау, иемденіп алу, сақтау, өткізу, әкелу, әкету, жөнелту, тасымалдау немесе жою, сол сияқты олар мекендейтін жерлерді жою - Қазақстан Республикасы Қылмыстық кодексінің 339 және 339-1-баптарында көзделген жауапкершілікке әкеп соғады.</w:t>
            </w:r>
          </w:p>
          <w:p>
            <w:pPr>
              <w:pStyle w:val="Normal"/>
              <w:ind w:hanging="0"/>
              <w:jc w:val="both"/>
              <w:rPr>
                <w:sz w:val="18"/>
                <w:szCs w:val="18"/>
                <w:highlight w:val="none"/>
                <w:shd w:fill="auto" w:val="clear"/>
              </w:rPr>
            </w:pPr>
            <w:r>
              <w:rPr>
                <w:sz w:val="18"/>
                <w:szCs w:val="18"/>
                <w:shd w:fill="auto" w:val="clear"/>
                <w:lang w:val="kk-KZ"/>
              </w:rPr>
              <w:t xml:space="preserve">  </w:t>
            </w:r>
            <w:r>
              <w:rPr>
                <w:sz w:val="18"/>
                <w:szCs w:val="18"/>
                <w:shd w:fill="auto" w:val="clear"/>
                <w:lang w:val="kk-KZ"/>
              </w:rPr>
              <w:t>Сонымен қатар, Қазақстан Республикасының «Өсімдіктер дүниесі туралы» Заңының 45-бабына сәйкес, жер қойнауын пайдалану, ғимараттар мен құрылыстарды, жолдарды, құбырларды және өзге де объектілерді салу (қайта жаңғырту) мақсаттары үшін басқа санаттарға ауыстырылатын барлық санаттағы жер учаскелерінде жабайы өсетін өсімдіктер жойылған (қайтарымсыз жоғалған) жағдайда, сондай-ақ мемлекеттік қажеттіліктер үшін жер учаскесін мәжбүрлеп алып қою кезінде, тиісті объектілер бойынша мемлекеттік экологиялық сараптаманың оң қорытындысын алған жобалау құжаттамасына сәйкес, жеке және заңды тұлғалар өсімдіктер дүниесіне келтірілген залалды өтеуге міндетті.</w:t>
            </w:r>
          </w:p>
          <w:p>
            <w:pPr>
              <w:pStyle w:val="Normal"/>
              <w:ind w:hanging="0"/>
              <w:jc w:val="both"/>
              <w:rPr>
                <w:sz w:val="18"/>
                <w:szCs w:val="18"/>
                <w:highlight w:val="none"/>
                <w:shd w:fill="auto" w:val="clear"/>
              </w:rPr>
            </w:pPr>
            <w:r>
              <w:rPr>
                <w:sz w:val="18"/>
                <w:szCs w:val="18"/>
                <w:shd w:fill="auto" w:val="clear"/>
                <w:lang w:val="kk-KZ"/>
              </w:rPr>
              <w:t xml:space="preserve">  </w:t>
            </w:r>
            <w:r>
              <w:rPr>
                <w:sz w:val="18"/>
                <w:szCs w:val="18"/>
                <w:shd w:fill="auto" w:val="clear"/>
                <w:lang w:val="kk-KZ"/>
              </w:rPr>
              <w:t>Өсімдіктер дүниесіне келтірілген залалды өтеу нормативтері Қазақстан Республикасы Экология және табиғи ресурстар министрінің 2023 жылғы 23 ақпандағы № 60 бұйрығымен бекітілген.</w:t>
            </w:r>
          </w:p>
          <w:p>
            <w:pPr>
              <w:pStyle w:val="Normal"/>
              <w:ind w:hanging="0"/>
              <w:jc w:val="both"/>
              <w:rPr>
                <w:sz w:val="18"/>
                <w:szCs w:val="18"/>
                <w:highlight w:val="none"/>
                <w:shd w:fill="auto" w:val="clear"/>
              </w:rPr>
            </w:pPr>
            <w:r>
              <w:rPr>
                <w:sz w:val="18"/>
                <w:szCs w:val="18"/>
                <w:shd w:fill="auto" w:val="clear"/>
                <w:lang w:val="kk-KZ"/>
              </w:rPr>
              <w:t xml:space="preserve"> </w:t>
            </w:r>
            <w:r>
              <w:rPr>
                <w:sz w:val="18"/>
                <w:szCs w:val="18"/>
                <w:shd w:fill="auto" w:val="clear"/>
                <w:lang w:val="kk-KZ"/>
              </w:rPr>
              <w:t>Өсімдіктер дүниесіне келтірілген залал жер учаскесіне құқық беру туралы шешім қабылданған күннен бастап алты ай мерзімде өтелуге жатады.</w:t>
            </w:r>
          </w:p>
          <w:p>
            <w:pPr>
              <w:pStyle w:val="Normal"/>
              <w:widowControl w:val="false"/>
              <w:ind w:hanging="0"/>
              <w:jc w:val="both"/>
              <w:rPr>
                <w:highlight w:val="none"/>
                <w:shd w:fill="auto" w:val="clear"/>
              </w:rPr>
            </w:pPr>
            <w:r>
              <w:rPr>
                <w:sz w:val="18"/>
                <w:szCs w:val="28"/>
                <w:shd w:fill="auto" w:val="clear"/>
                <w:lang w:val="kk-KZ"/>
              </w:rPr>
              <w:t xml:space="preserve"> </w:t>
            </w:r>
            <w:r>
              <w:rPr>
                <w:sz w:val="18"/>
                <w:szCs w:val="28"/>
                <w:shd w:fill="auto" w:val="clear"/>
                <w:lang w:val="kk-KZ"/>
              </w:rPr>
              <w:t>Осыған байланысты, қоршаған ортаға әсерді бағалау құжатында өсімдіктер дүниесіне келтірілген шығындардың өтемақы мөлшерін міндетті түрде көрсету қажет.</w:t>
            </w:r>
          </w:p>
        </w:tc>
        <w:tc>
          <w:tcPr>
            <w:tcW w:w="1700" w:type="dxa"/>
            <w:tcBorders>
              <w:top w:val="single" w:sz="4" w:space="0" w:color="000000"/>
              <w:left w:val="single" w:sz="4" w:space="0" w:color="000000"/>
              <w:bottom w:val="single" w:sz="4" w:space="0" w:color="000000"/>
              <w:right w:val="single" w:sz="4" w:space="0" w:color="000000"/>
            </w:tcBorders>
          </w:tcPr>
          <w:p>
            <w:pPr>
              <w:pStyle w:val="ListParagraph"/>
              <w:widowControl w:val="false"/>
              <w:tabs>
                <w:tab w:val="clear" w:pos="708"/>
                <w:tab w:val="left" w:pos="1134" w:leader="none"/>
              </w:tabs>
              <w:ind w:left="0" w:hanging="0"/>
              <w:jc w:val="center"/>
              <w:rPr>
                <w:rFonts w:ascii="Times New Roman" w:hAnsi="Times New Roman"/>
                <w:sz w:val="18"/>
                <w:szCs w:val="18"/>
                <w:highlight w:val="none"/>
                <w:shd w:fill="auto" w:val="clear"/>
              </w:rPr>
            </w:pPr>
            <w:r>
              <w:rPr>
                <w:sz w:val="18"/>
                <w:szCs w:val="18"/>
                <w:shd w:fill="auto" w:val="clear"/>
              </w:rPr>
            </w:r>
          </w:p>
        </w:tc>
      </w:tr>
      <w:tr>
        <w:trPr>
          <w:trHeight w:val="1027" w:hRule="atLeast"/>
        </w:trPr>
        <w:tc>
          <w:tcPr>
            <w:tcW w:w="421" w:type="dxa"/>
            <w:vMerge w:val="continue"/>
            <w:tcBorders>
              <w:left w:val="single" w:sz="4" w:space="0" w:color="000000"/>
              <w:bottom w:val="single" w:sz="4" w:space="0" w:color="000000"/>
              <w:right w:val="single" w:sz="4" w:space="0" w:color="000000"/>
            </w:tcBorders>
          </w:tcPr>
          <w:p>
            <w:pPr>
              <w:pStyle w:val="ListParagraph"/>
              <w:widowControl w:val="false"/>
              <w:numPr>
                <w:ilvl w:val="0"/>
                <w:numId w:val="1"/>
              </w:numPr>
              <w:tabs>
                <w:tab w:val="clear" w:pos="708"/>
                <w:tab w:val="left" w:pos="1134" w:leader="none"/>
              </w:tabs>
              <w:ind w:left="0" w:hanging="0"/>
              <w:jc w:val="center"/>
              <w:rPr>
                <w:rFonts w:ascii="Times New Roman" w:hAnsi="Times New Roman"/>
                <w:b/>
                <w:b/>
                <w:sz w:val="18"/>
                <w:szCs w:val="18"/>
              </w:rPr>
            </w:pPr>
            <w:r>
              <w:rPr>
                <w:b/>
                <w:sz w:val="18"/>
                <w:szCs w:val="18"/>
              </w:rPr>
            </w:r>
          </w:p>
        </w:tc>
        <w:tc>
          <w:tcPr>
            <w:tcW w:w="224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1134" w:leader="none"/>
              </w:tabs>
              <w:jc w:val="center"/>
              <w:rPr>
                <w:highlight w:val="none"/>
                <w:shd w:fill="auto" w:val="clear"/>
              </w:rPr>
            </w:pPr>
            <w:r>
              <w:rPr>
                <w:b/>
                <w:color w:val="000000"/>
                <w:sz w:val="18"/>
                <w:szCs w:val="18"/>
                <w:shd w:fill="auto" w:val="clear"/>
              </w:rPr>
              <w:t>РГУ</w:t>
            </w:r>
            <w:r>
              <w:rPr>
                <w:b/>
                <w:sz w:val="18"/>
                <w:szCs w:val="18"/>
                <w:shd w:fill="auto" w:val="clear"/>
              </w:rPr>
              <w:t xml:space="preserve"> «</w:t>
            </w:r>
            <w:r>
              <w:rPr>
                <w:b/>
                <w:color w:val="000000"/>
                <w:sz w:val="18"/>
                <w:szCs w:val="18"/>
                <w:shd w:fill="auto" w:val="clear"/>
              </w:rPr>
              <w:t>Карагандинская</w:t>
            </w:r>
            <w:r>
              <w:rPr>
                <w:b/>
                <w:sz w:val="18"/>
                <w:szCs w:val="18"/>
                <w:shd w:fill="auto" w:val="clear"/>
              </w:rPr>
              <w:t xml:space="preserve"> областная территориальная инспекция лесного хозяйства и животного мира»</w:t>
            </w:r>
          </w:p>
        </w:tc>
        <w:tc>
          <w:tcPr>
            <w:tcW w:w="5832" w:type="dxa"/>
            <w:tcBorders>
              <w:top w:val="single" w:sz="4" w:space="0" w:color="000000"/>
              <w:left w:val="single" w:sz="4" w:space="0" w:color="000000"/>
              <w:bottom w:val="single" w:sz="4" w:space="0" w:color="000000"/>
              <w:right w:val="single" w:sz="4" w:space="0" w:color="000000"/>
            </w:tcBorders>
          </w:tcPr>
          <w:p>
            <w:pPr>
              <w:pStyle w:val="Normal"/>
              <w:widowControl w:val="false"/>
              <w:ind w:hanging="0"/>
              <w:jc w:val="both"/>
              <w:rPr>
                <w:highlight w:val="none"/>
                <w:shd w:fill="auto" w:val="clear"/>
              </w:rPr>
            </w:pPr>
            <w:r>
              <w:rPr>
                <w:sz w:val="18"/>
                <w:szCs w:val="18"/>
                <w:shd w:fill="auto" w:val="clear"/>
              </w:rPr>
              <w:t xml:space="preserve"> </w:t>
            </w:r>
            <w:r>
              <w:rPr>
                <w:sz w:val="18"/>
                <w:szCs w:val="28"/>
                <w:shd w:fill="auto" w:val="clear"/>
              </w:rPr>
              <w:t xml:space="preserve">Карагандинская областная территориальная инспекция лесного хозяйства и животного мира (далее - Инспекция), рассмотрев </w:t>
            </w:r>
            <w:r>
              <w:rPr>
                <w:sz w:val="18"/>
                <w:szCs w:val="28"/>
                <w:shd w:fill="auto" w:val="clear"/>
                <w:lang w:val="kk-KZ"/>
              </w:rPr>
              <w:t xml:space="preserve">заявление о намечаемой деятельности ТОО </w:t>
            </w:r>
            <w:r>
              <w:rPr>
                <w:sz w:val="18"/>
                <w:szCs w:val="28"/>
                <w:shd w:fill="auto" w:val="clear"/>
              </w:rPr>
              <w:t xml:space="preserve">«ПромКирпичKZ» </w:t>
            </w:r>
            <w:r>
              <w:rPr>
                <w:sz w:val="18"/>
                <w:szCs w:val="28"/>
                <w:shd w:fill="auto" w:val="clear"/>
                <w:lang w:val="kk-KZ"/>
              </w:rPr>
              <w:t>от 07.07.2026 г.</w:t>
            </w:r>
            <w:r>
              <w:rPr>
                <w:sz w:val="18"/>
                <w:szCs w:val="18"/>
                <w:shd w:fill="auto" w:val="clear"/>
              </w:rPr>
              <w:t xml:space="preserve"> </w:t>
            </w:r>
            <w:r>
              <w:rPr>
                <w:rFonts w:eastAsia="Calibri"/>
                <w:sz w:val="18"/>
                <w:szCs w:val="28"/>
                <w:shd w:fill="auto" w:val="clear"/>
                <w:lang w:eastAsia="en-US"/>
              </w:rPr>
              <w:t>№KZ92RYS01815525</w:t>
            </w:r>
            <w:r>
              <w:rPr>
                <w:rFonts w:eastAsia="Calibri"/>
                <w:sz w:val="18"/>
                <w:szCs w:val="28"/>
                <w:shd w:fill="auto" w:val="clear"/>
                <w:lang w:val="kk-KZ" w:eastAsia="en-US"/>
              </w:rPr>
              <w:t xml:space="preserve"> </w:t>
            </w:r>
            <w:r>
              <w:rPr>
                <w:bCs/>
                <w:sz w:val="18"/>
                <w:szCs w:val="28"/>
                <w:shd w:fill="auto" w:val="clear"/>
                <w:lang w:val="kk-KZ"/>
              </w:rPr>
              <w:t>сообщает</w:t>
            </w:r>
            <w:r>
              <w:rPr>
                <w:sz w:val="18"/>
                <w:szCs w:val="28"/>
                <w:shd w:fill="auto" w:val="clear"/>
              </w:rPr>
              <w:t xml:space="preserve"> следующее.</w:t>
            </w:r>
          </w:p>
          <w:p>
            <w:pPr>
              <w:pStyle w:val="Normal"/>
              <w:widowControl w:val="false"/>
              <w:spacing w:lineRule="auto" w:line="240" w:before="0" w:after="0"/>
              <w:ind w:hanging="0"/>
              <w:jc w:val="both"/>
              <w:rPr>
                <w:sz w:val="18"/>
                <w:szCs w:val="18"/>
                <w:highlight w:val="none"/>
                <w:shd w:fill="auto" w:val="clear"/>
              </w:rPr>
            </w:pPr>
            <w:r>
              <w:rPr>
                <w:sz w:val="18"/>
                <w:szCs w:val="18"/>
                <w:shd w:fill="auto" w:val="clear"/>
                <w:lang w:val="kk-KZ"/>
              </w:rPr>
              <w:t xml:space="preserve"> </w:t>
            </w:r>
            <w:r>
              <w:rPr>
                <w:sz w:val="18"/>
                <w:szCs w:val="18"/>
                <w:shd w:fill="auto" w:val="clear"/>
                <w:lang w:val="kk-KZ"/>
              </w:rPr>
              <w:t>Согласно информации, предоставленной РГКП «Казахское лесоустроительное предприятие» указанный участок расположен в Карагандинской области и находятся за пределами земель государственного лесного фонда и особо охраняемых природных территорий.</w:t>
            </w:r>
          </w:p>
          <w:p>
            <w:pPr>
              <w:pStyle w:val="Normal"/>
              <w:ind w:hanging="0"/>
              <w:jc w:val="both"/>
              <w:rPr>
                <w:sz w:val="18"/>
                <w:szCs w:val="18"/>
                <w:highlight w:val="none"/>
                <w:shd w:fill="auto" w:val="clear"/>
              </w:rPr>
            </w:pPr>
            <w:r>
              <w:rPr>
                <w:sz w:val="18"/>
                <w:szCs w:val="18"/>
                <w:shd w:fill="auto" w:val="clear"/>
                <w:lang w:val="kk-KZ"/>
              </w:rPr>
              <w:t xml:space="preserve"> </w:t>
            </w:r>
            <w:r>
              <w:rPr>
                <w:sz w:val="18"/>
                <w:szCs w:val="18"/>
                <w:shd w:fill="auto" w:val="clear"/>
                <w:lang w:val="kk-KZ"/>
              </w:rPr>
              <w:t>Информацией о наличии на запрашиваемой территории видов растений и животных, занесённых в Перечень редких и находящихся под угрозой исчезновения видов растений и животных, утверждённый постановлением Правительства Республики Казахстан от 31 октября 2006 г. № 1034 (далее — Перечень), Инспекция не располагает.</w:t>
            </w:r>
          </w:p>
          <w:p>
            <w:pPr>
              <w:pStyle w:val="Normal"/>
              <w:ind w:hanging="0"/>
              <w:jc w:val="both"/>
              <w:rPr>
                <w:sz w:val="18"/>
                <w:szCs w:val="18"/>
                <w:highlight w:val="none"/>
                <w:shd w:fill="auto" w:val="clear"/>
              </w:rPr>
            </w:pPr>
            <w:r>
              <w:rPr>
                <w:sz w:val="18"/>
                <w:szCs w:val="18"/>
                <w:shd w:fill="auto" w:val="clear"/>
                <w:lang w:val="kk-KZ"/>
              </w:rPr>
              <w:t xml:space="preserve">  </w:t>
            </w:r>
            <w:r>
              <w:rPr>
                <w:sz w:val="18"/>
                <w:szCs w:val="18"/>
                <w:shd w:fill="auto" w:val="clear"/>
                <w:lang w:val="kk-KZ"/>
              </w:rPr>
              <w:t>В то же время, для определения наличия на запрашиваемой территории растений и животных, входящих в Перечень, рекомендуем обратиться в научные организации: по растениям — в РГП на ПХВ «Институт ботаники и фитоиндустрии», по животному миру — в РГП на ПХВ «Институт зоологии» и в РОО «Казахстанская ассоциация сохранения биоразнообразия».</w:t>
            </w:r>
          </w:p>
          <w:p>
            <w:pPr>
              <w:pStyle w:val="Normal"/>
              <w:ind w:hanging="0"/>
              <w:jc w:val="both"/>
              <w:rPr>
                <w:sz w:val="18"/>
                <w:szCs w:val="18"/>
                <w:highlight w:val="none"/>
                <w:shd w:fill="auto" w:val="clear"/>
                <w14:ligatures w14:val="none"/>
              </w:rPr>
            </w:pPr>
            <w:r>
              <w:rPr>
                <w:sz w:val="18"/>
                <w:szCs w:val="18"/>
                <w:shd w:fill="auto" w:val="clear"/>
                <w:lang w:val="kk-KZ"/>
                <w14:ligatures w14:val="none"/>
              </w:rPr>
              <w:t xml:space="preserve"> </w:t>
            </w:r>
            <w:r>
              <w:rPr>
                <w:sz w:val="18"/>
                <w:szCs w:val="18"/>
                <w:shd w:fill="auto" w:val="clear"/>
                <w:lang w:val="kk-KZ"/>
                <w14:ligatures w14:val="none"/>
              </w:rPr>
              <w:t>Между тем, данная территория относится к путям миграции Бетпакдалинской популяции сайги, но не относится к местам обитания Казахстанского горного барана (архар).</w:t>
            </w:r>
          </w:p>
          <w:p>
            <w:pPr>
              <w:pStyle w:val="Normal"/>
              <w:ind w:hanging="0"/>
              <w:jc w:val="both"/>
              <w:rPr>
                <w:sz w:val="18"/>
                <w:szCs w:val="18"/>
                <w:highlight w:val="none"/>
                <w:shd w:fill="auto" w:val="clear"/>
                <w14:ligatures w14:val="none"/>
              </w:rPr>
            </w:pPr>
            <w:r>
              <w:rPr>
                <w:sz w:val="18"/>
                <w:szCs w:val="18"/>
                <w:shd w:fill="auto" w:val="clear"/>
                <w:lang w:val="kk-KZ"/>
                <w14:ligatures w14:val="none"/>
              </w:rPr>
              <w:t xml:space="preserve">  </w:t>
            </w:r>
            <w:r>
              <w:rPr>
                <w:sz w:val="18"/>
                <w:szCs w:val="18"/>
                <w:shd w:fill="auto" w:val="clear"/>
                <w:lang w:val="kk-KZ"/>
                <w14:ligatures w14:val="none"/>
              </w:rPr>
              <w:t>Согласно подпункту 3) пункта 4, подпунктов 1) и 6) пункта 6  Типового перечня мероприятий по охране окружающей среды Экологического кодекса Республики Казахстан, в целях качественного проведения мероприятий и работ по рекультивации нарушенных земель, предотвращения эрозионных процессов и улучшения экологической обстановки, а также повышения лесистости территории, рекомендуем рассмотреть возможность проведения работ по посадке, на участке рекультивации,  лесных культур из древесно-кустарниковых пород.</w:t>
            </w:r>
          </w:p>
          <w:p>
            <w:pPr>
              <w:pStyle w:val="Normal"/>
              <w:ind w:hanging="0"/>
              <w:jc w:val="both"/>
              <w:rPr>
                <w:sz w:val="18"/>
                <w:szCs w:val="18"/>
                <w:highlight w:val="none"/>
                <w:shd w:fill="auto" w:val="clear"/>
                <w14:ligatures w14:val="none"/>
              </w:rPr>
            </w:pPr>
            <w:r>
              <w:rPr>
                <w:sz w:val="18"/>
                <w:szCs w:val="18"/>
                <w:shd w:fill="auto" w:val="clear"/>
                <w:lang w:val="kk-KZ"/>
                <w14:ligatures w14:val="none"/>
              </w:rPr>
              <w:t xml:space="preserve">  </w:t>
            </w:r>
            <w:r>
              <w:rPr>
                <w:sz w:val="18"/>
                <w:szCs w:val="18"/>
                <w:shd w:fill="auto" w:val="clear"/>
                <w:lang w:val="kk-KZ"/>
                <w14:ligatures w14:val="none"/>
              </w:rPr>
              <w:t>Согласно пункту 15 статьи 1 Закона Республики Казахстан «Об особо охраняемых природных территориях» (далее – Закон об ООПТ) редкие и находящиеся под угрозой исчезновения  виды животных и растений, являются объектами государственного природно-заповедного фонда.</w:t>
            </w:r>
          </w:p>
          <w:p>
            <w:pPr>
              <w:pStyle w:val="Normal"/>
              <w:ind w:hanging="0"/>
              <w:jc w:val="both"/>
              <w:rPr>
                <w:sz w:val="18"/>
                <w:szCs w:val="18"/>
                <w:highlight w:val="none"/>
                <w:shd w:fill="auto" w:val="clear"/>
                <w14:ligatures w14:val="none"/>
              </w:rPr>
            </w:pPr>
            <w:r>
              <w:rPr>
                <w:sz w:val="18"/>
                <w:szCs w:val="18"/>
                <w:shd w:fill="auto" w:val="clear"/>
                <w:lang w:val="kk-KZ"/>
                <w14:ligatures w14:val="none"/>
              </w:rPr>
              <w:t xml:space="preserve"> </w:t>
            </w:r>
            <w:r>
              <w:rPr>
                <w:sz w:val="18"/>
                <w:szCs w:val="18"/>
                <w:shd w:fill="auto" w:val="clear"/>
                <w:lang w:val="kk-KZ"/>
                <w14:ligatures w14:val="none"/>
              </w:rPr>
              <w:t>Согласно пункту 2 статьи 78 Закона об ООПТ физические и юридические лица обязаны принимать меры по охране редких и находящихся под угрозой исчезновения видов растений и животных.</w:t>
            </w:r>
          </w:p>
          <w:p>
            <w:pPr>
              <w:pStyle w:val="Normal"/>
              <w:ind w:hanging="0"/>
              <w:jc w:val="both"/>
              <w:rPr>
                <w:sz w:val="18"/>
                <w:szCs w:val="18"/>
                <w:highlight w:val="none"/>
                <w:shd w:fill="auto" w:val="clear"/>
                <w14:ligatures w14:val="none"/>
              </w:rPr>
            </w:pPr>
            <w:r>
              <w:rPr>
                <w:sz w:val="18"/>
                <w:szCs w:val="18"/>
                <w:shd w:fill="auto" w:val="clear"/>
                <w:lang w:val="kk-KZ"/>
                <w14:ligatures w14:val="none"/>
              </w:rPr>
              <w:t xml:space="preserve">  </w:t>
            </w:r>
            <w:r>
              <w:rPr>
                <w:sz w:val="18"/>
                <w:szCs w:val="18"/>
                <w:shd w:fill="auto" w:val="clear"/>
                <w:lang w:val="kk-KZ"/>
                <w14:ligatures w14:val="none"/>
              </w:rPr>
              <w:t>В соответствии с пунктом 1 статьи 12 Закона Республики Казахстан «Об охране, воспроизводстве и использовании животного мира» (далее – Закон), деятельность, которая влияет или может повлиять на состояние животного мира, среду обитания, условия размножения и пути миграции животных, должна осуществляться с соблюдением требований, в том числе экологических, обеспечивающих сохранность и воспроизводство животного мира, среды его обитания и компенсацию наносимого и нанесенного вреда, в том числе и неизбежного.</w:t>
            </w:r>
          </w:p>
          <w:p>
            <w:pPr>
              <w:pStyle w:val="Normal"/>
              <w:ind w:hanging="0"/>
              <w:jc w:val="both"/>
              <w:rPr>
                <w:sz w:val="18"/>
                <w:szCs w:val="18"/>
                <w:highlight w:val="none"/>
                <w:shd w:fill="auto" w:val="clear"/>
                <w14:ligatures w14:val="none"/>
              </w:rPr>
            </w:pPr>
            <w:r>
              <w:rPr>
                <w:sz w:val="18"/>
                <w:szCs w:val="18"/>
                <w:shd w:fill="auto" w:val="clear"/>
                <w:lang w:val="kk-KZ"/>
                <w14:ligatures w14:val="none"/>
              </w:rPr>
              <w:t xml:space="preserve">  </w:t>
            </w:r>
            <w:r>
              <w:rPr>
                <w:sz w:val="18"/>
                <w:szCs w:val="18"/>
                <w:shd w:fill="auto" w:val="clear"/>
                <w:lang w:val="kk-KZ"/>
                <w14:ligatures w14:val="none"/>
              </w:rPr>
              <w:t>Также, согласно статье 17 Закона, при размещении, проектировании и строительстве населенных пунктов, предприятий, сооружений и других объектов, осуществлении производственных процессов и эксплуатации транспортных средств, совершенствовании существующих и внедрении новых технологических процессов, введении в хозяйственный оборот неиспользуемых, прибрежных, заболоченных, занятых кустарниками территорий, мелиорации земель, пользовании лесными ресурсами и водными объектами, проведении геолого-разведочных работ, добыче полезных ископаемых, определении мест выпаса и прогона сельскохозяйственных животных, разработке туристских маршрутов и организации мест массового отдыха населения должны предусматриваться и осуществляться мероприятия по сохранению среды обитания и условий размножения объектов животного мира, путей миграции и мест концентрации животных, а также обеспечиваться неприкосновенность участков, представляющих особую ценность в качестве среды обитания диких животных.</w:t>
            </w:r>
          </w:p>
          <w:p>
            <w:pPr>
              <w:pStyle w:val="Normal"/>
              <w:ind w:hanging="0"/>
              <w:jc w:val="both"/>
              <w:rPr>
                <w:sz w:val="18"/>
                <w:szCs w:val="18"/>
                <w:highlight w:val="none"/>
                <w:shd w:fill="auto" w:val="clear"/>
              </w:rPr>
            </w:pPr>
            <w:r>
              <w:rPr>
                <w:sz w:val="18"/>
                <w:szCs w:val="18"/>
                <w:shd w:fill="auto" w:val="clear"/>
                <w:lang w:val="kk-KZ"/>
                <w14:ligatures w14:val="none"/>
              </w:rPr>
              <w:t xml:space="preserve"> </w:t>
            </w:r>
            <w:r>
              <w:rPr>
                <w:sz w:val="18"/>
                <w:szCs w:val="18"/>
                <w:shd w:fill="auto" w:val="clear"/>
                <w:lang w:val="kk-KZ"/>
                <w14:ligatures w14:val="none"/>
              </w:rPr>
              <w:t>При эксплуатации, размещении, проектировании и строительстве железнодорожных, шоссейных, трубопроводных и других транспортных магистралей, линий электропередачи и связи, каналов,</w:t>
            </w:r>
            <w:r>
              <w:rPr>
                <w:sz w:val="18"/>
                <w:szCs w:val="18"/>
                <w:shd w:fill="auto" w:val="clear"/>
                <w:lang w:val="kk-KZ"/>
              </w:rPr>
              <w:t xml:space="preserve"> </w:t>
            </w:r>
            <w:r>
              <w:rPr>
                <w:sz w:val="18"/>
                <w:szCs w:val="18"/>
                <w:shd w:fill="auto" w:val="clear"/>
                <w:lang w:val="kk-KZ"/>
                <w14:ligatures w14:val="none"/>
              </w:rPr>
              <w:t>плотин и иных водохозяйственных сооружений должны разрабатываться и осуществляться мероприятия, обеспечивающие сохранение среды обитания, условий размножения, путей миграции и мест концентрации животных.</w:t>
            </w:r>
          </w:p>
          <w:p>
            <w:pPr>
              <w:pStyle w:val="Normal"/>
              <w:ind w:hanging="0"/>
              <w:jc w:val="both"/>
              <w:rPr>
                <w:sz w:val="18"/>
                <w:szCs w:val="18"/>
                <w:highlight w:val="none"/>
                <w:shd w:fill="auto" w:val="clear"/>
                <w14:ligatures w14:val="none"/>
              </w:rPr>
            </w:pPr>
            <w:r>
              <w:rPr>
                <w:sz w:val="18"/>
                <w:szCs w:val="18"/>
                <w:shd w:fill="auto" w:val="clear"/>
                <w:lang w:val="kk-KZ"/>
                <w14:ligatures w14:val="none"/>
              </w:rPr>
              <w:t xml:space="preserve">  </w:t>
            </w:r>
            <w:r>
              <w:rPr>
                <w:sz w:val="18"/>
                <w:szCs w:val="18"/>
                <w:shd w:fill="auto" w:val="clear"/>
                <w:lang w:val="kk-KZ"/>
                <w14:ligatures w14:val="none"/>
              </w:rPr>
              <w:t>Незаконное добывание, приобретение, хранение, сбыт, ввоз, вывоз, пересылка, перевозка или уничтожение редких и находящихся под угрозой исчезновения видов растении и животных, их частей или дериватов, а также растении и животных, на которых введен запрет на пользование, их частей или дериватов, а равно уничтожение мест их обитания - влечет ответственность, предусмотренную статьями 339 и 339-1 Уголовного кодекса Республики Казахстан.</w:t>
            </w:r>
          </w:p>
          <w:p>
            <w:pPr>
              <w:pStyle w:val="Normal"/>
              <w:ind w:hanging="0"/>
              <w:jc w:val="both"/>
              <w:rPr>
                <w:sz w:val="18"/>
                <w:szCs w:val="18"/>
                <w:highlight w:val="none"/>
                <w:shd w:fill="auto" w:val="clear"/>
                <w14:ligatures w14:val="none"/>
              </w:rPr>
            </w:pPr>
            <w:r>
              <w:rPr>
                <w:sz w:val="18"/>
                <w:szCs w:val="18"/>
                <w:shd w:fill="auto" w:val="clear"/>
                <w:lang w:val="kk-KZ"/>
                <w14:ligatures w14:val="none"/>
              </w:rPr>
              <w:t xml:space="preserve"> </w:t>
            </w:r>
            <w:r>
              <w:rPr>
                <w:sz w:val="18"/>
                <w:szCs w:val="18"/>
                <w:shd w:fill="auto" w:val="clear"/>
                <w:lang w:val="kk-KZ"/>
                <w14:ligatures w14:val="none"/>
              </w:rPr>
              <w:t xml:space="preserve">Кроме того, согласно статье 45 Закона Республики Казахстан «О растительном мире», в случаях удаления дикорастущих растений (безвозвратной утраты) на земельных участках всех категорий земель, переводимых в другие категории для целей недропользования, строительства (реконструкции) зданий, сооружений, дорог, трубопроводов и иных объектов в соответствии с проектной документацией на такие объекты, получившей положительное заключение государственной экологической экспертизы, а также принудительного отчуждения земельного участка для государственных нужд, физические и юридические лица </w:t>
            </w:r>
            <w:r>
              <w:rPr>
                <w:b/>
                <w:sz w:val="18"/>
                <w:szCs w:val="18"/>
                <w:shd w:fill="auto" w:val="clear"/>
                <w:lang w:val="kk-KZ"/>
                <w14:ligatures w14:val="none"/>
              </w:rPr>
              <w:t>обязаны возместить потери растительного мира.</w:t>
            </w:r>
          </w:p>
          <w:p>
            <w:pPr>
              <w:pStyle w:val="Normal"/>
              <w:ind w:hanging="0"/>
              <w:jc w:val="both"/>
              <w:rPr>
                <w:sz w:val="18"/>
                <w:szCs w:val="18"/>
                <w:highlight w:val="none"/>
                <w:shd w:fill="auto" w:val="clear"/>
                <w14:ligatures w14:val="none"/>
              </w:rPr>
            </w:pPr>
            <w:r>
              <w:rPr>
                <w:sz w:val="18"/>
                <w:szCs w:val="18"/>
                <w:shd w:fill="auto" w:val="clear"/>
                <w:lang w:val="kk-KZ"/>
                <w14:ligatures w14:val="none"/>
              </w:rPr>
              <w:t xml:space="preserve"> </w:t>
            </w:r>
            <w:r>
              <w:rPr>
                <w:sz w:val="18"/>
                <w:szCs w:val="18"/>
                <w:shd w:fill="auto" w:val="clear"/>
                <w:lang w:val="kk-KZ"/>
                <w14:ligatures w14:val="none"/>
              </w:rPr>
              <w:t>Нормативы возмещения потерь растительного мира утверждены приказом Министра экологии и природных ресурсов Республики Казахстан от 23 февраля 2023 года №60.</w:t>
            </w:r>
          </w:p>
          <w:p>
            <w:pPr>
              <w:pStyle w:val="Normal"/>
              <w:ind w:hanging="0"/>
              <w:jc w:val="both"/>
              <w:rPr>
                <w:sz w:val="18"/>
                <w:szCs w:val="18"/>
                <w:highlight w:val="none"/>
                <w:shd w:fill="auto" w:val="clear"/>
                <w14:ligatures w14:val="none"/>
              </w:rPr>
            </w:pPr>
            <w:r>
              <w:rPr>
                <w:sz w:val="18"/>
                <w:szCs w:val="18"/>
                <w:shd w:fill="auto" w:val="clear"/>
                <w:lang w:val="kk-KZ"/>
                <w14:ligatures w14:val="none"/>
              </w:rPr>
              <w:t xml:space="preserve">  </w:t>
            </w:r>
            <w:r>
              <w:rPr>
                <w:sz w:val="18"/>
                <w:szCs w:val="18"/>
                <w:shd w:fill="auto" w:val="clear"/>
                <w:lang w:val="kk-KZ"/>
                <w14:ligatures w14:val="none"/>
              </w:rPr>
              <w:t>Потери растительного мира подлежит возмещению в шестимесячный срок с момента принятия решения о предоставлении права на земельный участок.</w:t>
            </w:r>
          </w:p>
          <w:p>
            <w:pPr>
              <w:pStyle w:val="Normal"/>
              <w:widowControl w:val="false"/>
              <w:ind w:hanging="0"/>
              <w:jc w:val="both"/>
              <w:rPr>
                <w:highlight w:val="none"/>
                <w:u w:val="none"/>
                <w:shd w:fill="auto" w:val="clear"/>
              </w:rPr>
            </w:pPr>
            <w:r>
              <w:rPr>
                <w:rFonts w:eastAsia="Times New Roman" w:cs="Times New Roman"/>
                <w:color w:val="000000"/>
                <w:sz w:val="18"/>
                <w:szCs w:val="28"/>
                <w:u w:val="none"/>
                <w:shd w:fill="auto" w:val="clear"/>
                <w:lang w:val="kk-KZ" w:eastAsia="en-US"/>
              </w:rPr>
              <w:t xml:space="preserve">  </w:t>
            </w:r>
            <w:r>
              <w:rPr>
                <w:rFonts w:eastAsia="Times New Roman" w:cs="Times New Roman"/>
                <w:color w:val="000000"/>
                <w:sz w:val="18"/>
                <w:szCs w:val="28"/>
                <w:u w:val="none"/>
                <w:shd w:fill="auto" w:val="clear"/>
                <w:lang w:val="kk-KZ" w:eastAsia="en-US"/>
              </w:rPr>
              <w:t>В этой связи, в оценке воздействия на окружающую среду (ОВОС) необходимо указать размеры</w:t>
            </w:r>
            <w:r>
              <w:rPr>
                <w:rFonts w:eastAsia="Times New Roman" w:cs="Times New Roman"/>
                <w:b/>
                <w:color w:val="000000"/>
                <w:sz w:val="18"/>
                <w:szCs w:val="28"/>
                <w:u w:val="none"/>
                <w:shd w:fill="auto" w:val="clear"/>
                <w:lang w:val="kk-KZ" w:eastAsia="en-US"/>
              </w:rPr>
              <w:t xml:space="preserve"> </w:t>
            </w:r>
            <w:r>
              <w:rPr>
                <w:rFonts w:eastAsia="Times New Roman" w:cs="Times New Roman"/>
                <w:color w:val="000000"/>
                <w:sz w:val="18"/>
                <w:szCs w:val="28"/>
                <w:u w:val="none"/>
                <w:shd w:fill="auto" w:val="clear"/>
                <w:lang w:val="kk-KZ" w:eastAsia="en-US"/>
              </w:rPr>
              <w:t>возмещения потерь растительного мира.</w:t>
            </w:r>
          </w:p>
        </w:tc>
        <w:tc>
          <w:tcPr>
            <w:tcW w:w="1700" w:type="dxa"/>
            <w:tcBorders>
              <w:top w:val="single" w:sz="4" w:space="0" w:color="000000"/>
              <w:left w:val="single" w:sz="4" w:space="0" w:color="000000"/>
              <w:bottom w:val="single" w:sz="4" w:space="0" w:color="000000"/>
              <w:right w:val="single" w:sz="4" w:space="0" w:color="000000"/>
            </w:tcBorders>
          </w:tcPr>
          <w:p>
            <w:pPr>
              <w:pStyle w:val="ListParagraph"/>
              <w:widowControl w:val="false"/>
              <w:tabs>
                <w:tab w:val="clear" w:pos="708"/>
                <w:tab w:val="left" w:pos="1134" w:leader="none"/>
              </w:tabs>
              <w:ind w:left="0" w:hanging="0"/>
              <w:jc w:val="center"/>
              <w:rPr>
                <w:rFonts w:ascii="Times New Roman" w:hAnsi="Times New Roman"/>
                <w:sz w:val="18"/>
                <w:szCs w:val="18"/>
                <w:highlight w:val="none"/>
                <w:shd w:fill="auto" w:val="clear"/>
              </w:rPr>
            </w:pPr>
            <w:r>
              <w:rPr>
                <w:sz w:val="18"/>
                <w:szCs w:val="18"/>
                <w:shd w:fill="auto" w:val="clear"/>
              </w:rPr>
            </w:r>
          </w:p>
        </w:tc>
      </w:tr>
      <w:tr>
        <w:trPr>
          <w:trHeight w:val="441" w:hRule="atLeast"/>
        </w:trPr>
        <w:tc>
          <w:tcPr>
            <w:tcW w:w="421" w:type="dxa"/>
            <w:vMerge w:val="restart"/>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
              </w:numPr>
              <w:tabs>
                <w:tab w:val="clear" w:pos="708"/>
                <w:tab w:val="left" w:pos="1134" w:leader="none"/>
              </w:tabs>
              <w:ind w:left="0" w:hanging="0"/>
              <w:jc w:val="center"/>
              <w:rPr>
                <w:rFonts w:ascii="Times New Roman" w:hAnsi="Times New Roman"/>
                <w:b/>
                <w:b/>
                <w:sz w:val="18"/>
                <w:szCs w:val="18"/>
              </w:rPr>
            </w:pPr>
            <w:r>
              <w:rPr>
                <w:b/>
                <w:sz w:val="18"/>
                <w:szCs w:val="18"/>
              </w:rPr>
            </w:r>
          </w:p>
        </w:tc>
        <w:tc>
          <w:tcPr>
            <w:tcW w:w="224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1134" w:leader="none"/>
              </w:tabs>
              <w:jc w:val="center"/>
              <w:rPr>
                <w:rFonts w:ascii="Times New Roman" w:hAnsi="Times New Roman"/>
                <w:sz w:val="18"/>
                <w:szCs w:val="18"/>
                <w:highlight w:val="none"/>
                <w:shd w:fill="auto" w:val="clear"/>
              </w:rPr>
            </w:pPr>
            <w:r>
              <w:rPr>
                <w:rFonts w:ascii="Times New Roman" w:hAnsi="Times New Roman"/>
                <w:b/>
                <w:color w:val="000000"/>
                <w:sz w:val="18"/>
                <w:szCs w:val="18"/>
                <w:shd w:fill="auto" w:val="clear"/>
              </w:rPr>
              <w:t>«Тарихи-мәдени мұраны сақтау орталығы» КММ</w:t>
            </w:r>
          </w:p>
        </w:tc>
        <w:tc>
          <w:tcPr>
            <w:tcW w:w="5832" w:type="dxa"/>
            <w:tcBorders>
              <w:top w:val="single" w:sz="4" w:space="0" w:color="000000"/>
              <w:left w:val="single" w:sz="4" w:space="0" w:color="000000"/>
              <w:bottom w:val="single" w:sz="4" w:space="0" w:color="000000"/>
              <w:right w:val="single" w:sz="4" w:space="0" w:color="000000"/>
            </w:tcBorders>
          </w:tcPr>
          <w:p>
            <w:pPr>
              <w:pStyle w:val="Style12"/>
              <w:widowControl w:val="false"/>
              <w:tabs>
                <w:tab w:val="clear" w:pos="708"/>
                <w:tab w:val="left" w:pos="9781" w:leader="none"/>
              </w:tabs>
              <w:spacing w:before="0" w:after="0"/>
              <w:ind w:firstLine="170"/>
              <w:jc w:val="both"/>
              <w:rPr>
                <w:rFonts w:ascii="Times New Roman" w:hAnsi="Times New Roman"/>
                <w:sz w:val="18"/>
                <w:szCs w:val="18"/>
                <w:highlight w:val="none"/>
                <w:shd w:fill="auto" w:val="clear"/>
              </w:rPr>
            </w:pPr>
            <w:r>
              <w:rPr>
                <w:rFonts w:eastAsia="Calibri" w:ascii="Times New Roman" w:hAnsi="Times New Roman"/>
                <w:color w:val="000000"/>
                <w:sz w:val="18"/>
                <w:szCs w:val="18"/>
                <w:shd w:fill="auto" w:val="clear"/>
                <w:lang w:val="kk-KZ" w:eastAsia="en-US"/>
              </w:rPr>
              <w:t xml:space="preserve">Қарағанды облысының мәдениет, мұрағаттар және құжаттама басқармасы "тарихи-мәдени мұраны сақтау орталығы" КММ атына келіп түскен өтінішіңізді қарап, келесіні хабарлаймыз: </w:t>
            </w:r>
          </w:p>
          <w:p>
            <w:pPr>
              <w:pStyle w:val="Style12"/>
              <w:widowControl w:val="false"/>
              <w:tabs>
                <w:tab w:val="clear" w:pos="708"/>
                <w:tab w:val="left" w:pos="9781" w:leader="none"/>
              </w:tabs>
              <w:spacing w:before="0" w:after="0"/>
              <w:ind w:firstLine="170"/>
              <w:jc w:val="both"/>
              <w:rPr>
                <w:rFonts w:ascii="Times New Roman" w:hAnsi="Times New Roman"/>
                <w:sz w:val="18"/>
                <w:szCs w:val="18"/>
                <w:highlight w:val="none"/>
                <w:shd w:fill="auto" w:val="clear"/>
              </w:rPr>
            </w:pPr>
            <w:r>
              <w:rPr>
                <w:rFonts w:eastAsia="Calibri" w:ascii="Times New Roman" w:hAnsi="Times New Roman"/>
                <w:color w:val="000000"/>
                <w:sz w:val="18"/>
                <w:szCs w:val="18"/>
                <w:shd w:fill="auto" w:val="clear"/>
                <w:lang w:val="kk-KZ" w:eastAsia="en-US"/>
              </w:rPr>
              <w:t xml:space="preserve">Сіз көрсеткен аумақта (Қарағанды облысының Нұра ауданында орналасқан, ауданы 2,18 шаршы км "Нұра" кен орнында кең таралған пайдалы қазбаларды өндіруге және өңдеуге арналған учаске) тарихи-мәдени маңызы бар ескерткіштер тіркелген жоқ. Дегенмен, сайттағы мамандардың ғарыштық суреттерді визуалды тексеруі кезінде тарих және мәдениет ескерткіштері болуы мүмкін. </w:t>
            </w:r>
          </w:p>
          <w:p>
            <w:pPr>
              <w:pStyle w:val="Style12"/>
              <w:widowControl w:val="false"/>
              <w:tabs>
                <w:tab w:val="clear" w:pos="708"/>
                <w:tab w:val="left" w:pos="9781" w:leader="none"/>
              </w:tabs>
              <w:spacing w:before="0" w:after="0"/>
              <w:ind w:firstLine="170"/>
              <w:jc w:val="both"/>
              <w:rPr>
                <w:rFonts w:ascii="Times New Roman" w:hAnsi="Times New Roman"/>
                <w:sz w:val="18"/>
                <w:szCs w:val="18"/>
                <w:highlight w:val="none"/>
                <w:shd w:fill="auto" w:val="clear"/>
              </w:rPr>
            </w:pPr>
            <w:r>
              <w:rPr>
                <w:rFonts w:eastAsia="Calibri" w:ascii="Times New Roman" w:hAnsi="Times New Roman"/>
                <w:color w:val="000000"/>
                <w:sz w:val="18"/>
                <w:szCs w:val="18"/>
                <w:shd w:fill="auto" w:val="clear"/>
                <w:lang w:val="kk-KZ" w:eastAsia="en-US"/>
              </w:rPr>
              <w:t xml:space="preserve">"Тарихи-мәдени мұраны қорғау және пайдалану туралы" ҚР Заңының 30-бабының (2019 жылғы 26 желтоқсан № 288-VІ) талаптарына сәйкес жер учаскелері бөлінгенге дейін тарихи-мәдени мұра объектілерін анықтау бойынша зерттеу жұмыстарын жүргізу қажет (тарихи-мәдени сараптама). </w:t>
            </w:r>
          </w:p>
          <w:p>
            <w:pPr>
              <w:pStyle w:val="Style12"/>
              <w:widowControl w:val="false"/>
              <w:tabs>
                <w:tab w:val="clear" w:pos="708"/>
                <w:tab w:val="left" w:pos="9781" w:leader="none"/>
              </w:tabs>
              <w:spacing w:before="0" w:after="0"/>
              <w:ind w:firstLine="170"/>
              <w:jc w:val="both"/>
              <w:rPr>
                <w:rFonts w:ascii="Times New Roman" w:hAnsi="Times New Roman"/>
                <w:sz w:val="18"/>
                <w:szCs w:val="18"/>
                <w:highlight w:val="none"/>
                <w:shd w:fill="auto" w:val="clear"/>
              </w:rPr>
            </w:pPr>
            <w:r>
              <w:rPr>
                <w:rFonts w:eastAsia="Calibri" w:ascii="Times New Roman" w:hAnsi="Times New Roman"/>
                <w:color w:val="000000"/>
                <w:sz w:val="18"/>
                <w:szCs w:val="18"/>
                <w:shd w:fill="auto" w:val="clear"/>
                <w:lang w:val="kk-KZ" w:eastAsia="en-US"/>
              </w:rPr>
              <w:t xml:space="preserve">Жоғарыда аталған Заңның 36-2-бабына сәйкес тарихи-мәдени сараптаманы тарихи-мәдени мұра объектілерін қорғау және пайдалану саласындағы қызметті жүзеге асыратын, тарих және мәдениет ескерткіштерінде және (немесе) археологиялық жұмыстарда ғылыми-реставрациялау жұмыстарын жүзеге асыру жөніндегі қызметке лицензиясы бар, сондай-ақ ғылыми және (немесе) Қазақстан Республикасының Ғылым туралы заңнамасына сәйкес ғылыми-техникалық қызметті жүзеге асырады. </w:t>
            </w:r>
          </w:p>
          <w:p>
            <w:pPr>
              <w:pStyle w:val="Style12"/>
              <w:widowControl w:val="false"/>
              <w:tabs>
                <w:tab w:val="clear" w:pos="708"/>
                <w:tab w:val="left" w:pos="9781" w:leader="none"/>
              </w:tabs>
              <w:spacing w:before="0" w:after="0"/>
              <w:ind w:firstLine="170"/>
              <w:jc w:val="both"/>
              <w:rPr>
                <w:rFonts w:ascii="Times New Roman" w:hAnsi="Times New Roman"/>
                <w:sz w:val="18"/>
                <w:szCs w:val="18"/>
                <w:highlight w:val="none"/>
                <w:shd w:fill="auto" w:val="clear"/>
              </w:rPr>
            </w:pPr>
            <w:r>
              <w:rPr>
                <w:rFonts w:eastAsia="Calibri" w:ascii="Times New Roman" w:hAnsi="Times New Roman"/>
                <w:color w:val="000000"/>
                <w:sz w:val="18"/>
                <w:szCs w:val="18"/>
                <w:shd w:fill="auto" w:val="clear"/>
                <w:lang w:val="kk-KZ" w:eastAsia="en-US"/>
              </w:rPr>
              <w:t xml:space="preserve">Бөлінген аумақтарда тарих және мәдениет ескерткіштерінің болуы немесе болмауы туралы актілер мен қорытындылар тарихи-мәдени сараптама жүргізілгеннен кейін беріледі. </w:t>
            </w:r>
          </w:p>
        </w:tc>
        <w:tc>
          <w:tcPr>
            <w:tcW w:w="1700" w:type="dxa"/>
            <w:tcBorders>
              <w:top w:val="single" w:sz="4" w:space="0" w:color="000000"/>
              <w:left w:val="single" w:sz="4" w:space="0" w:color="000000"/>
              <w:bottom w:val="single" w:sz="4" w:space="0" w:color="000000"/>
              <w:right w:val="single" w:sz="4" w:space="0" w:color="000000"/>
            </w:tcBorders>
          </w:tcPr>
          <w:p>
            <w:pPr>
              <w:pStyle w:val="ListParagraph"/>
              <w:widowControl w:val="false"/>
              <w:tabs>
                <w:tab w:val="clear" w:pos="708"/>
                <w:tab w:val="left" w:pos="1134" w:leader="none"/>
              </w:tabs>
              <w:ind w:left="0" w:hanging="0"/>
              <w:jc w:val="center"/>
              <w:rPr>
                <w:rFonts w:ascii="Times New Roman" w:hAnsi="Times New Roman"/>
                <w:sz w:val="18"/>
                <w:szCs w:val="18"/>
                <w:highlight w:val="none"/>
                <w:shd w:fill="auto" w:val="clear"/>
              </w:rPr>
            </w:pPr>
            <w:r>
              <w:rPr>
                <w:rFonts w:ascii="Times New Roman" w:hAnsi="Times New Roman"/>
                <w:sz w:val="18"/>
                <w:szCs w:val="18"/>
                <w:shd w:fill="auto" w:val="clear"/>
              </w:rPr>
            </w:r>
          </w:p>
        </w:tc>
      </w:tr>
      <w:tr>
        <w:trPr>
          <w:trHeight w:val="441" w:hRule="atLeast"/>
        </w:trPr>
        <w:tc>
          <w:tcPr>
            <w:tcW w:w="421" w:type="dxa"/>
            <w:vMerge w:val="continue"/>
            <w:tcBorders>
              <w:left w:val="single" w:sz="4" w:space="0" w:color="000000"/>
              <w:bottom w:val="single" w:sz="4" w:space="0" w:color="000000"/>
              <w:right w:val="single" w:sz="4" w:space="0" w:color="000000"/>
            </w:tcBorders>
          </w:tcPr>
          <w:p>
            <w:pPr>
              <w:pStyle w:val="ListParagraph"/>
              <w:widowControl w:val="false"/>
              <w:numPr>
                <w:ilvl w:val="0"/>
                <w:numId w:val="1"/>
              </w:numPr>
              <w:tabs>
                <w:tab w:val="clear" w:pos="708"/>
                <w:tab w:val="left" w:pos="1134" w:leader="none"/>
              </w:tabs>
              <w:ind w:left="0" w:hanging="0"/>
              <w:jc w:val="center"/>
              <w:rPr>
                <w:rFonts w:ascii="Times New Roman" w:hAnsi="Times New Roman"/>
                <w:b/>
                <w:b/>
                <w:sz w:val="18"/>
                <w:szCs w:val="18"/>
              </w:rPr>
            </w:pPr>
            <w:r>
              <w:rPr>
                <w:b/>
                <w:sz w:val="18"/>
                <w:szCs w:val="18"/>
              </w:rPr>
            </w:r>
          </w:p>
        </w:tc>
        <w:tc>
          <w:tcPr>
            <w:tcW w:w="224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1134" w:leader="none"/>
              </w:tabs>
              <w:jc w:val="center"/>
              <w:rPr>
                <w:rFonts w:ascii="Times New Roman" w:hAnsi="Times New Roman"/>
                <w:sz w:val="18"/>
                <w:szCs w:val="18"/>
                <w:highlight w:val="none"/>
                <w:shd w:fill="auto" w:val="clear"/>
              </w:rPr>
            </w:pPr>
            <w:r>
              <w:rPr>
                <w:rFonts w:ascii="Times New Roman" w:hAnsi="Times New Roman"/>
                <w:b/>
                <w:color w:val="000000"/>
                <w:sz w:val="18"/>
                <w:szCs w:val="18"/>
                <w:shd w:fill="auto" w:val="clear"/>
                <w:lang w:val="kk-KZ"/>
              </w:rPr>
              <w:t>К</w:t>
            </w:r>
            <w:r>
              <w:rPr>
                <w:rFonts w:ascii="Times New Roman" w:hAnsi="Times New Roman"/>
                <w:b/>
                <w:color w:val="000000"/>
                <w:sz w:val="18"/>
                <w:szCs w:val="18"/>
                <w:shd w:fill="auto" w:val="clear"/>
              </w:rPr>
              <w:t>Г</w:t>
            </w:r>
            <w:r>
              <w:rPr>
                <w:rFonts w:ascii="Times New Roman" w:hAnsi="Times New Roman"/>
                <w:b/>
                <w:color w:val="000000"/>
                <w:sz w:val="18"/>
                <w:szCs w:val="18"/>
                <w:shd w:fill="auto" w:val="clear"/>
                <w:lang w:val="kk-KZ"/>
              </w:rPr>
              <w:t>У</w:t>
            </w:r>
            <w:r>
              <w:rPr>
                <w:rFonts w:ascii="Times New Roman" w:hAnsi="Times New Roman"/>
                <w:b/>
                <w:sz w:val="18"/>
                <w:szCs w:val="18"/>
                <w:shd w:fill="auto" w:val="clear"/>
              </w:rPr>
              <w:t xml:space="preserve"> «</w:t>
            </w:r>
            <w:r>
              <w:rPr>
                <w:rFonts w:eastAsia="Calibri" w:ascii="Times New Roman" w:hAnsi="Times New Roman"/>
                <w:b/>
                <w:sz w:val="18"/>
                <w:szCs w:val="18"/>
                <w:shd w:fill="auto" w:val="clear"/>
                <w:lang w:val="kk-KZ" w:eastAsia="kk-KZ"/>
              </w:rPr>
              <w:t>Центр по сохранению историко-культурного наследия Карагандинской области</w:t>
            </w:r>
            <w:r>
              <w:rPr>
                <w:rFonts w:ascii="Times New Roman" w:hAnsi="Times New Roman"/>
                <w:b/>
                <w:sz w:val="18"/>
                <w:szCs w:val="18"/>
                <w:shd w:fill="auto" w:val="clear"/>
              </w:rPr>
              <w:t>»</w:t>
            </w:r>
          </w:p>
        </w:tc>
        <w:tc>
          <w:tcPr>
            <w:tcW w:w="583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9781" w:leader="none"/>
              </w:tabs>
              <w:spacing w:lineRule="auto" w:line="240" w:before="0" w:after="0"/>
              <w:ind w:hanging="0"/>
              <w:jc w:val="both"/>
              <w:rPr>
                <w:rFonts w:ascii="Times New Roman" w:hAnsi="Times New Roman"/>
                <w:sz w:val="18"/>
                <w:szCs w:val="18"/>
                <w:highlight w:val="none"/>
                <w:shd w:fill="auto" w:val="clear"/>
              </w:rPr>
            </w:pPr>
            <w:r>
              <w:rPr>
                <w:rFonts w:eastAsia="Times New Roman" w:cs="Times New Roman" w:ascii="Times New Roman" w:hAnsi="Times New Roman"/>
                <w:sz w:val="18"/>
                <w:szCs w:val="18"/>
                <w:shd w:fill="auto" w:val="clear"/>
                <w:lang w:val="kk-KZ"/>
              </w:rPr>
              <w:t xml:space="preserve">  </w:t>
            </w:r>
            <w:r>
              <w:rPr>
                <w:rFonts w:eastAsia="Times New Roman" w:cs="Times New Roman" w:ascii="Times New Roman" w:hAnsi="Times New Roman"/>
                <w:sz w:val="18"/>
                <w:szCs w:val="18"/>
                <w:shd w:fill="auto" w:val="clear"/>
                <w:lang w:val="kk-KZ"/>
              </w:rPr>
              <w:t>Рассмотрев Ваше обращение, поступившее на имя КГУ «Центр по сохранению историко-культурного наследия» управление культуры, архивов и документации Карагандинской области, сообщаем следующее:</w:t>
            </w:r>
          </w:p>
          <w:p>
            <w:pPr>
              <w:pStyle w:val="Normal"/>
              <w:tabs>
                <w:tab w:val="clear" w:pos="708"/>
                <w:tab w:val="left" w:pos="9781" w:leader="none"/>
              </w:tabs>
              <w:spacing w:lineRule="auto" w:line="240" w:before="0" w:after="0"/>
              <w:ind w:hanging="0"/>
              <w:jc w:val="both"/>
              <w:rPr>
                <w:rFonts w:ascii="Times New Roman" w:hAnsi="Times New Roman"/>
                <w:sz w:val="18"/>
                <w:szCs w:val="18"/>
                <w:highlight w:val="none"/>
                <w:shd w:fill="auto" w:val="clear"/>
              </w:rPr>
            </w:pPr>
            <w:r>
              <w:rPr>
                <w:rFonts w:cs="Times New Roman" w:ascii="Times New Roman" w:hAnsi="Times New Roman"/>
                <w:sz w:val="18"/>
                <w:szCs w:val="18"/>
                <w:shd w:fill="auto" w:val="clear"/>
              </w:rPr>
              <w:t xml:space="preserve">  </w:t>
            </w:r>
            <w:r>
              <w:rPr>
                <w:rFonts w:cs="Times New Roman" w:ascii="Times New Roman" w:hAnsi="Times New Roman"/>
                <w:sz w:val="18"/>
                <w:szCs w:val="18"/>
                <w:shd w:fill="auto" w:val="clear"/>
              </w:rPr>
              <w:t>На указанной Вами территори</w:t>
            </w:r>
            <w:r>
              <w:rPr>
                <w:rFonts w:cs="Times New Roman" w:ascii="Times New Roman" w:hAnsi="Times New Roman"/>
                <w:sz w:val="18"/>
                <w:szCs w:val="18"/>
                <w:shd w:fill="auto" w:val="clear"/>
                <w:lang w:val="kk-KZ"/>
              </w:rPr>
              <w:t>и</w:t>
            </w:r>
            <w:r>
              <w:rPr>
                <w:rFonts w:cs="Times New Roman" w:ascii="Times New Roman" w:hAnsi="Times New Roman"/>
                <w:sz w:val="18"/>
                <w:szCs w:val="18"/>
                <w:shd w:fill="auto" w:val="clear"/>
              </w:rPr>
              <w:t xml:space="preserve"> (участок для добычи и переработки общераспространенных полезных ископаемых на месторождении «Нура», расположенного в Нуринском районе Карагандинской области, </w:t>
            </w:r>
            <w:r>
              <w:rPr>
                <w:rFonts w:cs="Times New Roman" w:ascii="Times New Roman" w:hAnsi="Times New Roman"/>
                <w:sz w:val="18"/>
                <w:szCs w:val="18"/>
                <w:shd w:fill="auto" w:val="clear"/>
                <w:lang w:val="kk-KZ"/>
              </w:rPr>
              <w:t xml:space="preserve">площадью </w:t>
            </w:r>
            <w:r>
              <w:rPr>
                <w:rFonts w:cs="Times New Roman" w:ascii="Times New Roman" w:hAnsi="Times New Roman"/>
                <w:sz w:val="18"/>
                <w:szCs w:val="18"/>
                <w:shd w:fill="auto" w:val="clear"/>
              </w:rPr>
              <w:t>2,18 кв. км) зарегистрированных памятников историко-культурного значения не имеются. Однако в ходе визуального осмотра космоснимков специалистами на участке, вероятно, присутствуют памятники истории и культуры.</w:t>
            </w:r>
          </w:p>
          <w:p>
            <w:pPr>
              <w:pStyle w:val="Normal"/>
              <w:tabs>
                <w:tab w:val="clear" w:pos="708"/>
                <w:tab w:val="left" w:pos="9781" w:leader="none"/>
              </w:tabs>
              <w:spacing w:lineRule="auto" w:line="240" w:before="0" w:after="0"/>
              <w:ind w:hanging="0"/>
              <w:jc w:val="both"/>
              <w:rPr>
                <w:rFonts w:ascii="Times New Roman" w:hAnsi="Times New Roman"/>
                <w:sz w:val="18"/>
                <w:szCs w:val="18"/>
                <w:highlight w:val="none"/>
                <w:shd w:fill="auto" w:val="clear"/>
              </w:rPr>
            </w:pPr>
            <w:r>
              <w:rPr>
                <w:rFonts w:eastAsia="Calibri" w:cs="Times New Roman" w:ascii="Times New Roman" w:hAnsi="Times New Roman"/>
                <w:sz w:val="18"/>
                <w:szCs w:val="18"/>
                <w:shd w:fill="auto" w:val="clear"/>
              </w:rPr>
              <w:t xml:space="preserve"> </w:t>
            </w:r>
            <w:r>
              <w:rPr>
                <w:rFonts w:eastAsia="Calibri" w:cs="Times New Roman" w:ascii="Times New Roman" w:hAnsi="Times New Roman"/>
                <w:sz w:val="18"/>
                <w:szCs w:val="18"/>
                <w:shd w:fill="auto" w:val="clear"/>
              </w:rPr>
              <w:t>В соответствии с требованиями ст.30 Закона РК «Об охране и использовании историко-культурного наследия»</w:t>
            </w:r>
            <w:r>
              <w:rPr>
                <w:rFonts w:eastAsia="Calibri" w:cs="Times New Roman" w:ascii="Times New Roman" w:hAnsi="Times New Roman"/>
                <w:sz w:val="18"/>
                <w:szCs w:val="18"/>
                <w:shd w:fill="auto" w:val="clear"/>
                <w:lang w:val="kk-KZ"/>
              </w:rPr>
              <w:t xml:space="preserve"> (26 декабря 2019 года № 288-VІ) </w:t>
            </w:r>
            <w:r>
              <w:rPr>
                <w:rFonts w:eastAsia="Calibri" w:cs="Times New Roman" w:ascii="Times New Roman" w:hAnsi="Times New Roman"/>
                <w:sz w:val="18"/>
                <w:szCs w:val="18"/>
                <w:shd w:fill="auto" w:val="clear"/>
              </w:rPr>
              <w:t xml:space="preserve">до отвода земельных участков </w:t>
            </w:r>
            <w:r>
              <w:rPr>
                <w:rFonts w:eastAsia="Calibri" w:cs="Times New Roman" w:ascii="Times New Roman" w:hAnsi="Times New Roman"/>
                <w:sz w:val="18"/>
                <w:szCs w:val="18"/>
                <w:shd w:fill="auto" w:val="clear"/>
                <w:lang w:val="kk-KZ"/>
              </w:rPr>
              <w:t>необходимо</w:t>
            </w:r>
            <w:r>
              <w:rPr>
                <w:rFonts w:eastAsia="Calibri" w:cs="Times New Roman" w:ascii="Times New Roman" w:hAnsi="Times New Roman"/>
                <w:sz w:val="18"/>
                <w:szCs w:val="18"/>
                <w:shd w:fill="auto" w:val="clear"/>
              </w:rPr>
              <w:t xml:space="preserve"> произвести исследовательские работы по выявлению объектов историко-культурного наследия</w:t>
            </w:r>
            <w:r>
              <w:rPr>
                <w:rFonts w:eastAsia="Calibri" w:cs="Times New Roman" w:ascii="Times New Roman" w:hAnsi="Times New Roman"/>
                <w:sz w:val="18"/>
                <w:szCs w:val="18"/>
                <w:shd w:fill="auto" w:val="clear"/>
                <w:lang w:eastAsia="en-US"/>
              </w:rPr>
              <w:t xml:space="preserve"> (</w:t>
            </w:r>
            <w:r>
              <w:rPr>
                <w:rFonts w:eastAsia="Calibri" w:cs="Times New Roman" w:ascii="Times New Roman" w:hAnsi="Times New Roman"/>
                <w:sz w:val="18"/>
                <w:szCs w:val="18"/>
                <w:shd w:fill="auto" w:val="clear"/>
              </w:rPr>
              <w:t xml:space="preserve">историко-культурная экспертиза). </w:t>
            </w:r>
          </w:p>
          <w:p>
            <w:pPr>
              <w:pStyle w:val="Normal"/>
              <w:tabs>
                <w:tab w:val="clear" w:pos="708"/>
                <w:tab w:val="left" w:pos="9781" w:leader="none"/>
              </w:tabs>
              <w:spacing w:lineRule="auto" w:line="240" w:before="0" w:after="0"/>
              <w:ind w:hanging="0"/>
              <w:jc w:val="both"/>
              <w:rPr>
                <w:rFonts w:ascii="Times New Roman" w:hAnsi="Times New Roman"/>
                <w:sz w:val="18"/>
                <w:szCs w:val="18"/>
                <w:highlight w:val="none"/>
                <w:shd w:fill="auto" w:val="clear"/>
              </w:rPr>
            </w:pPr>
            <w:r>
              <w:rPr>
                <w:rFonts w:eastAsia="Times New Roman" w:cs="Times New Roman" w:ascii="Times New Roman" w:hAnsi="Times New Roman"/>
                <w:sz w:val="18"/>
                <w:szCs w:val="18"/>
                <w:shd w:fill="auto" w:val="clear"/>
              </w:rPr>
              <w:t xml:space="preserve"> </w:t>
            </w:r>
            <w:r>
              <w:rPr>
                <w:rFonts w:eastAsia="Times New Roman" w:cs="Times New Roman" w:ascii="Times New Roman" w:hAnsi="Times New Roman"/>
                <w:sz w:val="18"/>
                <w:szCs w:val="18"/>
                <w:shd w:fill="auto" w:val="clear"/>
              </w:rPr>
              <w:t>Согласно ст.36-2 вышеуказанного Закона</w:t>
            </w:r>
            <w:r>
              <w:rPr>
                <w:rFonts w:eastAsia="Times New Roman" w:cs="Times New Roman" w:ascii="Times New Roman" w:hAnsi="Times New Roman"/>
                <w:sz w:val="18"/>
                <w:szCs w:val="18"/>
                <w:shd w:fill="auto" w:val="clear"/>
                <w:lang w:val="kk-KZ"/>
              </w:rPr>
              <w:t xml:space="preserve"> </w:t>
            </w:r>
            <w:r>
              <w:rPr>
                <w:rFonts w:eastAsia="Times New Roman" w:cs="Times New Roman" w:ascii="Times New Roman" w:hAnsi="Times New Roman"/>
                <w:sz w:val="18"/>
                <w:szCs w:val="18"/>
                <w:shd w:fill="auto" w:val="clear"/>
              </w:rPr>
              <w:t>историко-культурную экспертизу проводят физические и юридические лица, осуществляющие деятельность в сфере охраны и использования объектов историко-культурного наследия, имеющие лицензию на деятельность по осуществлению научно-реставрационных работ на памятниках истории и культуры и (или) археологических работ, а также аккредитацию субъекта научной и (или) научно-технической деятельности в соответствии с законодательством Республики Казахстан о науке.</w:t>
            </w:r>
          </w:p>
          <w:p>
            <w:pPr>
              <w:pStyle w:val="Normal"/>
              <w:widowControl w:val="false"/>
              <w:tabs>
                <w:tab w:val="clear" w:pos="708"/>
                <w:tab w:val="left" w:pos="9781" w:leader="none"/>
              </w:tabs>
              <w:spacing w:lineRule="auto" w:line="240" w:before="0" w:after="0"/>
              <w:ind w:hanging="0"/>
              <w:jc w:val="both"/>
              <w:rPr>
                <w:rFonts w:ascii="Times New Roman" w:hAnsi="Times New Roman"/>
                <w:sz w:val="18"/>
                <w:szCs w:val="18"/>
                <w:highlight w:val="none"/>
                <w:shd w:fill="auto" w:val="clear"/>
              </w:rPr>
            </w:pPr>
            <w:r>
              <w:rPr>
                <w:rFonts w:eastAsia="Calibri" w:cs="Times New Roman" w:ascii="Times New Roman" w:hAnsi="Times New Roman"/>
                <w:sz w:val="18"/>
                <w:szCs w:val="18"/>
                <w:shd w:fill="auto" w:val="clear"/>
                <w:lang w:val="kk-KZ"/>
              </w:rPr>
              <w:t xml:space="preserve">   </w:t>
            </w:r>
            <w:r>
              <w:rPr>
                <w:rFonts w:eastAsia="Calibri" w:cs="Times New Roman" w:ascii="Times New Roman" w:hAnsi="Times New Roman"/>
                <w:sz w:val="18"/>
                <w:szCs w:val="18"/>
                <w:shd w:fill="auto" w:val="clear"/>
                <w:lang w:val="kk-KZ"/>
              </w:rPr>
              <w:t>Акты и заключения о наличии или отсутствии памятников истории и культуры на выделяемых территориях выдаются после проведения историко-культурной экспертизы.</w:t>
            </w:r>
          </w:p>
        </w:tc>
        <w:tc>
          <w:tcPr>
            <w:tcW w:w="1700" w:type="dxa"/>
            <w:tcBorders>
              <w:top w:val="single" w:sz="4" w:space="0" w:color="000000"/>
              <w:left w:val="single" w:sz="4" w:space="0" w:color="000000"/>
              <w:bottom w:val="single" w:sz="4" w:space="0" w:color="000000"/>
              <w:right w:val="single" w:sz="4" w:space="0" w:color="000000"/>
            </w:tcBorders>
          </w:tcPr>
          <w:p>
            <w:pPr>
              <w:pStyle w:val="ListParagraph"/>
              <w:widowControl w:val="false"/>
              <w:tabs>
                <w:tab w:val="clear" w:pos="708"/>
                <w:tab w:val="left" w:pos="1134" w:leader="none"/>
              </w:tabs>
              <w:ind w:left="0" w:hanging="0"/>
              <w:jc w:val="center"/>
              <w:rPr>
                <w:rFonts w:ascii="Times New Roman" w:hAnsi="Times New Roman"/>
                <w:sz w:val="18"/>
                <w:szCs w:val="18"/>
                <w:highlight w:val="none"/>
                <w:shd w:fill="auto" w:val="clear"/>
              </w:rPr>
            </w:pPr>
            <w:r>
              <w:rPr>
                <w:rFonts w:ascii="Times New Roman" w:hAnsi="Times New Roman"/>
                <w:sz w:val="18"/>
                <w:szCs w:val="18"/>
                <w:shd w:fill="auto" w:val="clear"/>
              </w:rPr>
            </w:r>
          </w:p>
        </w:tc>
      </w:tr>
      <w:tr>
        <w:trPr>
          <w:trHeight w:val="441" w:hRule="atLeast"/>
        </w:trPr>
        <w:tc>
          <w:tcPr>
            <w:tcW w:w="421" w:type="dxa"/>
            <w:vMerge w:val="restart"/>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
              </w:numPr>
              <w:tabs>
                <w:tab w:val="clear" w:pos="708"/>
                <w:tab w:val="left" w:pos="1134" w:leader="none"/>
              </w:tabs>
              <w:ind w:left="0" w:hanging="0"/>
              <w:jc w:val="center"/>
              <w:rPr>
                <w:rFonts w:ascii="Times New Roman" w:hAnsi="Times New Roman"/>
                <w:b/>
                <w:b/>
                <w:sz w:val="18"/>
                <w:szCs w:val="18"/>
                <w:highlight w:val="none"/>
                <w:shd w:fill="FFFF00" w:val="clear"/>
              </w:rPr>
            </w:pPr>
            <w:r>
              <w:rPr>
                <w:b/>
                <w:sz w:val="18"/>
                <w:szCs w:val="18"/>
                <w:shd w:fill="FFFF00" w:val="clear"/>
              </w:rPr>
            </w:r>
          </w:p>
        </w:tc>
        <w:tc>
          <w:tcPr>
            <w:tcW w:w="224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1134" w:leader="none"/>
              </w:tabs>
              <w:jc w:val="center"/>
              <w:rPr>
                <w:rFonts w:ascii="Times New Roman" w:hAnsi="Times New Roman"/>
                <w:sz w:val="18"/>
                <w:szCs w:val="18"/>
                <w:highlight w:val="none"/>
                <w:shd w:fill="auto" w:val="clear"/>
              </w:rPr>
            </w:pPr>
            <w:r>
              <w:rPr>
                <w:rFonts w:ascii="Times New Roman" w:hAnsi="Times New Roman"/>
                <w:b/>
                <w:bCs/>
                <w:color w:val="000000"/>
                <w:sz w:val="18"/>
                <w:szCs w:val="18"/>
                <w:shd w:fill="auto" w:val="clear"/>
              </w:rPr>
              <w:t>«Қарағанды облысының ветеринария басқармасы» ММ</w:t>
            </w:r>
          </w:p>
        </w:tc>
        <w:tc>
          <w:tcPr>
            <w:tcW w:w="583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52"/>
              <w:ind w:hanging="0"/>
              <w:jc w:val="both"/>
              <w:rPr/>
            </w:pPr>
            <w:r>
              <w:rPr>
                <w:rStyle w:val="Fontstyle01"/>
                <w:rFonts w:ascii="Times New Roman" w:hAnsi="Times New Roman"/>
                <w:iCs/>
                <w:color w:val="000000"/>
                <w:sz w:val="18"/>
                <w:szCs w:val="18"/>
                <w:shd w:fill="auto" w:val="clear"/>
                <w:lang w:val="kk-KZ"/>
              </w:rPr>
              <w:t xml:space="preserve">  </w:t>
            </w:r>
            <w:r>
              <w:rPr>
                <w:rStyle w:val="Fontstyle01"/>
                <w:rFonts w:ascii="Times New Roman" w:hAnsi="Times New Roman"/>
                <w:iCs/>
                <w:color w:val="000000"/>
                <w:sz w:val="18"/>
                <w:szCs w:val="18"/>
                <w:shd w:fill="auto" w:val="clear"/>
                <w:lang w:val="kk-KZ"/>
              </w:rPr>
              <w:t xml:space="preserve">Ветеринария басқармасы, «ПромКирпичKZ» ЖШС келіп түскен өтінішіндегі көрсетілген координаттарды өз құзыреті шегінде қарап, 1000 метр қашықтықта мал қорымдары </w:t>
            </w:r>
            <w:r>
              <w:rPr>
                <w:rStyle w:val="Fontstyle01"/>
                <w:rFonts w:ascii="Times New Roman" w:hAnsi="Times New Roman"/>
                <w:i/>
                <w:iCs/>
                <w:color w:val="000000"/>
                <w:sz w:val="18"/>
                <w:szCs w:val="18"/>
                <w:shd w:fill="auto" w:val="clear"/>
                <w:lang w:val="kk-KZ"/>
              </w:rPr>
              <w:t>(биотермиялық шұңқырлар)</w:t>
            </w:r>
            <w:r>
              <w:rPr>
                <w:rStyle w:val="Fontstyle01"/>
                <w:rFonts w:ascii="Times New Roman" w:hAnsi="Times New Roman"/>
                <w:iCs/>
                <w:color w:val="000000"/>
                <w:sz w:val="18"/>
                <w:szCs w:val="18"/>
                <w:shd w:fill="auto" w:val="clear"/>
                <w:lang w:val="kk-KZ"/>
              </w:rPr>
              <w:t xml:space="preserve"> жоқ екендігін жеткізеді.</w:t>
            </w:r>
          </w:p>
        </w:tc>
        <w:tc>
          <w:tcPr>
            <w:tcW w:w="1700" w:type="dxa"/>
            <w:tcBorders>
              <w:top w:val="single" w:sz="4" w:space="0" w:color="000000"/>
              <w:left w:val="single" w:sz="4" w:space="0" w:color="000000"/>
              <w:bottom w:val="single" w:sz="4" w:space="0" w:color="000000"/>
              <w:right w:val="single" w:sz="4" w:space="0" w:color="000000"/>
            </w:tcBorders>
          </w:tcPr>
          <w:p>
            <w:pPr>
              <w:pStyle w:val="ListParagraph"/>
              <w:widowControl w:val="false"/>
              <w:tabs>
                <w:tab w:val="clear" w:pos="708"/>
                <w:tab w:val="left" w:pos="1134" w:leader="none"/>
              </w:tabs>
              <w:ind w:left="0" w:hanging="0"/>
              <w:jc w:val="center"/>
              <w:rPr>
                <w:rFonts w:ascii="Times New Roman" w:hAnsi="Times New Roman"/>
                <w:sz w:val="18"/>
                <w:szCs w:val="18"/>
                <w:highlight w:val="none"/>
                <w:shd w:fill="auto" w:val="clear"/>
                <w:lang w:val="kk-KZ"/>
              </w:rPr>
            </w:pPr>
            <w:r>
              <w:rPr>
                <w:rFonts w:ascii="Times New Roman" w:hAnsi="Times New Roman"/>
                <w:sz w:val="18"/>
                <w:szCs w:val="18"/>
                <w:shd w:fill="auto" w:val="clear"/>
                <w:lang w:val="kk-KZ"/>
              </w:rPr>
            </w:r>
          </w:p>
        </w:tc>
      </w:tr>
      <w:tr>
        <w:trPr>
          <w:trHeight w:val="441" w:hRule="atLeast"/>
        </w:trPr>
        <w:tc>
          <w:tcPr>
            <w:tcW w:w="421" w:type="dxa"/>
            <w:vMerge w:val="continue"/>
            <w:tcBorders>
              <w:left w:val="single" w:sz="4" w:space="0" w:color="000000"/>
              <w:bottom w:val="single" w:sz="4" w:space="0" w:color="000000"/>
              <w:right w:val="single" w:sz="4" w:space="0" w:color="000000"/>
            </w:tcBorders>
          </w:tcPr>
          <w:p>
            <w:pPr>
              <w:pStyle w:val="ListParagraph"/>
              <w:widowControl w:val="false"/>
              <w:numPr>
                <w:ilvl w:val="0"/>
                <w:numId w:val="1"/>
              </w:numPr>
              <w:tabs>
                <w:tab w:val="clear" w:pos="708"/>
                <w:tab w:val="left" w:pos="1134" w:leader="none"/>
              </w:tabs>
              <w:ind w:left="0" w:hanging="0"/>
              <w:jc w:val="center"/>
              <w:rPr>
                <w:rFonts w:ascii="Times New Roman" w:hAnsi="Times New Roman"/>
                <w:b/>
                <w:b/>
                <w:sz w:val="18"/>
                <w:szCs w:val="18"/>
                <w:highlight w:val="none"/>
                <w:shd w:fill="FFFF00" w:val="clear"/>
                <w:lang w:val="kk-KZ"/>
              </w:rPr>
            </w:pPr>
            <w:r>
              <w:rPr>
                <w:b/>
                <w:sz w:val="18"/>
                <w:szCs w:val="18"/>
                <w:shd w:fill="FFFF00" w:val="clear"/>
                <w:lang w:val="kk-KZ"/>
              </w:rPr>
            </w:r>
          </w:p>
        </w:tc>
        <w:tc>
          <w:tcPr>
            <w:tcW w:w="224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1134" w:leader="none"/>
              </w:tabs>
              <w:jc w:val="center"/>
              <w:rPr>
                <w:rFonts w:ascii="Times New Roman" w:hAnsi="Times New Roman"/>
                <w:sz w:val="18"/>
                <w:szCs w:val="18"/>
                <w:highlight w:val="none"/>
                <w:shd w:fill="auto" w:val="clear"/>
              </w:rPr>
            </w:pPr>
            <w:r>
              <w:rPr>
                <w:rFonts w:ascii="Times New Roman" w:hAnsi="Times New Roman"/>
                <w:b/>
                <w:color w:val="000000"/>
                <w:sz w:val="18"/>
                <w:szCs w:val="18"/>
                <w:shd w:fill="auto" w:val="clear"/>
              </w:rPr>
              <w:t>ГУ</w:t>
            </w:r>
            <w:r>
              <w:rPr>
                <w:rFonts w:ascii="Times New Roman" w:hAnsi="Times New Roman"/>
                <w:b/>
                <w:sz w:val="18"/>
                <w:szCs w:val="18"/>
                <w:shd w:fill="auto" w:val="clear"/>
              </w:rPr>
              <w:t xml:space="preserve"> «Управление </w:t>
            </w:r>
            <w:r>
              <w:rPr>
                <w:rFonts w:ascii="Times New Roman" w:hAnsi="Times New Roman"/>
                <w:b/>
                <w:color w:val="000000"/>
                <w:sz w:val="18"/>
                <w:szCs w:val="18"/>
                <w:shd w:fill="auto" w:val="clear"/>
              </w:rPr>
              <w:t>ветеринарии</w:t>
            </w:r>
            <w:r>
              <w:rPr>
                <w:rFonts w:ascii="Times New Roman" w:hAnsi="Times New Roman"/>
                <w:b/>
                <w:sz w:val="18"/>
                <w:szCs w:val="18"/>
                <w:shd w:fill="auto" w:val="clear"/>
              </w:rPr>
              <w:t xml:space="preserve"> Карагандинской области»</w:t>
            </w:r>
          </w:p>
        </w:tc>
        <w:tc>
          <w:tcPr>
            <w:tcW w:w="5832" w:type="dxa"/>
            <w:tcBorders>
              <w:top w:val="single" w:sz="4" w:space="0" w:color="000000"/>
              <w:left w:val="single" w:sz="4" w:space="0" w:color="000000"/>
              <w:bottom w:val="single" w:sz="4" w:space="0" w:color="000000"/>
              <w:right w:val="single" w:sz="4" w:space="0" w:color="000000"/>
            </w:tcBorders>
          </w:tcPr>
          <w:p>
            <w:pPr>
              <w:pStyle w:val="Normal"/>
              <w:widowControl w:val="false"/>
              <w:ind w:firstLine="170"/>
              <w:jc w:val="both"/>
              <w:rPr/>
            </w:pPr>
            <w:r>
              <w:rPr>
                <w:rFonts w:ascii="Times New Roman" w:hAnsi="Times New Roman"/>
                <w:iCs/>
                <w:sz w:val="18"/>
                <w:szCs w:val="18"/>
                <w:shd w:fill="auto" w:val="clear"/>
              </w:rPr>
              <w:t>Управление ветеринарии, рассмотрев запрос ТОО «</w:t>
            </w:r>
            <w:r>
              <w:rPr>
                <w:rStyle w:val="Fontstyle01"/>
                <w:rFonts w:ascii="Times New Roman" w:hAnsi="Times New Roman"/>
                <w:iCs/>
                <w:color w:val="000000"/>
                <w:sz w:val="18"/>
                <w:szCs w:val="18"/>
                <w:shd w:fill="auto" w:val="clear"/>
                <w:lang w:val="kk-KZ"/>
              </w:rPr>
              <w:t>ПромКирпичKZ</w:t>
            </w:r>
            <w:r>
              <w:rPr>
                <w:rFonts w:ascii="Times New Roman" w:hAnsi="Times New Roman"/>
                <w:iCs/>
                <w:sz w:val="18"/>
                <w:szCs w:val="18"/>
                <w:shd w:fill="auto" w:val="clear"/>
              </w:rPr>
              <w:t>» в пределах своей компетенции, сообщает, что в радиусе 1000 метров от указанных координат скотомогильники (биотермические ямы) отсутствуют.</w:t>
            </w:r>
          </w:p>
        </w:tc>
        <w:tc>
          <w:tcPr>
            <w:tcW w:w="1700" w:type="dxa"/>
            <w:tcBorders>
              <w:top w:val="single" w:sz="4" w:space="0" w:color="000000"/>
              <w:left w:val="single" w:sz="4" w:space="0" w:color="000000"/>
              <w:bottom w:val="single" w:sz="4" w:space="0" w:color="000000"/>
              <w:right w:val="single" w:sz="4" w:space="0" w:color="000000"/>
            </w:tcBorders>
          </w:tcPr>
          <w:p>
            <w:pPr>
              <w:pStyle w:val="ListParagraph"/>
              <w:widowControl w:val="false"/>
              <w:tabs>
                <w:tab w:val="clear" w:pos="708"/>
                <w:tab w:val="left" w:pos="1134" w:leader="none"/>
              </w:tabs>
              <w:ind w:left="0" w:hanging="0"/>
              <w:jc w:val="center"/>
              <w:rPr>
                <w:rFonts w:ascii="Times New Roman" w:hAnsi="Times New Roman"/>
                <w:sz w:val="18"/>
                <w:szCs w:val="18"/>
                <w:highlight w:val="none"/>
                <w:shd w:fill="auto" w:val="clear"/>
                <w:lang w:val="kk-KZ"/>
              </w:rPr>
            </w:pPr>
            <w:r>
              <w:rPr>
                <w:rFonts w:ascii="Times New Roman" w:hAnsi="Times New Roman"/>
                <w:sz w:val="18"/>
                <w:szCs w:val="18"/>
                <w:shd w:fill="auto" w:val="clear"/>
                <w:lang w:val="kk-KZ"/>
              </w:rPr>
            </w:r>
          </w:p>
        </w:tc>
      </w:tr>
      <w:tr>
        <w:trPr>
          <w:trHeight w:val="441" w:hRule="atLeast"/>
        </w:trPr>
        <w:tc>
          <w:tcPr>
            <w:tcW w:w="421" w:type="dxa"/>
            <w:vMerge w:val="restart"/>
            <w:tcBorders>
              <w:left w:val="single" w:sz="4" w:space="0" w:color="000000"/>
              <w:bottom w:val="single" w:sz="4" w:space="0" w:color="000000"/>
              <w:right w:val="single" w:sz="4" w:space="0" w:color="000000"/>
            </w:tcBorders>
          </w:tcPr>
          <w:p>
            <w:pPr>
              <w:pStyle w:val="ListParagraph"/>
              <w:widowControl w:val="false"/>
              <w:numPr>
                <w:ilvl w:val="0"/>
                <w:numId w:val="1"/>
              </w:numPr>
              <w:tabs>
                <w:tab w:val="clear" w:pos="708"/>
                <w:tab w:val="left" w:pos="1134" w:leader="none"/>
              </w:tabs>
              <w:ind w:left="0" w:hanging="0"/>
              <w:jc w:val="center"/>
              <w:rPr>
                <w:rFonts w:ascii="Times New Roman" w:hAnsi="Times New Roman"/>
                <w:b/>
                <w:b/>
                <w:sz w:val="18"/>
                <w:szCs w:val="18"/>
                <w:lang w:val="kk-KZ"/>
              </w:rPr>
            </w:pPr>
            <w:r>
              <w:rPr>
                <w:b/>
                <w:sz w:val="18"/>
                <w:szCs w:val="18"/>
                <w:lang w:val="kk-KZ"/>
              </w:rPr>
            </w:r>
          </w:p>
        </w:tc>
        <w:tc>
          <w:tcPr>
            <w:tcW w:w="224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1134" w:leader="none"/>
              </w:tabs>
              <w:jc w:val="center"/>
              <w:rPr>
                <w:rFonts w:ascii="Times New Roman" w:hAnsi="Times New Roman"/>
                <w:sz w:val="18"/>
                <w:szCs w:val="18"/>
                <w:highlight w:val="none"/>
                <w:shd w:fill="auto" w:val="clear"/>
              </w:rPr>
            </w:pPr>
            <w:r>
              <w:rPr>
                <w:rFonts w:ascii="Times New Roman" w:hAnsi="Times New Roman"/>
                <w:b/>
                <w:color w:val="000000"/>
                <w:sz w:val="18"/>
                <w:szCs w:val="18"/>
                <w:shd w:fill="auto" w:val="clear"/>
                <w:lang w:val="kk-KZ"/>
              </w:rPr>
              <w:t>«Қарағанды облысы табиғи ресурстар және табиғат пайдалануды реттеу басқармасы» ММ</w:t>
            </w:r>
          </w:p>
        </w:tc>
        <w:tc>
          <w:tcPr>
            <w:tcW w:w="5832" w:type="dxa"/>
            <w:tcBorders>
              <w:top w:val="single" w:sz="4" w:space="0" w:color="000000"/>
              <w:left w:val="single" w:sz="4" w:space="0" w:color="000000"/>
              <w:bottom w:val="single" w:sz="4" w:space="0" w:color="000000"/>
              <w:right w:val="single" w:sz="4" w:space="0" w:color="000000"/>
            </w:tcBorders>
          </w:tcPr>
          <w:p>
            <w:pPr>
              <w:pStyle w:val="Normal"/>
              <w:widowControl w:val="false"/>
              <w:ind w:firstLine="170"/>
              <w:jc w:val="both"/>
              <w:rPr>
                <w:rFonts w:ascii="Times New Roman" w:hAnsi="Times New Roman"/>
                <w:sz w:val="18"/>
                <w:szCs w:val="18"/>
                <w:highlight w:val="none"/>
                <w:shd w:fill="auto" w:val="clear"/>
              </w:rPr>
            </w:pPr>
            <w:r>
              <w:rPr>
                <w:rFonts w:ascii="Times New Roman" w:hAnsi="Times New Roman"/>
                <w:sz w:val="18"/>
                <w:szCs w:val="18"/>
                <w:shd w:fill="auto" w:val="clear"/>
                <w:lang w:val="kk-KZ"/>
              </w:rPr>
              <w:t>Ұ</w:t>
            </w:r>
            <w:r>
              <w:rPr>
                <w:rFonts w:ascii="Times New Roman" w:hAnsi="Times New Roman"/>
                <w:sz w:val="18"/>
                <w:szCs w:val="18"/>
                <w:shd w:fill="auto" w:val="clear"/>
              </w:rPr>
              <w:t>сынылмаған.</w:t>
            </w:r>
          </w:p>
        </w:tc>
        <w:tc>
          <w:tcPr>
            <w:tcW w:w="1700" w:type="dxa"/>
            <w:tcBorders>
              <w:top w:val="single" w:sz="4" w:space="0" w:color="000000"/>
              <w:left w:val="single" w:sz="4" w:space="0" w:color="000000"/>
              <w:bottom w:val="single" w:sz="4" w:space="0" w:color="000000"/>
              <w:right w:val="single" w:sz="4" w:space="0" w:color="000000"/>
            </w:tcBorders>
          </w:tcPr>
          <w:p>
            <w:pPr>
              <w:pStyle w:val="ListParagraph"/>
              <w:widowControl w:val="false"/>
              <w:tabs>
                <w:tab w:val="clear" w:pos="708"/>
                <w:tab w:val="left" w:pos="1134" w:leader="none"/>
              </w:tabs>
              <w:ind w:left="0" w:hanging="0"/>
              <w:jc w:val="center"/>
              <w:rPr>
                <w:rFonts w:ascii="Times New Roman" w:hAnsi="Times New Roman"/>
                <w:sz w:val="18"/>
                <w:szCs w:val="18"/>
                <w:highlight w:val="none"/>
                <w:shd w:fill="auto" w:val="clear"/>
              </w:rPr>
            </w:pPr>
            <w:r>
              <w:rPr>
                <w:rFonts w:ascii="Times New Roman" w:hAnsi="Times New Roman"/>
                <w:sz w:val="18"/>
                <w:szCs w:val="18"/>
                <w:shd w:fill="auto" w:val="clear"/>
              </w:rPr>
            </w:r>
          </w:p>
        </w:tc>
      </w:tr>
      <w:tr>
        <w:trPr>
          <w:trHeight w:val="441" w:hRule="atLeast"/>
        </w:trPr>
        <w:tc>
          <w:tcPr>
            <w:tcW w:w="421" w:type="dxa"/>
            <w:vMerge w:val="continue"/>
            <w:tcBorders>
              <w:left w:val="single" w:sz="4" w:space="0" w:color="000000"/>
              <w:bottom w:val="single" w:sz="4" w:space="0" w:color="000000"/>
              <w:right w:val="single" w:sz="4" w:space="0" w:color="000000"/>
            </w:tcBorders>
          </w:tcPr>
          <w:p>
            <w:pPr>
              <w:pStyle w:val="ListParagraph"/>
              <w:widowControl w:val="false"/>
              <w:numPr>
                <w:ilvl w:val="0"/>
                <w:numId w:val="1"/>
              </w:numPr>
              <w:tabs>
                <w:tab w:val="clear" w:pos="708"/>
                <w:tab w:val="left" w:pos="1134" w:leader="none"/>
              </w:tabs>
              <w:ind w:left="0" w:hanging="0"/>
              <w:jc w:val="center"/>
              <w:rPr>
                <w:rFonts w:ascii="Times New Roman" w:hAnsi="Times New Roman"/>
                <w:b/>
                <w:b/>
                <w:sz w:val="18"/>
                <w:szCs w:val="18"/>
              </w:rPr>
            </w:pPr>
            <w:r>
              <w:rPr>
                <w:b/>
                <w:sz w:val="18"/>
                <w:szCs w:val="18"/>
              </w:rPr>
            </w:r>
          </w:p>
        </w:tc>
        <w:tc>
          <w:tcPr>
            <w:tcW w:w="224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1134" w:leader="none"/>
              </w:tabs>
              <w:jc w:val="center"/>
              <w:rPr>
                <w:sz w:val="18"/>
                <w:szCs w:val="18"/>
                <w:highlight w:val="none"/>
                <w:shd w:fill="auto" w:val="clear"/>
              </w:rPr>
            </w:pPr>
            <w:r>
              <w:rPr>
                <w:b/>
                <w:color w:val="000000"/>
                <w:sz w:val="18"/>
                <w:szCs w:val="18"/>
                <w:shd w:fill="auto" w:val="clear"/>
              </w:rPr>
              <w:t>ГУ «Управление природных ресурсов и регулирования природопользования Карагандинской области»</w:t>
            </w:r>
          </w:p>
        </w:tc>
        <w:tc>
          <w:tcPr>
            <w:tcW w:w="5832" w:type="dxa"/>
            <w:tcBorders>
              <w:top w:val="single" w:sz="4" w:space="0" w:color="000000"/>
              <w:left w:val="single" w:sz="4" w:space="0" w:color="000000"/>
              <w:bottom w:val="single" w:sz="4" w:space="0" w:color="000000"/>
              <w:right w:val="single" w:sz="4" w:space="0" w:color="000000"/>
            </w:tcBorders>
          </w:tcPr>
          <w:p>
            <w:pPr>
              <w:pStyle w:val="Normal"/>
              <w:widowControl w:val="false"/>
              <w:ind w:firstLine="170"/>
              <w:jc w:val="both"/>
              <w:rPr>
                <w:sz w:val="18"/>
                <w:szCs w:val="18"/>
                <w:highlight w:val="none"/>
                <w:shd w:fill="auto" w:val="clear"/>
              </w:rPr>
            </w:pPr>
            <w:r>
              <w:rPr>
                <w:rFonts w:eastAsia="Calibri"/>
                <w:color w:val="000000"/>
                <w:sz w:val="18"/>
                <w:szCs w:val="18"/>
                <w:shd w:fill="auto" w:val="clear"/>
                <w:lang w:val="kk-KZ" w:eastAsia="en-US"/>
              </w:rPr>
              <w:t>Не представлено.</w:t>
            </w:r>
          </w:p>
        </w:tc>
        <w:tc>
          <w:tcPr>
            <w:tcW w:w="1700" w:type="dxa"/>
            <w:tcBorders>
              <w:top w:val="single" w:sz="4" w:space="0" w:color="000000"/>
              <w:left w:val="single" w:sz="4" w:space="0" w:color="000000"/>
              <w:bottom w:val="single" w:sz="4" w:space="0" w:color="000000"/>
              <w:right w:val="single" w:sz="4" w:space="0" w:color="000000"/>
            </w:tcBorders>
          </w:tcPr>
          <w:p>
            <w:pPr>
              <w:pStyle w:val="ListParagraph"/>
              <w:widowControl w:val="false"/>
              <w:tabs>
                <w:tab w:val="clear" w:pos="708"/>
                <w:tab w:val="left" w:pos="1134" w:leader="none"/>
              </w:tabs>
              <w:ind w:left="0" w:hanging="0"/>
              <w:jc w:val="center"/>
              <w:rPr>
                <w:rFonts w:ascii="Times New Roman" w:hAnsi="Times New Roman"/>
                <w:sz w:val="18"/>
                <w:szCs w:val="18"/>
                <w:highlight w:val="none"/>
                <w:shd w:fill="auto" w:val="clear"/>
              </w:rPr>
            </w:pPr>
            <w:r>
              <w:rPr>
                <w:sz w:val="18"/>
                <w:szCs w:val="18"/>
                <w:shd w:fill="auto" w:val="clear"/>
              </w:rPr>
            </w:r>
          </w:p>
        </w:tc>
      </w:tr>
      <w:tr>
        <w:trPr>
          <w:trHeight w:val="163" w:hRule="atLeast"/>
        </w:trPr>
        <w:tc>
          <w:tcPr>
            <w:tcW w:w="421" w:type="dxa"/>
            <w:vMerge w:val="restart"/>
            <w:tcBorders>
              <w:left w:val="single" w:sz="4" w:space="0" w:color="000000"/>
              <w:bottom w:val="single" w:sz="4" w:space="0" w:color="000000"/>
              <w:right w:val="single" w:sz="4" w:space="0" w:color="000000"/>
            </w:tcBorders>
          </w:tcPr>
          <w:p>
            <w:pPr>
              <w:pStyle w:val="ListParagraph"/>
              <w:widowControl w:val="false"/>
              <w:numPr>
                <w:ilvl w:val="0"/>
                <w:numId w:val="1"/>
              </w:numPr>
              <w:tabs>
                <w:tab w:val="clear" w:pos="708"/>
                <w:tab w:val="left" w:pos="1134" w:leader="none"/>
              </w:tabs>
              <w:ind w:left="0" w:hanging="0"/>
              <w:jc w:val="center"/>
              <w:rPr>
                <w:rFonts w:ascii="Times New Roman" w:hAnsi="Times New Roman"/>
                <w:b/>
                <w:b/>
                <w:sz w:val="18"/>
                <w:szCs w:val="18"/>
                <w:lang w:val="kk-KZ"/>
              </w:rPr>
            </w:pPr>
            <w:r>
              <w:rPr>
                <w:b/>
                <w:sz w:val="18"/>
                <w:szCs w:val="18"/>
                <w:lang w:val="kk-KZ"/>
              </w:rPr>
            </w:r>
          </w:p>
        </w:tc>
        <w:tc>
          <w:tcPr>
            <w:tcW w:w="224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8"/>
                <w:szCs w:val="18"/>
                <w:highlight w:val="none"/>
                <w:shd w:fill="auto" w:val="clear"/>
              </w:rPr>
            </w:pPr>
            <w:r>
              <w:rPr>
                <w:b/>
                <w:bCs/>
                <w:sz w:val="18"/>
                <w:szCs w:val="18"/>
                <w:shd w:fill="auto" w:val="clear"/>
                <w:lang w:val="kk-KZ"/>
              </w:rPr>
              <w:t>«</w:t>
            </w:r>
            <w:r>
              <w:rPr>
                <w:b/>
                <w:bCs/>
                <w:sz w:val="18"/>
                <w:szCs w:val="18"/>
                <w:shd w:fill="auto" w:val="clear"/>
              </w:rPr>
              <w:t>Қарағанды облысы бойынша Экология департаменті» РММ</w:t>
            </w:r>
          </w:p>
        </w:tc>
        <w:tc>
          <w:tcPr>
            <w:tcW w:w="5832" w:type="dxa"/>
            <w:tcBorders>
              <w:top w:val="single" w:sz="4" w:space="0" w:color="000000"/>
              <w:left w:val="single" w:sz="4" w:space="0" w:color="000000"/>
              <w:bottom w:val="single" w:sz="4" w:space="0" w:color="000000"/>
              <w:right w:val="single" w:sz="4" w:space="0" w:color="000000"/>
            </w:tcBorders>
          </w:tcPr>
          <w:p>
            <w:pPr>
              <w:pStyle w:val="Style12"/>
              <w:widowControl w:val="false"/>
              <w:suppressAutoHyphens w:val="false"/>
              <w:spacing w:before="0" w:after="0"/>
              <w:ind w:firstLine="170"/>
              <w:jc w:val="both"/>
              <w:rPr>
                <w:sz w:val="18"/>
                <w:szCs w:val="18"/>
                <w:highlight w:val="none"/>
                <w:shd w:fill="auto" w:val="clear"/>
              </w:rPr>
            </w:pPr>
            <w:r>
              <w:rPr>
                <w:sz w:val="18"/>
                <w:szCs w:val="18"/>
                <w:shd w:fill="auto" w:val="clear"/>
              </w:rPr>
              <w:t>1. Жұмыстарды жүргізу кезінде Қазақстан Республикасының Экологиялық кодексінің 238-бабының талаптарын сақтау: жердің ластануына, жер бетінің қоқыстануына, топырақтың тозуы мен сарқылуына жол бермеу, сондай-ақ қажет болған жағдайда топырақтың құнарлы қабатын алу және сақтауды қамтамасыз ету.</w:t>
            </w:r>
          </w:p>
          <w:p>
            <w:pPr>
              <w:pStyle w:val="Style12"/>
              <w:widowControl w:val="false"/>
              <w:suppressAutoHyphens w:val="false"/>
              <w:spacing w:before="0" w:after="0"/>
              <w:ind w:firstLine="170"/>
              <w:jc w:val="both"/>
              <w:rPr>
                <w:sz w:val="18"/>
                <w:szCs w:val="18"/>
                <w:highlight w:val="none"/>
                <w:shd w:fill="auto" w:val="clear"/>
              </w:rPr>
            </w:pPr>
            <w:r>
              <w:rPr>
                <w:sz w:val="18"/>
                <w:szCs w:val="18"/>
                <w:shd w:fill="auto" w:val="clear"/>
              </w:rPr>
              <w:t xml:space="preserve">2. Қазақстан Республикасының Экологиялық кодексіне 4-қосымшаның 2-тармағына сәйкес су ресурстарының қоқыстануын, ластануын және сарқылуын болдырмауға бағытталған технологиялық, гидротехникалық, санитарлық және өзге де іс-шаралар кешенін іске асыруды көздеу. </w:t>
            </w:r>
          </w:p>
          <w:p>
            <w:pPr>
              <w:pStyle w:val="Style12"/>
              <w:widowControl w:val="false"/>
              <w:suppressAutoHyphens w:val="false"/>
              <w:spacing w:before="0" w:after="0"/>
              <w:ind w:firstLine="170"/>
              <w:jc w:val="both"/>
              <w:rPr>
                <w:sz w:val="18"/>
                <w:szCs w:val="18"/>
                <w:highlight w:val="none"/>
                <w:shd w:fill="auto" w:val="clear"/>
              </w:rPr>
            </w:pPr>
            <w:r>
              <w:rPr>
                <w:sz w:val="18"/>
                <w:szCs w:val="18"/>
                <w:shd w:fill="auto" w:val="clear"/>
              </w:rPr>
              <w:t xml:space="preserve">3. Қауіпті қалдықтарды беру кезінде Қазақстан Республикасының Экологиялық кодексінің 336-бабының талаптарын сақтау: кәсіпкерлік субъектілері қауіпті қалдықтарды қайта өңдеуге, залалсыздандыруға, кәдеге жаратуға және (немесе) жоюға тиісті лицензиясы бар ұйымдарды тартуға міндетті. </w:t>
            </w:r>
          </w:p>
          <w:p>
            <w:pPr>
              <w:pStyle w:val="Style12"/>
              <w:widowControl w:val="false"/>
              <w:suppressAutoHyphens w:val="false"/>
              <w:spacing w:before="0" w:after="0"/>
              <w:ind w:firstLine="170"/>
              <w:jc w:val="both"/>
              <w:rPr>
                <w:sz w:val="18"/>
                <w:szCs w:val="18"/>
                <w:highlight w:val="none"/>
                <w:shd w:fill="auto" w:val="clear"/>
              </w:rPr>
            </w:pPr>
            <w:r>
              <w:rPr>
                <w:sz w:val="18"/>
                <w:szCs w:val="18"/>
                <w:shd w:fill="auto" w:val="clear"/>
              </w:rPr>
              <w:t>4. Қазақстан Республикасының Экологиялық кодексінің 320-бабының талаптарын сақтау: қалдықтарды жинақтауға тек арнайы жабдықталған орындарда және белгіленген мерзімдерде ғана жол беріледі.</w:t>
            </w:r>
          </w:p>
          <w:p>
            <w:pPr>
              <w:pStyle w:val="Style12"/>
              <w:widowControl w:val="false"/>
              <w:suppressAutoHyphens w:val="false"/>
              <w:spacing w:before="0" w:after="0"/>
              <w:ind w:firstLine="170"/>
              <w:jc w:val="both"/>
              <w:rPr>
                <w:sz w:val="18"/>
                <w:szCs w:val="18"/>
                <w:highlight w:val="none"/>
                <w:shd w:fill="auto" w:val="clear"/>
              </w:rPr>
            </w:pPr>
            <w:r>
              <w:rPr>
                <w:sz w:val="18"/>
                <w:szCs w:val="18"/>
                <w:shd w:fill="auto" w:val="clear"/>
              </w:rPr>
              <w:t xml:space="preserve">5. Қазақстан Республикасының Экологиялық кодексіне 4-қосымшаға сәйкес шаң басу іс-шараларын жүргізуді көздеу. </w:t>
            </w:r>
          </w:p>
          <w:p>
            <w:pPr>
              <w:pStyle w:val="Style12"/>
              <w:widowControl w:val="false"/>
              <w:suppressAutoHyphens w:val="false"/>
              <w:spacing w:before="0" w:after="0"/>
              <w:ind w:firstLine="170"/>
              <w:jc w:val="both"/>
              <w:rPr>
                <w:sz w:val="18"/>
                <w:szCs w:val="18"/>
                <w:highlight w:val="none"/>
                <w:shd w:fill="auto" w:val="clear"/>
              </w:rPr>
            </w:pPr>
            <w:r>
              <w:rPr>
                <w:sz w:val="18"/>
                <w:szCs w:val="18"/>
                <w:shd w:fill="auto" w:val="clear"/>
              </w:rPr>
              <w:t xml:space="preserve">6. Қазақстан Республикасының Экологиялық кодексіне 4-қосымшаға сәйкес көгалдандыру (жасыл желектер отырғызу) іс-шараларын көздеу. </w:t>
            </w:r>
          </w:p>
          <w:p>
            <w:pPr>
              <w:pStyle w:val="Style12"/>
              <w:widowControl w:val="false"/>
              <w:suppressAutoHyphens w:val="false"/>
              <w:spacing w:before="0" w:after="0"/>
              <w:ind w:firstLine="170"/>
              <w:jc w:val="both"/>
              <w:rPr>
                <w:sz w:val="18"/>
                <w:szCs w:val="18"/>
                <w:highlight w:val="none"/>
                <w:shd w:fill="auto" w:val="clear"/>
              </w:rPr>
            </w:pPr>
            <w:r>
              <w:rPr>
                <w:sz w:val="18"/>
                <w:szCs w:val="18"/>
                <w:shd w:fill="auto" w:val="clear"/>
              </w:rPr>
              <w:t xml:space="preserve">7. Жер қойнауын пайдалану операцияларын жүргізу кезінде Қазақстан Республикасының Экологиялық кодексінің 397-бабының талаптарын сақтау. </w:t>
            </w:r>
          </w:p>
          <w:p>
            <w:pPr>
              <w:pStyle w:val="Style12"/>
              <w:widowControl w:val="false"/>
              <w:suppressAutoHyphens w:val="false"/>
              <w:spacing w:before="0" w:after="0"/>
              <w:ind w:firstLine="170"/>
              <w:jc w:val="both"/>
              <w:rPr>
                <w:sz w:val="18"/>
                <w:szCs w:val="18"/>
                <w:highlight w:val="none"/>
                <w:shd w:fill="auto" w:val="clear"/>
              </w:rPr>
            </w:pPr>
            <w:r>
              <w:rPr>
                <w:sz w:val="18"/>
                <w:szCs w:val="18"/>
                <w:shd w:fill="auto" w:val="clear"/>
              </w:rPr>
              <w:t>8. Жер қойнауын пайдалану операцияларын жүргізуге қойылатын шектеулер бөлігінде Қазақстан Республикасы «Жер қойнауы және жер қойнауын пайдалану туралы» кодексінің 25-бабының талаптарын сақтау.</w:t>
            </w:r>
          </w:p>
          <w:p>
            <w:pPr>
              <w:pStyle w:val="Style12"/>
              <w:widowControl w:val="false"/>
              <w:suppressAutoHyphens w:val="false"/>
              <w:spacing w:before="0" w:after="0"/>
              <w:ind w:firstLine="170"/>
              <w:jc w:val="both"/>
              <w:rPr>
                <w:sz w:val="18"/>
                <w:szCs w:val="18"/>
                <w:highlight w:val="none"/>
                <w:shd w:fill="auto" w:val="clear"/>
              </w:rPr>
            </w:pPr>
            <w:r>
              <w:rPr>
                <w:sz w:val="18"/>
                <w:szCs w:val="18"/>
                <w:shd w:fill="auto" w:val="clear"/>
              </w:rPr>
              <w:t>9. Қазақстан Республикасы Экологиялық кодексінің 331-бабының талаптарын сақтау: қалдықтар пайда болған сәттен бастап лицензияланған ұйымдарға берілгенге дейін оларды тиісті басқаруды қамтамасыз ету.</w:t>
            </w:r>
          </w:p>
          <w:p>
            <w:pPr>
              <w:pStyle w:val="Style12"/>
              <w:widowControl w:val="false"/>
              <w:suppressAutoHyphens w:val="false"/>
              <w:spacing w:before="0" w:after="0"/>
              <w:ind w:firstLine="170"/>
              <w:jc w:val="both"/>
              <w:rPr>
                <w:sz w:val="18"/>
                <w:szCs w:val="18"/>
                <w:highlight w:val="none"/>
                <w:shd w:fill="auto" w:val="clear"/>
              </w:rPr>
            </w:pPr>
            <w:r>
              <w:rPr>
                <w:sz w:val="18"/>
                <w:szCs w:val="18"/>
                <w:shd w:fill="auto" w:val="clear"/>
              </w:rPr>
              <w:t>10. Су объектілеріне қатысты жер учаскесінің орналасуын көрсете отырып, масштабтағы ахуалдық сызбаны ұсыну.</w:t>
            </w:r>
          </w:p>
          <w:p>
            <w:pPr>
              <w:pStyle w:val="Style12"/>
              <w:widowControl w:val="false"/>
              <w:suppressAutoHyphens w:val="false"/>
              <w:spacing w:before="0" w:after="0"/>
              <w:ind w:firstLine="170"/>
              <w:jc w:val="both"/>
              <w:rPr>
                <w:sz w:val="18"/>
                <w:szCs w:val="18"/>
                <w:highlight w:val="none"/>
                <w:shd w:fill="auto" w:val="clear"/>
              </w:rPr>
            </w:pPr>
            <w:r>
              <w:rPr>
                <w:sz w:val="18"/>
                <w:szCs w:val="18"/>
                <w:shd w:fill="auto" w:val="clear"/>
              </w:rPr>
              <w:t>11. Уәкілетті органнан осы объектінің су қорғау аймақтары мен белдеулерінің шегінен тыс орналасуы туралы растайтын құжаттарды алу қажет. Белгіленген қызмет су қорғау аймақтары мен белдеулеріне түскен жағдайда уәкілетті органнан келісім алу қажет. Қазақстан Республикасы Су кодексінің 7, 8-бабына сәйкес су қорының жерлері мен су қоры айрықша мемлекеттік меншікте болады, су қорын иелену, пайдалану және оған билік ету құқығын Қазақстан Республикасының Үкіметі жүзеге асырады.</w:t>
            </w:r>
          </w:p>
          <w:p>
            <w:pPr>
              <w:pStyle w:val="Style12"/>
              <w:widowControl w:val="false"/>
              <w:suppressAutoHyphens w:val="false"/>
              <w:spacing w:before="0" w:after="0"/>
              <w:ind w:firstLine="170"/>
              <w:jc w:val="both"/>
              <w:rPr>
                <w:sz w:val="18"/>
                <w:szCs w:val="18"/>
                <w:highlight w:val="none"/>
                <w:shd w:fill="auto" w:val="clear"/>
              </w:rPr>
            </w:pPr>
            <w:r>
              <w:rPr>
                <w:sz w:val="18"/>
                <w:szCs w:val="18"/>
                <w:shd w:fill="auto" w:val="clear"/>
              </w:rPr>
              <w:t>12. ҚР Су кодексінің 120-бабының талаптарына сәйкес жер асты суларының жоқтығы туралы растайтын құжаттарды ұсыну қажет.</w:t>
            </w:r>
          </w:p>
          <w:p>
            <w:pPr>
              <w:pStyle w:val="Style12"/>
              <w:widowControl w:val="false"/>
              <w:suppressAutoHyphens w:val="false"/>
              <w:spacing w:before="0" w:after="0"/>
              <w:ind w:firstLine="170"/>
              <w:jc w:val="both"/>
              <w:rPr>
                <w:sz w:val="18"/>
                <w:szCs w:val="18"/>
                <w:highlight w:val="none"/>
                <w:shd w:fill="auto" w:val="clear"/>
              </w:rPr>
            </w:pPr>
            <w:r>
              <w:rPr>
                <w:sz w:val="18"/>
                <w:szCs w:val="18"/>
                <w:shd w:fill="auto" w:val="clear"/>
              </w:rPr>
              <w:t>13. Қазақстан Республикасының Экологиялық кодексіне 4-қосымшаға сәйкес жануарлар мен өсімдіктер дүниесін сақтау жөніндегі іс-шаралар көзделсін.</w:t>
            </w:r>
          </w:p>
          <w:p>
            <w:pPr>
              <w:pStyle w:val="Style12"/>
              <w:widowControl w:val="false"/>
              <w:suppressAutoHyphens w:val="false"/>
              <w:spacing w:before="0" w:after="0"/>
              <w:ind w:firstLine="170"/>
              <w:jc w:val="both"/>
              <w:rPr>
                <w:sz w:val="18"/>
                <w:szCs w:val="18"/>
                <w:highlight w:val="none"/>
                <w:shd w:fill="auto" w:val="clear"/>
              </w:rPr>
            </w:pPr>
            <w:r>
              <w:rPr>
                <w:sz w:val="18"/>
                <w:szCs w:val="18"/>
                <w:shd w:fill="auto" w:val="clear"/>
              </w:rPr>
              <w:t>14. Санитариялық-эпидемиологиялық талаптарға сәйкес жақын маңдағы қоныстану аймақтарына теріс әсерді барынша азайтуды қамтамасыз ету. Санитарлық-қорғау аймағы мен жақын маңдағы тұрғын үй құрылысының шекаралары көрсетілген карта-схеманы ұсыну.</w:t>
            </w:r>
          </w:p>
          <w:p>
            <w:pPr>
              <w:pStyle w:val="Style12"/>
              <w:widowControl w:val="false"/>
              <w:suppressAutoHyphens w:val="false"/>
              <w:spacing w:before="0" w:after="0"/>
              <w:ind w:firstLine="170"/>
              <w:jc w:val="both"/>
              <w:rPr>
                <w:sz w:val="18"/>
                <w:szCs w:val="18"/>
                <w:highlight w:val="none"/>
                <w:shd w:fill="auto" w:val="clear"/>
              </w:rPr>
            </w:pPr>
            <w:r>
              <w:rPr>
                <w:sz w:val="18"/>
                <w:szCs w:val="18"/>
                <w:shd w:fill="auto" w:val="clear"/>
              </w:rPr>
              <w:t>15. Шудың әсер ету деңгейі бойынша белгіленген санитарлық нормалардың сақталуын қамтамасыз ету.</w:t>
            </w:r>
          </w:p>
          <w:p>
            <w:pPr>
              <w:pStyle w:val="Style12"/>
              <w:widowControl w:val="false"/>
              <w:suppressAutoHyphens w:val="false"/>
              <w:spacing w:before="0" w:after="0"/>
              <w:ind w:firstLine="170"/>
              <w:jc w:val="both"/>
              <w:rPr>
                <w:sz w:val="18"/>
                <w:szCs w:val="18"/>
                <w:highlight w:val="none"/>
                <w:shd w:fill="auto" w:val="clear"/>
              </w:rPr>
            </w:pPr>
            <w:r>
              <w:rPr>
                <w:sz w:val="18"/>
                <w:szCs w:val="18"/>
                <w:shd w:fill="auto" w:val="clear"/>
              </w:rPr>
              <w:t>16. "Тарихи-мәдени мұраны сақтау орталығы" КММ-мен жұмыстар жүргізу кезінде учаске келісілсін.</w:t>
            </w:r>
          </w:p>
          <w:p>
            <w:pPr>
              <w:pStyle w:val="Style12"/>
              <w:widowControl w:val="false"/>
              <w:suppressAutoHyphens w:val="false"/>
              <w:spacing w:before="0" w:after="0"/>
              <w:ind w:firstLine="170"/>
              <w:jc w:val="both"/>
              <w:rPr>
                <w:sz w:val="18"/>
                <w:szCs w:val="18"/>
                <w:highlight w:val="none"/>
                <w:shd w:fill="auto" w:val="clear"/>
              </w:rPr>
            </w:pPr>
            <w:r>
              <w:rPr>
                <w:sz w:val="18"/>
                <w:szCs w:val="18"/>
                <w:shd w:fill="auto" w:val="clear"/>
              </w:rPr>
              <w:t>17. Қазақстан Республикасы Экология, Геология және табиғи ресурстар министрінің 2021 жылғы 30 шілдедегі № 280 бұйрығына сәйкес, шегінде көзделіп отырған қызметті жүзеге асыру болжанатын ықтимал әсерлер туралы есепті әзірлеу сәтінде аумақтағы қоршаған орта компоненттерінің ағымдағы жай-күйі бойынша өзекті деректерді, сондай-ақ фондық зерттеулердің нәтижелерін ұсыну. Бағалау".</w:t>
            </w:r>
          </w:p>
          <w:p>
            <w:pPr>
              <w:pStyle w:val="Style12"/>
              <w:widowControl w:val="false"/>
              <w:suppressAutoHyphens w:val="false"/>
              <w:spacing w:before="0" w:after="0"/>
              <w:ind w:firstLine="170"/>
              <w:jc w:val="both"/>
              <w:rPr>
                <w:sz w:val="18"/>
                <w:szCs w:val="18"/>
                <w:highlight w:val="none"/>
                <w:shd w:fill="auto" w:val="clear"/>
              </w:rPr>
            </w:pPr>
            <w:r>
              <w:rPr>
                <w:sz w:val="18"/>
                <w:szCs w:val="18"/>
                <w:shd w:fill="auto" w:val="clear"/>
              </w:rPr>
              <w:t xml:space="preserve">18. Жобаны "экологиялық бағалауды ұйымдастыру және жүргізу жөніндегі Нұсқаулықты бекіту туралы"Қазақстан Республикасы Экология, Геология және табиғи ресурстар министрінің 2021 жылғы 30 шілдедегі №280 бұйрығына сәйкес әзірлеу қажет. </w:t>
            </w:r>
          </w:p>
        </w:tc>
        <w:tc>
          <w:tcPr>
            <w:tcW w:w="1700" w:type="dxa"/>
            <w:tcBorders>
              <w:top w:val="single" w:sz="4" w:space="0" w:color="000000"/>
              <w:left w:val="single" w:sz="4" w:space="0" w:color="000000"/>
              <w:bottom w:val="single" w:sz="4" w:space="0" w:color="000000"/>
              <w:right w:val="single" w:sz="4" w:space="0" w:color="000000"/>
            </w:tcBorders>
          </w:tcPr>
          <w:p>
            <w:pPr>
              <w:pStyle w:val="ListParagraph"/>
              <w:widowControl w:val="false"/>
              <w:tabs>
                <w:tab w:val="clear" w:pos="708"/>
                <w:tab w:val="left" w:pos="1134" w:leader="none"/>
              </w:tabs>
              <w:ind w:left="0" w:hanging="0"/>
              <w:jc w:val="center"/>
              <w:rPr>
                <w:rFonts w:ascii="Times New Roman" w:hAnsi="Times New Roman"/>
                <w:sz w:val="18"/>
                <w:szCs w:val="18"/>
                <w:highlight w:val="none"/>
                <w:shd w:fill="auto" w:val="clear"/>
              </w:rPr>
            </w:pPr>
            <w:r>
              <w:rPr>
                <w:sz w:val="18"/>
                <w:szCs w:val="18"/>
                <w:shd w:fill="auto" w:val="clear"/>
              </w:rPr>
            </w:r>
          </w:p>
        </w:tc>
      </w:tr>
      <w:tr>
        <w:trPr>
          <w:trHeight w:val="163" w:hRule="atLeast"/>
        </w:trPr>
        <w:tc>
          <w:tcPr>
            <w:tcW w:w="421" w:type="dxa"/>
            <w:vMerge w:val="continue"/>
            <w:tcBorders>
              <w:left w:val="single" w:sz="4" w:space="0" w:color="000000"/>
              <w:bottom w:val="single" w:sz="4" w:space="0" w:color="000000"/>
              <w:right w:val="single" w:sz="4" w:space="0" w:color="000000"/>
            </w:tcBorders>
          </w:tcPr>
          <w:p>
            <w:pPr>
              <w:pStyle w:val="ListParagraph"/>
              <w:widowControl w:val="false"/>
              <w:numPr>
                <w:ilvl w:val="0"/>
                <w:numId w:val="1"/>
              </w:numPr>
              <w:tabs>
                <w:tab w:val="clear" w:pos="708"/>
                <w:tab w:val="left" w:pos="1134" w:leader="none"/>
              </w:tabs>
              <w:ind w:left="0" w:hanging="0"/>
              <w:jc w:val="center"/>
              <w:rPr>
                <w:rFonts w:ascii="Times New Roman" w:hAnsi="Times New Roman"/>
                <w:b/>
                <w:b/>
                <w:sz w:val="18"/>
                <w:szCs w:val="18"/>
                <w:lang w:val="kk-KZ"/>
              </w:rPr>
            </w:pPr>
            <w:r>
              <w:rPr>
                <w:b/>
                <w:sz w:val="18"/>
                <w:szCs w:val="18"/>
                <w:lang w:val="kk-KZ"/>
              </w:rPr>
            </w:r>
          </w:p>
        </w:tc>
        <w:tc>
          <w:tcPr>
            <w:tcW w:w="2247" w:type="dxa"/>
            <w:tcBorders>
              <w:left w:val="single" w:sz="4" w:space="0" w:color="000000"/>
              <w:bottom w:val="single" w:sz="4" w:space="0" w:color="000000"/>
              <w:right w:val="single" w:sz="4" w:space="0" w:color="000000"/>
            </w:tcBorders>
          </w:tcPr>
          <w:p>
            <w:pPr>
              <w:pStyle w:val="Normal"/>
              <w:widowControl w:val="false"/>
              <w:jc w:val="center"/>
              <w:rPr>
                <w:highlight w:val="none"/>
                <w:shd w:fill="auto" w:val="clear"/>
              </w:rPr>
            </w:pPr>
            <w:r>
              <w:rPr>
                <w:b/>
                <w:sz w:val="18"/>
                <w:szCs w:val="18"/>
                <w:shd w:fill="auto" w:val="clear"/>
              </w:rPr>
              <w:t>РГУ «Департамент экологии по Карагандинской области»</w:t>
            </w:r>
          </w:p>
        </w:tc>
        <w:tc>
          <w:tcPr>
            <w:tcW w:w="5832" w:type="dxa"/>
            <w:tcBorders>
              <w:left w:val="single" w:sz="4" w:space="0" w:color="000000"/>
              <w:bottom w:val="single" w:sz="4" w:space="0" w:color="000000"/>
              <w:right w:val="single" w:sz="4" w:space="0" w:color="000000"/>
            </w:tcBorders>
          </w:tcPr>
          <w:p>
            <w:pPr>
              <w:pStyle w:val="Normal"/>
              <w:widowControl w:val="false"/>
              <w:suppressAutoHyphens w:val="false"/>
              <w:ind w:firstLine="170"/>
              <w:jc w:val="both"/>
              <w:rPr>
                <w:highlight w:val="none"/>
                <w:shd w:fill="auto" w:val="clear"/>
              </w:rPr>
            </w:pPr>
            <w:r>
              <w:rPr>
                <w:iCs/>
                <w:sz w:val="18"/>
                <w:szCs w:val="18"/>
                <w:shd w:fill="auto" w:val="clear"/>
              </w:rPr>
              <w:t>В отчете о возможных воздействиях предусмотреть:</w:t>
            </w:r>
          </w:p>
          <w:p>
            <w:pPr>
              <w:pStyle w:val="ListParagraph"/>
              <w:widowControl w:val="false"/>
              <w:suppressAutoHyphens w:val="false"/>
              <w:ind w:left="0" w:firstLine="170"/>
              <w:jc w:val="both"/>
              <w:rPr>
                <w:highlight w:val="none"/>
                <w:shd w:fill="auto" w:val="clear"/>
              </w:rPr>
            </w:pPr>
            <w:r>
              <w:rPr>
                <w:iCs/>
                <w:sz w:val="18"/>
                <w:szCs w:val="18"/>
                <w:shd w:fill="auto" w:val="clear"/>
                <w:lang w:val="kk-KZ"/>
              </w:rPr>
              <w:t xml:space="preserve">1. </w:t>
            </w:r>
            <w:r>
              <w:rPr>
                <w:iCs/>
                <w:sz w:val="18"/>
                <w:szCs w:val="18"/>
                <w:shd w:fill="auto" w:val="clear"/>
              </w:rPr>
              <w:t>При проведении работ соблюдать требования ст. 238 Экологического кодекса Республики Казахстан: не допускать загрязнения земель, захламления земной поверхности, деградации и истощения почв, а также обеспечить снятие и сохранение плодородного слоя почвы при необходимости.</w:t>
            </w:r>
          </w:p>
          <w:p>
            <w:pPr>
              <w:pStyle w:val="ListParagraph"/>
              <w:widowControl w:val="false"/>
              <w:suppressAutoHyphens w:val="false"/>
              <w:ind w:left="0" w:firstLine="170"/>
              <w:jc w:val="both"/>
              <w:rPr>
                <w:highlight w:val="none"/>
                <w:shd w:fill="auto" w:val="clear"/>
              </w:rPr>
            </w:pPr>
            <w:r>
              <w:rPr>
                <w:iCs/>
                <w:sz w:val="18"/>
                <w:szCs w:val="18"/>
                <w:shd w:fill="auto" w:val="clear"/>
              </w:rPr>
              <w:t>2. Предусмотреть реализацию комплекса технологических, гидротехнических, санитарных и иных мероприятий, направленных на предотвращение засорения, загрязнения и истощения водных ресурсов, в соответствии с п. 2 Приложения 4 к Экологическому кодексу Республики Казахстан.</w:t>
            </w:r>
          </w:p>
          <w:p>
            <w:pPr>
              <w:pStyle w:val="ListParagraph"/>
              <w:widowControl w:val="false"/>
              <w:suppressAutoHyphens w:val="false"/>
              <w:ind w:left="0" w:firstLine="170"/>
              <w:jc w:val="both"/>
              <w:rPr>
                <w:highlight w:val="none"/>
                <w:shd w:fill="auto" w:val="clear"/>
              </w:rPr>
            </w:pPr>
            <w:r>
              <w:rPr>
                <w:iCs/>
                <w:sz w:val="18"/>
                <w:szCs w:val="18"/>
                <w:shd w:fill="auto" w:val="clear"/>
              </w:rPr>
              <w:t>3. При передаче опасных отходов соблюдать требования ст. 336 Экологического кодекса Республики Казахстан: субъекты предпринимательства обязаны привлекать организации, имеющие соответствующую лицензию на переработку, обезвреживание, утилизацию и (или) уничтожение опасных отходов.</w:t>
            </w:r>
          </w:p>
          <w:p>
            <w:pPr>
              <w:pStyle w:val="ListParagraph"/>
              <w:widowControl w:val="false"/>
              <w:suppressAutoHyphens w:val="false"/>
              <w:ind w:left="0" w:firstLine="170"/>
              <w:jc w:val="both"/>
              <w:rPr>
                <w:highlight w:val="none"/>
                <w:shd w:fill="auto" w:val="clear"/>
              </w:rPr>
            </w:pPr>
            <w:r>
              <w:rPr>
                <w:iCs/>
                <w:sz w:val="18"/>
                <w:szCs w:val="18"/>
                <w:shd w:fill="auto" w:val="clear"/>
              </w:rPr>
              <w:t>4. Соблюдать требования ст. 320 Экологического кодекса Республики Казахстан: накопление отходов допускается только в специально оборудованных местах и в установленные сроки.</w:t>
            </w:r>
          </w:p>
          <w:p>
            <w:pPr>
              <w:pStyle w:val="ListParagraph"/>
              <w:widowControl w:val="false"/>
              <w:suppressAutoHyphens w:val="false"/>
              <w:ind w:left="0" w:firstLine="170"/>
              <w:jc w:val="both"/>
              <w:rPr>
                <w:highlight w:val="none"/>
                <w:shd w:fill="auto" w:val="clear"/>
              </w:rPr>
            </w:pPr>
            <w:r>
              <w:rPr>
                <w:iCs/>
                <w:sz w:val="18"/>
                <w:szCs w:val="18"/>
                <w:shd w:fill="auto" w:val="clear"/>
              </w:rPr>
              <w:t>5. Предусмотреть проведение мероприятий по пылеподавлению в соответствии с Приложением 4 к Экологическому кодексу Республики Казахстан.</w:t>
            </w:r>
          </w:p>
          <w:p>
            <w:pPr>
              <w:pStyle w:val="ListParagraph"/>
              <w:widowControl w:val="false"/>
              <w:suppressAutoHyphens w:val="false"/>
              <w:ind w:left="0" w:firstLine="170"/>
              <w:jc w:val="both"/>
              <w:rPr>
                <w:highlight w:val="none"/>
                <w:shd w:fill="auto" w:val="clear"/>
              </w:rPr>
            </w:pPr>
            <w:r>
              <w:rPr>
                <w:iCs/>
                <w:sz w:val="18"/>
                <w:szCs w:val="18"/>
                <w:shd w:fill="auto" w:val="clear"/>
              </w:rPr>
              <w:t>6. Предусмотреть мероприятия по озеленению (посадке зелёных насаждений) в соответствии с Приложением 4 к Экологическому кодексу Республики Казахстан.</w:t>
            </w:r>
          </w:p>
          <w:p>
            <w:pPr>
              <w:pStyle w:val="ListParagraph"/>
              <w:widowControl w:val="false"/>
              <w:suppressAutoHyphens w:val="false"/>
              <w:ind w:left="0" w:firstLine="170"/>
              <w:jc w:val="both"/>
              <w:rPr>
                <w:highlight w:val="none"/>
                <w:shd w:fill="auto" w:val="clear"/>
              </w:rPr>
            </w:pPr>
            <w:r>
              <w:rPr>
                <w:iCs/>
                <w:sz w:val="18"/>
                <w:szCs w:val="18"/>
                <w:shd w:fill="auto" w:val="clear"/>
              </w:rPr>
              <w:t>7. Соблюдать требования ст. 397 Экологического кодекса Республики Казахстан при проведении операций по недропользованию.</w:t>
            </w:r>
          </w:p>
          <w:p>
            <w:pPr>
              <w:pStyle w:val="ListParagraph"/>
              <w:widowControl w:val="false"/>
              <w:suppressAutoHyphens w:val="false"/>
              <w:ind w:left="0" w:firstLine="170"/>
              <w:jc w:val="both"/>
              <w:rPr>
                <w:highlight w:val="none"/>
                <w:shd w:fill="auto" w:val="clear"/>
              </w:rPr>
            </w:pPr>
            <w:r>
              <w:rPr>
                <w:iCs/>
                <w:sz w:val="18"/>
                <w:szCs w:val="18"/>
                <w:shd w:fill="auto" w:val="clear"/>
              </w:rPr>
              <w:t>8. Соблюдать требования ст. 25 Кодекса Республики Казахстан «О недрах и недропользовании» в части ограничений на проведение операций по недропользованию.</w:t>
            </w:r>
          </w:p>
          <w:p>
            <w:pPr>
              <w:pStyle w:val="ListParagraph"/>
              <w:widowControl w:val="false"/>
              <w:suppressAutoHyphens w:val="false"/>
              <w:ind w:left="0" w:firstLine="170"/>
              <w:jc w:val="both"/>
              <w:rPr>
                <w:highlight w:val="none"/>
                <w:shd w:fill="auto" w:val="clear"/>
              </w:rPr>
            </w:pPr>
            <w:r>
              <w:rPr>
                <w:iCs/>
                <w:sz w:val="18"/>
                <w:szCs w:val="18"/>
                <w:shd w:fill="auto" w:val="clear"/>
              </w:rPr>
              <w:t>9. Соблюдать требования ст. 331 Экологического кодекса Республики Казахстан: обеспечивать надлежащее управление отходами с момента их образования до передачи лицензированным организациям.</w:t>
            </w:r>
          </w:p>
          <w:p>
            <w:pPr>
              <w:pStyle w:val="ListParagraph"/>
              <w:widowControl w:val="false"/>
              <w:suppressAutoHyphens w:val="false"/>
              <w:ind w:left="0" w:firstLine="170"/>
              <w:jc w:val="both"/>
              <w:rPr>
                <w:highlight w:val="none"/>
                <w:shd w:fill="auto" w:val="clear"/>
              </w:rPr>
            </w:pPr>
            <w:r>
              <w:rPr>
                <w:iCs/>
                <w:sz w:val="18"/>
                <w:szCs w:val="18"/>
                <w:shd w:fill="auto" w:val="clear"/>
              </w:rPr>
              <w:t>10. Представить ситуационную схему в масштабе с указанием расположения земельного участка относительно водных объектов.</w:t>
            </w:r>
          </w:p>
          <w:p>
            <w:pPr>
              <w:pStyle w:val="ListParagraph"/>
              <w:widowControl w:val="false"/>
              <w:suppressAutoHyphens w:val="false"/>
              <w:ind w:left="0" w:firstLine="170"/>
              <w:jc w:val="both"/>
              <w:rPr>
                <w:highlight w:val="none"/>
                <w:shd w:fill="auto" w:val="clear"/>
              </w:rPr>
            </w:pPr>
            <w:r>
              <w:rPr>
                <w:iCs/>
                <w:sz w:val="18"/>
                <w:szCs w:val="18"/>
                <w:shd w:fill="auto" w:val="clear"/>
              </w:rPr>
              <w:t xml:space="preserve">11. </w:t>
            </w:r>
            <w:r>
              <w:rPr>
                <w:rFonts w:cs="Times New Roman"/>
                <w:iCs/>
                <w:sz w:val="18"/>
                <w:szCs w:val="18"/>
                <w:shd w:fill="auto" w:val="clear"/>
                <w:lang w:val="kk-KZ" w:eastAsia="ru-RU"/>
              </w:rPr>
              <w:t>Необходимо получить от уполномоченного органа подтверждающие документы о расположений данного объекта вне пределах водоохранных зон и полос. В случае попадания намечаемой деятельности водоохранные зоны и полосы необходимо получение согласования от уполномоченного органа. В соответствии статьи 7, 8 Водного кодекса Республики Казахстан земли водного фонда и водный фонд находится в исключительной государственной собственности, право владения, пользования и распоряжения водным фондом осуществляет Правительство Республики Казахстан.</w:t>
            </w:r>
          </w:p>
          <w:p>
            <w:pPr>
              <w:pStyle w:val="ListParagraph"/>
              <w:widowControl w:val="false"/>
              <w:suppressAutoHyphens w:val="false"/>
              <w:ind w:left="0" w:firstLine="170"/>
              <w:jc w:val="both"/>
              <w:rPr>
                <w:sz w:val="18"/>
                <w:szCs w:val="18"/>
                <w:highlight w:val="none"/>
                <w:shd w:fill="auto" w:val="clear"/>
                <w:lang w:val="ru-RU"/>
              </w:rPr>
            </w:pPr>
            <w:r>
              <w:rPr>
                <w:sz w:val="18"/>
                <w:szCs w:val="18"/>
                <w:shd w:fill="auto" w:val="clear"/>
                <w:lang w:val="ru-RU"/>
              </w:rPr>
              <w:t xml:space="preserve">12. </w:t>
            </w:r>
            <w:r>
              <w:rPr>
                <w:sz w:val="18"/>
                <w:szCs w:val="18"/>
                <w:shd w:fill="auto" w:val="clear"/>
                <w:lang w:val="kk-KZ"/>
              </w:rPr>
              <w:t>Необходимо привести подтверждающие документы об отсутствий подземных вод питьевого качество согласно требованиям ст.120 Водного кодекса РК.</w:t>
            </w:r>
          </w:p>
          <w:p>
            <w:pPr>
              <w:pStyle w:val="ListParagraph"/>
              <w:widowControl w:val="false"/>
              <w:suppressAutoHyphens w:val="false"/>
              <w:ind w:left="0" w:firstLine="170"/>
              <w:jc w:val="both"/>
              <w:rPr>
                <w:highlight w:val="none"/>
                <w:shd w:fill="auto" w:val="clear"/>
              </w:rPr>
            </w:pPr>
            <w:r>
              <w:rPr>
                <w:iCs/>
                <w:sz w:val="18"/>
                <w:szCs w:val="18"/>
                <w:shd w:fill="auto" w:val="clear"/>
              </w:rPr>
              <w:t>1</w:t>
            </w:r>
            <w:r>
              <w:rPr>
                <w:iCs/>
                <w:sz w:val="18"/>
                <w:szCs w:val="18"/>
                <w:shd w:fill="auto" w:val="clear"/>
              </w:rPr>
              <w:t>3</w:t>
            </w:r>
            <w:r>
              <w:rPr>
                <w:iCs/>
                <w:sz w:val="18"/>
                <w:szCs w:val="18"/>
                <w:shd w:fill="auto" w:val="clear"/>
              </w:rPr>
              <w:t>. Предусмотреть мероприятия по сохранению животного и растительного мира в соответствии с Приложением 4 к Экологическому кодексу Республики Казахстан.</w:t>
            </w:r>
          </w:p>
          <w:p>
            <w:pPr>
              <w:pStyle w:val="ListParagraph"/>
              <w:widowControl w:val="false"/>
              <w:suppressAutoHyphens w:val="false"/>
              <w:ind w:left="0" w:firstLine="170"/>
              <w:jc w:val="both"/>
              <w:rPr>
                <w:highlight w:val="none"/>
                <w:shd w:fill="auto" w:val="clear"/>
              </w:rPr>
            </w:pPr>
            <w:r>
              <w:rPr>
                <w:iCs/>
                <w:sz w:val="18"/>
                <w:szCs w:val="18"/>
                <w:shd w:fill="auto" w:val="clear"/>
              </w:rPr>
              <w:t>1</w:t>
            </w:r>
            <w:r>
              <w:rPr>
                <w:iCs/>
                <w:sz w:val="18"/>
                <w:szCs w:val="18"/>
                <w:shd w:fill="auto" w:val="clear"/>
              </w:rPr>
              <w:t>4</w:t>
            </w:r>
            <w:r>
              <w:rPr>
                <w:iCs/>
                <w:sz w:val="18"/>
                <w:szCs w:val="18"/>
                <w:shd w:fill="auto" w:val="clear"/>
              </w:rPr>
              <w:t>. Обеспечить минимизацию негативного воздействия на ближайшие селитебные зоны в соответствии с санитарно-эпидемиологическими требованиями. Представить карту-схему с указанием границ санитарно-защитной зоны и ближайшей жилой застройки.</w:t>
            </w:r>
          </w:p>
          <w:p>
            <w:pPr>
              <w:pStyle w:val="ListParagraph"/>
              <w:widowControl w:val="false"/>
              <w:suppressAutoHyphens w:val="false"/>
              <w:ind w:left="0" w:firstLine="170"/>
              <w:jc w:val="both"/>
              <w:rPr>
                <w:highlight w:val="none"/>
                <w:shd w:fill="auto" w:val="clear"/>
              </w:rPr>
            </w:pPr>
            <w:r>
              <w:rPr>
                <w:iCs/>
                <w:sz w:val="18"/>
                <w:szCs w:val="18"/>
                <w:shd w:fill="auto" w:val="clear"/>
              </w:rPr>
              <w:t>1</w:t>
            </w:r>
            <w:r>
              <w:rPr>
                <w:iCs/>
                <w:sz w:val="18"/>
                <w:szCs w:val="18"/>
                <w:shd w:fill="auto" w:val="clear"/>
              </w:rPr>
              <w:t>5</w:t>
            </w:r>
            <w:r>
              <w:rPr>
                <w:iCs/>
                <w:sz w:val="18"/>
                <w:szCs w:val="18"/>
                <w:shd w:fill="auto" w:val="clear"/>
              </w:rPr>
              <w:t>. Обеспечить соблюдение установленных санитарных норм по уровню шумового воздействия.</w:t>
            </w:r>
          </w:p>
          <w:p>
            <w:pPr>
              <w:pStyle w:val="Normal"/>
              <w:widowControl w:val="false"/>
              <w:suppressAutoHyphens w:val="false"/>
              <w:ind w:firstLine="170"/>
              <w:jc w:val="both"/>
              <w:rPr>
                <w:highlight w:val="none"/>
                <w:shd w:fill="auto" w:val="clear"/>
              </w:rPr>
            </w:pPr>
            <w:r>
              <w:rPr>
                <w:iCs/>
                <w:sz w:val="18"/>
                <w:szCs w:val="18"/>
                <w:shd w:fill="auto" w:val="clear"/>
                <w:lang w:val="kk-KZ"/>
              </w:rPr>
              <w:t>1</w:t>
            </w:r>
            <w:r>
              <w:rPr>
                <w:iCs/>
                <w:sz w:val="18"/>
                <w:szCs w:val="18"/>
                <w:shd w:fill="auto" w:val="clear"/>
                <w:lang w:val="ru-RU"/>
              </w:rPr>
              <w:t>6</w:t>
            </w:r>
            <w:r>
              <w:rPr>
                <w:iCs/>
                <w:sz w:val="18"/>
                <w:szCs w:val="18"/>
                <w:shd w:fill="auto" w:val="clear"/>
                <w:lang w:val="kk-KZ"/>
              </w:rPr>
              <w:t xml:space="preserve">. </w:t>
            </w:r>
            <w:r>
              <w:rPr>
                <w:rFonts w:cs="Courier New"/>
                <w:b w:val="false"/>
                <w:bCs w:val="false"/>
                <w:iCs/>
                <w:color w:val="000000"/>
                <w:spacing w:val="2"/>
                <w:sz w:val="18"/>
                <w:szCs w:val="18"/>
                <w:shd w:fill="auto" w:val="clear"/>
                <w:lang w:val="ru-RU" w:eastAsia="en-US"/>
              </w:rPr>
              <w:t xml:space="preserve">Согласовать участок при проведении </w:t>
            </w:r>
            <w:r>
              <w:rPr>
                <w:rFonts w:cs="Courier New"/>
                <w:b w:val="false"/>
                <w:bCs w:val="false"/>
                <w:iCs/>
                <w:color w:val="000000"/>
                <w:spacing w:val="2"/>
                <w:sz w:val="18"/>
                <w:szCs w:val="18"/>
                <w:shd w:fill="auto" w:val="clear"/>
                <w:lang w:val="ru-RU" w:eastAsia="en-US"/>
              </w:rPr>
              <w:t>работ</w:t>
            </w:r>
            <w:r>
              <w:rPr>
                <w:rFonts w:cs="Courier New"/>
                <w:b w:val="false"/>
                <w:bCs w:val="false"/>
                <w:iCs/>
                <w:color w:val="000000"/>
                <w:spacing w:val="2"/>
                <w:sz w:val="18"/>
                <w:szCs w:val="18"/>
                <w:shd w:fill="auto" w:val="clear"/>
                <w:lang w:val="ru-RU" w:eastAsia="en-US"/>
              </w:rPr>
              <w:t xml:space="preserve"> с </w:t>
            </w:r>
            <w:r>
              <w:rPr>
                <w:rFonts w:cs="Courier New"/>
                <w:b w:val="false"/>
                <w:bCs w:val="false"/>
                <w:iCs/>
                <w:color w:val="000000"/>
                <w:spacing w:val="2"/>
                <w:sz w:val="18"/>
                <w:szCs w:val="18"/>
                <w:shd w:fill="auto" w:val="clear"/>
                <w:lang w:val="kk-KZ" w:eastAsia="en-US"/>
              </w:rPr>
              <w:t>КГУ</w:t>
            </w:r>
            <w:r>
              <w:rPr>
                <w:rFonts w:cs="Courier New"/>
                <w:b w:val="false"/>
                <w:bCs w:val="false"/>
                <w:iCs/>
                <w:color w:val="000000"/>
                <w:spacing w:val="2"/>
                <w:sz w:val="18"/>
                <w:szCs w:val="18"/>
                <w:shd w:fill="auto" w:val="clear"/>
                <w:lang w:val="ru-RU" w:eastAsia="en-US"/>
              </w:rPr>
              <w:t xml:space="preserve"> «</w:t>
            </w:r>
            <w:r>
              <w:rPr>
                <w:rFonts w:eastAsia="Times New Roman" w:cs="Times New Roman"/>
                <w:b w:val="false"/>
                <w:bCs w:val="false"/>
                <w:iCs/>
                <w:color w:val="000000"/>
                <w:spacing w:val="2"/>
                <w:sz w:val="18"/>
                <w:szCs w:val="18"/>
                <w:shd w:fill="auto" w:val="clear"/>
                <w:lang w:val="kk-KZ" w:eastAsia="en-US"/>
              </w:rPr>
              <w:t>Центр по сохранению историко-культурного наследия</w:t>
            </w:r>
            <w:r>
              <w:rPr>
                <w:rFonts w:cs="Courier New"/>
                <w:b w:val="false"/>
                <w:bCs w:val="false"/>
                <w:iCs/>
                <w:color w:val="000000"/>
                <w:spacing w:val="2"/>
                <w:sz w:val="18"/>
                <w:szCs w:val="18"/>
                <w:shd w:fill="auto" w:val="clear"/>
                <w:lang w:val="ru-RU" w:eastAsia="en-US"/>
              </w:rPr>
              <w:t>».</w:t>
            </w:r>
          </w:p>
          <w:p>
            <w:pPr>
              <w:pStyle w:val="Normal"/>
              <w:widowControl w:val="false"/>
              <w:ind w:firstLine="170"/>
              <w:jc w:val="both"/>
              <w:rPr>
                <w:highlight w:val="none"/>
                <w:shd w:fill="auto" w:val="clear"/>
              </w:rPr>
            </w:pPr>
            <w:r>
              <w:rPr>
                <w:sz w:val="18"/>
                <w:szCs w:val="18"/>
                <w:shd w:fill="auto" w:val="clear"/>
                <w:lang w:val="kk-KZ"/>
              </w:rPr>
              <w:t>1</w:t>
            </w:r>
            <w:r>
              <w:rPr>
                <w:sz w:val="18"/>
                <w:szCs w:val="18"/>
                <w:shd w:fill="auto" w:val="clear"/>
                <w:lang w:val="ru-RU"/>
              </w:rPr>
              <w:t>7</w:t>
            </w:r>
            <w:r>
              <w:rPr>
                <w:sz w:val="18"/>
                <w:szCs w:val="18"/>
                <w:shd w:fill="auto" w:val="clear"/>
                <w:lang w:val="kk-KZ"/>
              </w:rPr>
              <w:t>. Представить актуальные данные по текущему состоянию компонентов окружающей среды на территории на момент разработки отчета о возможных воздействиях, в пределах которых предполагается осуществление намечаемой деятельности, а также результаты фоновых исследований, согласно приказа Министра экологии, геологии и природных ресурсов Республики Казахстан от 30 июля 2021 года № 280 «Об утверждении Инструкции по организации и проведению экологической оценки».</w:t>
            </w:r>
          </w:p>
          <w:p>
            <w:pPr>
              <w:pStyle w:val="Normal"/>
              <w:widowControl w:val="false"/>
              <w:suppressAutoHyphens w:val="false"/>
              <w:ind w:firstLine="170"/>
              <w:jc w:val="both"/>
              <w:rPr>
                <w:highlight w:val="none"/>
                <w:shd w:fill="auto" w:val="clear"/>
              </w:rPr>
            </w:pPr>
            <w:r>
              <w:rPr>
                <w:rFonts w:cs="Courier New"/>
                <w:b w:val="false"/>
                <w:bCs w:val="false"/>
                <w:iCs/>
                <w:color w:val="000000"/>
                <w:spacing w:val="2"/>
                <w:sz w:val="18"/>
                <w:szCs w:val="18"/>
                <w:shd w:fill="auto" w:val="clear"/>
                <w:lang w:val="ru-RU" w:eastAsia="en-US"/>
              </w:rPr>
              <w:t>1</w:t>
            </w:r>
            <w:r>
              <w:rPr>
                <w:rFonts w:cs="Courier New"/>
                <w:b w:val="false"/>
                <w:bCs w:val="false"/>
                <w:iCs/>
                <w:color w:val="000000"/>
                <w:spacing w:val="2"/>
                <w:sz w:val="18"/>
                <w:szCs w:val="18"/>
                <w:shd w:fill="auto" w:val="clear"/>
                <w:lang w:val="ru-RU" w:eastAsia="en-US"/>
              </w:rPr>
              <w:t>8</w:t>
            </w:r>
            <w:r>
              <w:rPr>
                <w:rFonts w:cs="Courier New"/>
                <w:b w:val="false"/>
                <w:bCs w:val="false"/>
                <w:iCs/>
                <w:color w:val="000000"/>
                <w:spacing w:val="2"/>
                <w:sz w:val="18"/>
                <w:szCs w:val="18"/>
                <w:shd w:fill="auto" w:val="clear"/>
                <w:lang w:val="kk-KZ" w:eastAsia="en-US"/>
              </w:rPr>
              <w:t>. Проект необходимо разработать в соответствие с Приказом Министра экологии, геологии и природных ресурсов Республики Казахстан от 30 июля 2021 года №280 «Об утверждении Инструкции по организации и проведению экологической оценки».</w:t>
            </w:r>
          </w:p>
        </w:tc>
        <w:tc>
          <w:tcPr>
            <w:tcW w:w="1700" w:type="dxa"/>
            <w:tcBorders>
              <w:left w:val="single" w:sz="4" w:space="0" w:color="000000"/>
              <w:bottom w:val="single" w:sz="4" w:space="0" w:color="000000"/>
              <w:right w:val="single" w:sz="4" w:space="0" w:color="000000"/>
            </w:tcBorders>
          </w:tcPr>
          <w:p>
            <w:pPr>
              <w:pStyle w:val="ListParagraph"/>
              <w:widowControl w:val="false"/>
              <w:tabs>
                <w:tab w:val="clear" w:pos="708"/>
                <w:tab w:val="left" w:pos="1134" w:leader="none"/>
              </w:tabs>
              <w:ind w:left="0" w:hanging="0"/>
              <w:jc w:val="center"/>
              <w:rPr>
                <w:rFonts w:ascii="Times New Roman" w:hAnsi="Times New Roman"/>
                <w:sz w:val="18"/>
                <w:szCs w:val="18"/>
                <w:highlight w:val="none"/>
                <w:shd w:fill="auto" w:val="clear"/>
              </w:rPr>
            </w:pPr>
            <w:r>
              <w:rPr>
                <w:sz w:val="18"/>
                <w:szCs w:val="18"/>
                <w:shd w:fill="auto" w:val="clear"/>
              </w:rPr>
            </w:r>
          </w:p>
        </w:tc>
      </w:tr>
      <w:tr>
        <w:trPr>
          <w:trHeight w:val="53" w:hRule="atLeast"/>
        </w:trPr>
        <w:tc>
          <w:tcPr>
            <w:tcW w:w="421" w:type="dxa"/>
            <w:vMerge w:val="restart"/>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
              </w:numPr>
              <w:tabs>
                <w:tab w:val="clear" w:pos="708"/>
                <w:tab w:val="left" w:pos="1134" w:leader="none"/>
              </w:tabs>
              <w:ind w:left="0" w:hanging="0"/>
              <w:jc w:val="center"/>
              <w:rPr>
                <w:rFonts w:ascii="Times New Roman" w:hAnsi="Times New Roman"/>
                <w:b/>
                <w:b/>
                <w:sz w:val="18"/>
                <w:szCs w:val="18"/>
                <w:lang w:val="kk-KZ"/>
              </w:rPr>
            </w:pPr>
            <w:r>
              <w:rPr>
                <w:b/>
                <w:sz w:val="18"/>
                <w:szCs w:val="18"/>
                <w:lang w:val="kk-KZ"/>
              </w:rPr>
            </w:r>
          </w:p>
        </w:tc>
        <w:tc>
          <w:tcPr>
            <w:tcW w:w="2247" w:type="dxa"/>
            <w:tcBorders>
              <w:top w:val="single" w:sz="4" w:space="0" w:color="000000"/>
              <w:left w:val="single" w:sz="4" w:space="0" w:color="000000"/>
              <w:bottom w:val="single" w:sz="4" w:space="0" w:color="000000"/>
              <w:right w:val="single" w:sz="4" w:space="0" w:color="000000"/>
            </w:tcBorders>
          </w:tcPr>
          <w:p>
            <w:pPr>
              <w:pStyle w:val="ListParagraph"/>
              <w:widowControl w:val="false"/>
              <w:tabs>
                <w:tab w:val="clear" w:pos="708"/>
                <w:tab w:val="left" w:pos="1134" w:leader="none"/>
              </w:tabs>
              <w:ind w:left="0" w:hanging="0"/>
              <w:jc w:val="center"/>
              <w:rPr>
                <w:rFonts w:ascii="Times New Roman" w:hAnsi="Times New Roman"/>
                <w:sz w:val="18"/>
                <w:szCs w:val="18"/>
              </w:rPr>
            </w:pPr>
            <w:r>
              <w:rPr>
                <w:b/>
                <w:sz w:val="18"/>
                <w:szCs w:val="18"/>
              </w:rPr>
              <w:t>Қоғам</w:t>
            </w:r>
          </w:p>
        </w:tc>
        <w:tc>
          <w:tcPr>
            <w:tcW w:w="5832" w:type="dxa"/>
            <w:tcBorders>
              <w:top w:val="single" w:sz="4" w:space="0" w:color="000000"/>
              <w:left w:val="single" w:sz="4" w:space="0" w:color="000000"/>
              <w:bottom w:val="single" w:sz="4" w:space="0" w:color="000000"/>
              <w:right w:val="single" w:sz="4" w:space="0" w:color="000000"/>
            </w:tcBorders>
          </w:tcPr>
          <w:p>
            <w:pPr>
              <w:pStyle w:val="Normal"/>
              <w:widowControl w:val="false"/>
              <w:ind w:firstLine="170"/>
              <w:jc w:val="both"/>
              <w:rPr>
                <w:rFonts w:ascii="Times New Roman" w:hAnsi="Times New Roman"/>
                <w:sz w:val="18"/>
                <w:szCs w:val="18"/>
              </w:rPr>
            </w:pPr>
            <w:r>
              <w:rPr>
                <w:sz w:val="18"/>
                <w:szCs w:val="18"/>
                <w:lang w:val="kk-KZ"/>
              </w:rPr>
              <w:t>Ұ</w:t>
            </w:r>
            <w:r>
              <w:rPr>
                <w:sz w:val="18"/>
                <w:szCs w:val="18"/>
              </w:rPr>
              <w:t>сынылмаған.</w:t>
            </w:r>
          </w:p>
        </w:tc>
        <w:tc>
          <w:tcPr>
            <w:tcW w:w="1700" w:type="dxa"/>
            <w:tcBorders>
              <w:top w:val="single" w:sz="4" w:space="0" w:color="000000"/>
              <w:left w:val="single" w:sz="4" w:space="0" w:color="000000"/>
              <w:bottom w:val="single" w:sz="4" w:space="0" w:color="000000"/>
              <w:right w:val="single" w:sz="4" w:space="0" w:color="000000"/>
            </w:tcBorders>
          </w:tcPr>
          <w:p>
            <w:pPr>
              <w:pStyle w:val="ListParagraph"/>
              <w:widowControl w:val="false"/>
              <w:tabs>
                <w:tab w:val="clear" w:pos="708"/>
                <w:tab w:val="left" w:pos="1134" w:leader="none"/>
              </w:tabs>
              <w:ind w:left="0" w:hanging="0"/>
              <w:jc w:val="center"/>
              <w:rPr>
                <w:rFonts w:ascii="Times New Roman" w:hAnsi="Times New Roman"/>
                <w:sz w:val="18"/>
                <w:szCs w:val="18"/>
              </w:rPr>
            </w:pPr>
            <w:r>
              <w:rPr>
                <w:sz w:val="18"/>
                <w:szCs w:val="18"/>
              </w:rPr>
            </w:r>
          </w:p>
        </w:tc>
      </w:tr>
      <w:tr>
        <w:trPr>
          <w:trHeight w:val="53" w:hRule="atLeast"/>
        </w:trPr>
        <w:tc>
          <w:tcPr>
            <w:tcW w:w="421" w:type="dxa"/>
            <w:vMerge w:val="continue"/>
            <w:tcBorders>
              <w:left w:val="single" w:sz="4" w:space="0" w:color="000000"/>
              <w:bottom w:val="single" w:sz="4" w:space="0" w:color="000000"/>
              <w:right w:val="single" w:sz="4" w:space="0" w:color="000000"/>
            </w:tcBorders>
          </w:tcPr>
          <w:p>
            <w:pPr>
              <w:pStyle w:val="ListParagraph"/>
              <w:widowControl w:val="false"/>
              <w:numPr>
                <w:ilvl w:val="0"/>
                <w:numId w:val="1"/>
              </w:numPr>
              <w:tabs>
                <w:tab w:val="clear" w:pos="708"/>
                <w:tab w:val="left" w:pos="1134" w:leader="none"/>
              </w:tabs>
              <w:ind w:left="0" w:hanging="0"/>
              <w:jc w:val="center"/>
              <w:rPr>
                <w:rFonts w:ascii="Times New Roman" w:hAnsi="Times New Roman"/>
                <w:b/>
                <w:b/>
                <w:sz w:val="18"/>
                <w:szCs w:val="18"/>
                <w:lang w:val="kk-KZ"/>
              </w:rPr>
            </w:pPr>
            <w:r>
              <w:rPr>
                <w:b/>
                <w:sz w:val="18"/>
                <w:szCs w:val="18"/>
                <w:lang w:val="kk-KZ"/>
              </w:rPr>
            </w:r>
          </w:p>
        </w:tc>
        <w:tc>
          <w:tcPr>
            <w:tcW w:w="2247" w:type="dxa"/>
            <w:tcBorders>
              <w:top w:val="single" w:sz="4" w:space="0" w:color="000000"/>
              <w:left w:val="single" w:sz="4" w:space="0" w:color="000000"/>
              <w:bottom w:val="single" w:sz="4" w:space="0" w:color="000000"/>
              <w:right w:val="single" w:sz="4" w:space="0" w:color="000000"/>
            </w:tcBorders>
          </w:tcPr>
          <w:p>
            <w:pPr>
              <w:pStyle w:val="ListParagraph"/>
              <w:widowControl w:val="false"/>
              <w:tabs>
                <w:tab w:val="clear" w:pos="708"/>
                <w:tab w:val="left" w:pos="1134" w:leader="none"/>
              </w:tabs>
              <w:ind w:left="0" w:hanging="0"/>
              <w:jc w:val="center"/>
              <w:rPr>
                <w:rFonts w:ascii="Times New Roman" w:hAnsi="Times New Roman"/>
                <w:sz w:val="18"/>
                <w:szCs w:val="18"/>
              </w:rPr>
            </w:pPr>
            <w:r>
              <w:rPr>
                <w:b/>
                <w:sz w:val="18"/>
                <w:szCs w:val="18"/>
              </w:rPr>
              <w:t>Общественность</w:t>
            </w:r>
          </w:p>
        </w:tc>
        <w:tc>
          <w:tcPr>
            <w:tcW w:w="5832" w:type="dxa"/>
            <w:tcBorders>
              <w:top w:val="single" w:sz="4" w:space="0" w:color="000000"/>
              <w:left w:val="single" w:sz="4" w:space="0" w:color="000000"/>
              <w:bottom w:val="single" w:sz="4" w:space="0" w:color="000000"/>
              <w:right w:val="single" w:sz="4" w:space="0" w:color="000000"/>
            </w:tcBorders>
          </w:tcPr>
          <w:p>
            <w:pPr>
              <w:pStyle w:val="Normal"/>
              <w:widowControl w:val="false"/>
              <w:ind w:firstLine="170"/>
              <w:jc w:val="both"/>
              <w:rPr>
                <w:rFonts w:ascii="Times New Roman" w:hAnsi="Times New Roman"/>
                <w:sz w:val="18"/>
                <w:szCs w:val="18"/>
              </w:rPr>
            </w:pPr>
            <w:r>
              <w:rPr>
                <w:sz w:val="18"/>
                <w:szCs w:val="18"/>
                <w:lang w:val="kk-KZ"/>
              </w:rPr>
              <w:t>Не представлено.</w:t>
            </w:r>
          </w:p>
        </w:tc>
        <w:tc>
          <w:tcPr>
            <w:tcW w:w="1700" w:type="dxa"/>
            <w:tcBorders>
              <w:top w:val="single" w:sz="4" w:space="0" w:color="000000"/>
              <w:left w:val="single" w:sz="4" w:space="0" w:color="000000"/>
              <w:bottom w:val="single" w:sz="4" w:space="0" w:color="000000"/>
              <w:right w:val="single" w:sz="4" w:space="0" w:color="000000"/>
            </w:tcBorders>
          </w:tcPr>
          <w:p>
            <w:pPr>
              <w:pStyle w:val="ListParagraph"/>
              <w:widowControl w:val="false"/>
              <w:tabs>
                <w:tab w:val="clear" w:pos="708"/>
                <w:tab w:val="left" w:pos="1134" w:leader="none"/>
              </w:tabs>
              <w:ind w:left="0" w:hanging="0"/>
              <w:jc w:val="center"/>
              <w:rPr>
                <w:rFonts w:ascii="Times New Roman" w:hAnsi="Times New Roman"/>
                <w:sz w:val="18"/>
                <w:szCs w:val="18"/>
              </w:rPr>
            </w:pPr>
            <w:r>
              <w:rPr>
                <w:sz w:val="18"/>
                <w:szCs w:val="18"/>
              </w:rPr>
            </w:r>
          </w:p>
        </w:tc>
      </w:tr>
    </w:tbl>
    <w:p>
      <w:pPr>
        <w:pStyle w:val="Normal"/>
        <w:rPr>
          <w:sz w:val="16"/>
          <w:szCs w:val="16"/>
          <w:lang w:val="kk-KZ"/>
        </w:rPr>
      </w:pPr>
      <w:r>
        <w:rPr>
          <w:sz w:val="16"/>
          <w:szCs w:val="16"/>
          <w:lang w:val="kk-KZ"/>
        </w:rPr>
      </w:r>
    </w:p>
    <w:p>
      <w:pPr>
        <w:pStyle w:val="Normal"/>
        <w:rPr>
          <w:sz w:val="18"/>
          <w:szCs w:val="18"/>
        </w:rPr>
      </w:pPr>
      <w:r>
        <w:rPr>
          <w:b/>
          <w:bCs/>
          <w:sz w:val="18"/>
          <w:szCs w:val="18"/>
          <w:lang w:val="ru-RU"/>
        </w:rPr>
        <w:t>И.о. р</w:t>
      </w:r>
      <w:r>
        <w:rPr>
          <w:b/>
          <w:bCs/>
          <w:sz w:val="18"/>
          <w:szCs w:val="18"/>
          <w:lang w:val="ru-RU"/>
        </w:rPr>
        <w:t>уководител</w:t>
      </w:r>
      <w:r>
        <w:rPr>
          <w:b/>
          <w:bCs/>
          <w:sz w:val="18"/>
          <w:szCs w:val="18"/>
          <w:lang w:val="ru-RU"/>
        </w:rPr>
        <w:t>я</w:t>
      </w:r>
      <w:r>
        <w:rPr>
          <w:b/>
          <w:bCs/>
          <w:sz w:val="18"/>
          <w:szCs w:val="18"/>
          <w:lang w:val="ru-RU"/>
        </w:rPr>
        <w:t xml:space="preserve">                                                                                                                                                      </w:t>
      </w:r>
      <w:r>
        <w:rPr>
          <w:b/>
          <w:bCs/>
          <w:sz w:val="18"/>
          <w:szCs w:val="18"/>
          <w:lang w:val="ru-RU"/>
        </w:rPr>
        <w:t>А. Байтлеуов</w:t>
      </w:r>
    </w:p>
    <w:p>
      <w:pPr>
        <w:pStyle w:val="Normal"/>
        <w:rPr>
          <w:sz w:val="14"/>
          <w:szCs w:val="14"/>
          <w:lang w:val="ru-RU"/>
        </w:rPr>
      </w:pPr>
      <w:r>
        <w:rPr>
          <w:sz w:val="14"/>
          <w:szCs w:val="14"/>
          <w:lang w:val="ru-RU"/>
        </w:rPr>
        <w:t xml:space="preserve"> </w:t>
      </w:r>
    </w:p>
    <w:p>
      <w:pPr>
        <w:pStyle w:val="Normal"/>
        <w:rPr>
          <w:sz w:val="14"/>
          <w:szCs w:val="14"/>
          <w:lang w:val="ru-RU"/>
        </w:rPr>
      </w:pPr>
      <w:r>
        <w:rPr>
          <w:sz w:val="14"/>
          <w:szCs w:val="14"/>
          <w:lang w:val="ru-RU"/>
        </w:rPr>
      </w:r>
    </w:p>
    <w:p>
      <w:pPr>
        <w:pStyle w:val="Normal"/>
        <w:rPr>
          <w:sz w:val="14"/>
          <w:szCs w:val="14"/>
        </w:rPr>
      </w:pPr>
      <w:r>
        <w:rPr>
          <w:b w:val="false"/>
          <w:bCs w:val="false"/>
          <w:i/>
          <w:iCs/>
          <w:sz w:val="14"/>
          <w:szCs w:val="14"/>
          <w:lang w:val="ru-RU"/>
        </w:rPr>
        <w:t>Келгенова А.А.</w:t>
      </w:r>
    </w:p>
    <w:p>
      <w:pPr>
        <w:pStyle w:val="Normal"/>
        <w:rPr>
          <w:sz w:val="14"/>
          <w:szCs w:val="14"/>
        </w:rPr>
      </w:pPr>
      <w:r>
        <w:rPr>
          <w:b w:val="false"/>
          <w:bCs w:val="false"/>
          <w:i/>
          <w:iCs/>
          <w:sz w:val="14"/>
          <w:szCs w:val="14"/>
          <w:lang w:val="ru-RU"/>
        </w:rPr>
        <w:t>41-08-71</w:t>
      </w:r>
    </w:p>
    <w:sectPr>
      <w:type w:val="nextPage"/>
      <w:pgSz w:w="11906" w:h="16838"/>
      <w:pgMar w:left="1701" w:right="850" w:gutter="0" w:header="0" w:top="1134" w:footer="0" w:bottom="1134"/>
      <w:pgNumType w:fmt="decimal"/>
      <w:formProt w:val="false"/>
      <w:textDirection w:val="lrTb"/>
      <w:docGrid w:type="default" w:linePitch="360" w:charSpace="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Calibri Light">
    <w:charset w:val="cc"/>
    <w:family w:val="roman"/>
    <w:pitch w:val="variable"/>
  </w:font>
  <w:font w:name="TimesNewRoman">
    <w:charset w:val="cc"/>
    <w:family w:val="roman"/>
    <w:pitch w:val="variable"/>
  </w:font>
  <w:font w:name="Liberation Sans">
    <w:altName w:val="Arial"/>
    <w:charset w:val="cc"/>
    <w:family w:val="roman"/>
    <w:pitch w:val="variable"/>
  </w:font>
  <w:font w:name="Times New Roman">
    <w:charset w:val="01"/>
    <w:family w:val="roman"/>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Управление природных ресурсов и регулирования природопользования Карагандинской области - Шайкина А.М."/>
          <w10:wrap anchorx="margin" anchory="margin"/>
        </v:shape>
      </w:pic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644" w:hanging="360"/>
      </w:pPr>
      <w:rPr/>
    </w:lvl>
    <w:lvl w:ilvl="1">
      <w:start w:val="1"/>
      <w:numFmt w:val="lowerLetter"/>
      <w:lvlText w:val="%2."/>
      <w:lvlJc w:val="left"/>
      <w:pPr>
        <w:tabs>
          <w:tab w:val="num" w:pos="0"/>
        </w:tabs>
        <w:ind w:left="1364" w:hanging="360"/>
      </w:pPr>
      <w:rPr/>
    </w:lvl>
    <w:lvl w:ilvl="2">
      <w:start w:val="1"/>
      <w:numFmt w:val="lowerRoman"/>
      <w:lvlText w:val="%3."/>
      <w:lvlJc w:val="right"/>
      <w:pPr>
        <w:tabs>
          <w:tab w:val="num" w:pos="0"/>
        </w:tabs>
        <w:ind w:left="2084" w:hanging="180"/>
      </w:pPr>
      <w:rPr/>
    </w:lvl>
    <w:lvl w:ilvl="3">
      <w:start w:val="1"/>
      <w:numFmt w:val="decimal"/>
      <w:lvlText w:val="%4."/>
      <w:lvlJc w:val="left"/>
      <w:pPr>
        <w:tabs>
          <w:tab w:val="num" w:pos="0"/>
        </w:tabs>
        <w:ind w:left="2804" w:hanging="360"/>
      </w:pPr>
      <w:rPr/>
    </w:lvl>
    <w:lvl w:ilvl="4">
      <w:start w:val="1"/>
      <w:numFmt w:val="lowerLetter"/>
      <w:lvlText w:val="%5."/>
      <w:lvlJc w:val="left"/>
      <w:pPr>
        <w:tabs>
          <w:tab w:val="num" w:pos="0"/>
        </w:tabs>
        <w:ind w:left="3524" w:hanging="360"/>
      </w:pPr>
      <w:rPr/>
    </w:lvl>
    <w:lvl w:ilvl="5">
      <w:start w:val="1"/>
      <w:numFmt w:val="lowerRoman"/>
      <w:lvlText w:val="%6."/>
      <w:lvlJc w:val="right"/>
      <w:pPr>
        <w:tabs>
          <w:tab w:val="num" w:pos="0"/>
        </w:tabs>
        <w:ind w:left="4244" w:hanging="180"/>
      </w:pPr>
      <w:rPr/>
    </w:lvl>
    <w:lvl w:ilvl="6">
      <w:start w:val="1"/>
      <w:numFmt w:val="decimal"/>
      <w:lvlText w:val="%7."/>
      <w:lvlJc w:val="left"/>
      <w:pPr>
        <w:tabs>
          <w:tab w:val="num" w:pos="0"/>
        </w:tabs>
        <w:ind w:left="4964" w:hanging="360"/>
      </w:pPr>
      <w:rPr/>
    </w:lvl>
    <w:lvl w:ilvl="7">
      <w:start w:val="1"/>
      <w:numFmt w:val="lowerLetter"/>
      <w:lvlText w:val="%8."/>
      <w:lvlJc w:val="left"/>
      <w:pPr>
        <w:tabs>
          <w:tab w:val="num" w:pos="0"/>
        </w:tabs>
        <w:ind w:left="5684" w:hanging="360"/>
      </w:pPr>
      <w:rPr/>
    </w:lvl>
    <w:lvl w:ilvl="8">
      <w:start w:val="1"/>
      <w:numFmt w:val="lowerRoman"/>
      <w:lvlText w:val="%9."/>
      <w:lvlJc w:val="right"/>
      <w:pPr>
        <w:tabs>
          <w:tab w:val="num" w:pos="0"/>
        </w:tabs>
        <w:ind w:left="6404" w:hanging="18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4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ru-RU" w:eastAsia="" w:bidi=""/>
  <w:endnotePr>
    <w:endnote w:id="-1"/>
    <w:endnote w:id="0"/>
  </w:endnotePr>
  <w:footnotePr>
    <w:footnote w:id="-1"/>
    <w:footnote w:id="0"/>
  </w:footnotePr>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4"/>
        <w:szCs w:val="24"/>
        <w:lang w:val="ru-RU"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90088"/>
    <w:pPr>
      <w:widowControl/>
      <w:suppressAutoHyphens w:val="true"/>
      <w:bidi w:val="0"/>
      <w:spacing w:lineRule="auto" w:line="240" w:before="0" w:after="0"/>
      <w:jc w:val="left"/>
    </w:pPr>
    <w:rPr>
      <w:rFonts w:ascii="Times New Roman" w:hAnsi="Times New Roman" w:eastAsia="Times New Roman" w:cs="Times New Roman"/>
      <w:color w:val="auto"/>
      <w:kern w:val="0"/>
      <w:sz w:val="24"/>
      <w:szCs w:val="24"/>
      <w:lang w:val="ru-RU" w:eastAsia="ru-RU" w:bidi="ar-SA"/>
      <w14:ligatures w14:val="none"/>
    </w:rPr>
  </w:style>
  <w:style w:type="paragraph" w:styleId="1">
    <w:name w:val="Heading 1"/>
    <w:basedOn w:val="Normal"/>
    <w:next w:val="Normal"/>
    <w:link w:val="11"/>
    <w:uiPriority w:val="9"/>
    <w:qFormat/>
    <w:rsid w:val="00f36b9b"/>
    <w:pPr>
      <w:keepNext w:val="true"/>
      <w:keepLines/>
      <w:spacing w:before="360" w:after="80"/>
      <w:outlineLvl w:val="0"/>
    </w:pPr>
    <w:rPr>
      <w:rFonts w:ascii="Calibri Light" w:hAnsi="Calibri Light" w:eastAsia="" w:cs="" w:asciiTheme="majorHAnsi" w:cstheme="majorBidi" w:eastAsiaTheme="majorEastAsia" w:hAnsiTheme="majorHAnsi"/>
      <w:color w:val="2F5496" w:themeColor="accent1" w:themeShade="bf"/>
      <w:sz w:val="40"/>
      <w:szCs w:val="40"/>
    </w:rPr>
  </w:style>
  <w:style w:type="paragraph" w:styleId="2">
    <w:name w:val="Heading 2"/>
    <w:basedOn w:val="Normal"/>
    <w:next w:val="Normal"/>
    <w:link w:val="21"/>
    <w:uiPriority w:val="9"/>
    <w:semiHidden/>
    <w:unhideWhenUsed/>
    <w:qFormat/>
    <w:rsid w:val="00f36b9b"/>
    <w:pPr>
      <w:keepNext w:val="true"/>
      <w:keepLines/>
      <w:spacing w:before="160" w:after="80"/>
      <w:outlineLvl w:val="1"/>
    </w:pPr>
    <w:rPr>
      <w:rFonts w:ascii="Calibri Light" w:hAnsi="Calibri Light" w:eastAsia="" w:cs="" w:asciiTheme="majorHAnsi" w:cstheme="majorBidi" w:eastAsiaTheme="majorEastAsia" w:hAnsiTheme="majorHAnsi"/>
      <w:color w:val="2F5496" w:themeColor="accent1" w:themeShade="bf"/>
      <w:sz w:val="32"/>
      <w:szCs w:val="32"/>
    </w:rPr>
  </w:style>
  <w:style w:type="paragraph" w:styleId="3">
    <w:name w:val="Heading 3"/>
    <w:basedOn w:val="Normal"/>
    <w:next w:val="Normal"/>
    <w:link w:val="31"/>
    <w:uiPriority w:val="9"/>
    <w:semiHidden/>
    <w:unhideWhenUsed/>
    <w:qFormat/>
    <w:rsid w:val="00f36b9b"/>
    <w:pPr>
      <w:keepNext w:val="true"/>
      <w:keepLines/>
      <w:spacing w:before="160" w:after="80"/>
      <w:outlineLvl w:val="2"/>
    </w:pPr>
    <w:rPr>
      <w:rFonts w:eastAsia="" w:cs="" w:cstheme="majorBidi" w:eastAsiaTheme="majorEastAsia"/>
      <w:color w:val="2F5496" w:themeColor="accent1" w:themeShade="bf"/>
      <w:sz w:val="28"/>
      <w:szCs w:val="28"/>
    </w:rPr>
  </w:style>
  <w:style w:type="paragraph" w:styleId="4">
    <w:name w:val="Heading 4"/>
    <w:basedOn w:val="Normal"/>
    <w:next w:val="Normal"/>
    <w:link w:val="41"/>
    <w:uiPriority w:val="9"/>
    <w:semiHidden/>
    <w:unhideWhenUsed/>
    <w:qFormat/>
    <w:rsid w:val="00f36b9b"/>
    <w:pPr>
      <w:keepNext w:val="true"/>
      <w:keepLines/>
      <w:spacing w:before="80" w:after="40"/>
      <w:outlineLvl w:val="3"/>
    </w:pPr>
    <w:rPr>
      <w:rFonts w:eastAsia="" w:cs="" w:cstheme="majorBidi" w:eastAsiaTheme="majorEastAsia"/>
      <w:i/>
      <w:iCs/>
      <w:color w:val="2F5496" w:themeColor="accent1" w:themeShade="bf"/>
    </w:rPr>
  </w:style>
  <w:style w:type="paragraph" w:styleId="5">
    <w:name w:val="Heading 5"/>
    <w:basedOn w:val="Normal"/>
    <w:next w:val="Normal"/>
    <w:link w:val="51"/>
    <w:uiPriority w:val="9"/>
    <w:semiHidden/>
    <w:unhideWhenUsed/>
    <w:qFormat/>
    <w:rsid w:val="00f36b9b"/>
    <w:pPr>
      <w:keepNext w:val="true"/>
      <w:keepLines/>
      <w:spacing w:before="80" w:after="40"/>
      <w:outlineLvl w:val="4"/>
    </w:pPr>
    <w:rPr>
      <w:rFonts w:eastAsia="" w:cs="" w:cstheme="majorBidi" w:eastAsiaTheme="majorEastAsia"/>
      <w:color w:val="2F5496" w:themeColor="accent1" w:themeShade="bf"/>
    </w:rPr>
  </w:style>
  <w:style w:type="paragraph" w:styleId="6">
    <w:name w:val="Heading 6"/>
    <w:basedOn w:val="Normal"/>
    <w:next w:val="Normal"/>
    <w:link w:val="61"/>
    <w:uiPriority w:val="9"/>
    <w:semiHidden/>
    <w:unhideWhenUsed/>
    <w:qFormat/>
    <w:rsid w:val="00f36b9b"/>
    <w:pPr>
      <w:keepNext w:val="true"/>
      <w:keepLines/>
      <w:spacing w:before="40" w:after="0"/>
      <w:outlineLvl w:val="5"/>
    </w:pPr>
    <w:rPr>
      <w:rFonts w:eastAsia="" w:cs="" w:cstheme="majorBidi" w:eastAsiaTheme="majorEastAsia"/>
      <w:i/>
      <w:iCs/>
      <w:color w:val="595959" w:themeColor="text1" w:themeTint="a6"/>
    </w:rPr>
  </w:style>
  <w:style w:type="paragraph" w:styleId="7">
    <w:name w:val="Heading 7"/>
    <w:basedOn w:val="Normal"/>
    <w:next w:val="Normal"/>
    <w:link w:val="71"/>
    <w:uiPriority w:val="9"/>
    <w:semiHidden/>
    <w:unhideWhenUsed/>
    <w:qFormat/>
    <w:rsid w:val="00f36b9b"/>
    <w:pPr>
      <w:keepNext w:val="true"/>
      <w:keepLines/>
      <w:spacing w:before="40" w:after="0"/>
      <w:outlineLvl w:val="6"/>
    </w:pPr>
    <w:rPr>
      <w:rFonts w:eastAsia="" w:cs="" w:cstheme="majorBidi" w:eastAsiaTheme="majorEastAsia"/>
      <w:color w:val="595959" w:themeColor="text1" w:themeTint="a6"/>
    </w:rPr>
  </w:style>
  <w:style w:type="paragraph" w:styleId="8">
    <w:name w:val="Heading 8"/>
    <w:basedOn w:val="Normal"/>
    <w:next w:val="Normal"/>
    <w:link w:val="81"/>
    <w:uiPriority w:val="9"/>
    <w:semiHidden/>
    <w:unhideWhenUsed/>
    <w:qFormat/>
    <w:rsid w:val="00f36b9b"/>
    <w:pPr>
      <w:keepNext w:val="true"/>
      <w:keepLines/>
      <w:outlineLvl w:val="7"/>
    </w:pPr>
    <w:rPr>
      <w:rFonts w:eastAsia="" w:cs="" w:cstheme="majorBidi" w:eastAsiaTheme="majorEastAsia"/>
      <w:i/>
      <w:iCs/>
      <w:color w:val="272727" w:themeColor="text1" w:themeTint="d8"/>
    </w:rPr>
  </w:style>
  <w:style w:type="paragraph" w:styleId="9">
    <w:name w:val="Heading 9"/>
    <w:basedOn w:val="Normal"/>
    <w:next w:val="Normal"/>
    <w:link w:val="91"/>
    <w:uiPriority w:val="9"/>
    <w:semiHidden/>
    <w:unhideWhenUsed/>
    <w:qFormat/>
    <w:rsid w:val="00f36b9b"/>
    <w:pPr>
      <w:keepNext w:val="true"/>
      <w:keepLines/>
      <w:outlineLvl w:val="8"/>
    </w:pPr>
    <w:rPr>
      <w:rFonts w:eastAsia="" w:cs="" w:cstheme="majorBidi" w:eastAsiaTheme="majorEastAsia"/>
      <w:color w:val="272727" w:themeColor="text1" w:themeTint="d8"/>
    </w:rPr>
  </w:style>
  <w:style w:type="character" w:styleId="DefaultParagraphFont" w:default="1">
    <w:name w:val="Default Paragraph Font"/>
    <w:uiPriority w:val="1"/>
    <w:semiHidden/>
    <w:unhideWhenUsed/>
    <w:qFormat/>
    <w:rPr/>
  </w:style>
  <w:style w:type="character" w:styleId="11" w:customStyle="1">
    <w:name w:val="Заголовок 1 Знак"/>
    <w:basedOn w:val="DefaultParagraphFont"/>
    <w:uiPriority w:val="9"/>
    <w:qFormat/>
    <w:rsid w:val="00f36b9b"/>
    <w:rPr>
      <w:rFonts w:ascii="Calibri Light" w:hAnsi="Calibri Light" w:eastAsia="" w:cs="" w:asciiTheme="majorHAnsi" w:cstheme="majorBidi" w:eastAsiaTheme="majorEastAsia" w:hAnsiTheme="majorHAnsi"/>
      <w:color w:val="2F5496" w:themeColor="accent1" w:themeShade="bf"/>
      <w:sz w:val="40"/>
      <w:szCs w:val="40"/>
    </w:rPr>
  </w:style>
  <w:style w:type="character" w:styleId="21" w:customStyle="1">
    <w:name w:val="Заголовок 2 Знак"/>
    <w:basedOn w:val="DefaultParagraphFont"/>
    <w:uiPriority w:val="9"/>
    <w:semiHidden/>
    <w:qFormat/>
    <w:rsid w:val="00f36b9b"/>
    <w:rPr>
      <w:rFonts w:ascii="Calibri Light" w:hAnsi="Calibri Light" w:eastAsia="" w:cs="" w:asciiTheme="majorHAnsi" w:cstheme="majorBidi" w:eastAsiaTheme="majorEastAsia" w:hAnsiTheme="majorHAnsi"/>
      <w:color w:val="2F5496" w:themeColor="accent1" w:themeShade="bf"/>
      <w:sz w:val="32"/>
      <w:szCs w:val="32"/>
    </w:rPr>
  </w:style>
  <w:style w:type="character" w:styleId="31" w:customStyle="1">
    <w:name w:val="Заголовок 3 Знак"/>
    <w:basedOn w:val="DefaultParagraphFont"/>
    <w:uiPriority w:val="9"/>
    <w:semiHidden/>
    <w:qFormat/>
    <w:rsid w:val="00f36b9b"/>
    <w:rPr>
      <w:rFonts w:eastAsia="" w:cs="" w:cstheme="majorBidi" w:eastAsiaTheme="majorEastAsia"/>
      <w:color w:val="2F5496" w:themeColor="accent1" w:themeShade="bf"/>
      <w:sz w:val="28"/>
      <w:szCs w:val="28"/>
    </w:rPr>
  </w:style>
  <w:style w:type="character" w:styleId="41" w:customStyle="1">
    <w:name w:val="Заголовок 4 Знак"/>
    <w:basedOn w:val="DefaultParagraphFont"/>
    <w:uiPriority w:val="9"/>
    <w:semiHidden/>
    <w:qFormat/>
    <w:rsid w:val="00f36b9b"/>
    <w:rPr>
      <w:rFonts w:eastAsia="" w:cs="" w:cstheme="majorBidi" w:eastAsiaTheme="majorEastAsia"/>
      <w:i/>
      <w:iCs/>
      <w:color w:val="2F5496" w:themeColor="accent1" w:themeShade="bf"/>
    </w:rPr>
  </w:style>
  <w:style w:type="character" w:styleId="51" w:customStyle="1">
    <w:name w:val="Заголовок 5 Знак"/>
    <w:basedOn w:val="DefaultParagraphFont"/>
    <w:uiPriority w:val="9"/>
    <w:semiHidden/>
    <w:qFormat/>
    <w:rsid w:val="00f36b9b"/>
    <w:rPr>
      <w:rFonts w:eastAsia="" w:cs="" w:cstheme="majorBidi" w:eastAsiaTheme="majorEastAsia"/>
      <w:color w:val="2F5496" w:themeColor="accent1" w:themeShade="bf"/>
    </w:rPr>
  </w:style>
  <w:style w:type="character" w:styleId="61" w:customStyle="1">
    <w:name w:val="Заголовок 6 Знак"/>
    <w:basedOn w:val="DefaultParagraphFont"/>
    <w:uiPriority w:val="9"/>
    <w:semiHidden/>
    <w:qFormat/>
    <w:rsid w:val="00f36b9b"/>
    <w:rPr>
      <w:rFonts w:eastAsia="" w:cs="" w:cstheme="majorBidi" w:eastAsiaTheme="majorEastAsia"/>
      <w:i/>
      <w:iCs/>
      <w:color w:val="595959" w:themeColor="text1" w:themeTint="a6"/>
    </w:rPr>
  </w:style>
  <w:style w:type="character" w:styleId="71" w:customStyle="1">
    <w:name w:val="Заголовок 7 Знак"/>
    <w:basedOn w:val="DefaultParagraphFont"/>
    <w:uiPriority w:val="9"/>
    <w:semiHidden/>
    <w:qFormat/>
    <w:rsid w:val="00f36b9b"/>
    <w:rPr>
      <w:rFonts w:eastAsia="" w:cs="" w:cstheme="majorBidi" w:eastAsiaTheme="majorEastAsia"/>
      <w:color w:val="595959" w:themeColor="text1" w:themeTint="a6"/>
    </w:rPr>
  </w:style>
  <w:style w:type="character" w:styleId="81" w:customStyle="1">
    <w:name w:val="Заголовок 8 Знак"/>
    <w:basedOn w:val="DefaultParagraphFont"/>
    <w:uiPriority w:val="9"/>
    <w:semiHidden/>
    <w:qFormat/>
    <w:rsid w:val="00f36b9b"/>
    <w:rPr>
      <w:rFonts w:eastAsia="" w:cs="" w:cstheme="majorBidi" w:eastAsiaTheme="majorEastAsia"/>
      <w:i/>
      <w:iCs/>
      <w:color w:val="272727" w:themeColor="text1" w:themeTint="d8"/>
    </w:rPr>
  </w:style>
  <w:style w:type="character" w:styleId="91" w:customStyle="1">
    <w:name w:val="Заголовок 9 Знак"/>
    <w:basedOn w:val="DefaultParagraphFont"/>
    <w:uiPriority w:val="9"/>
    <w:semiHidden/>
    <w:qFormat/>
    <w:rsid w:val="00f36b9b"/>
    <w:rPr>
      <w:rFonts w:eastAsia="" w:cs="" w:cstheme="majorBidi" w:eastAsiaTheme="majorEastAsia"/>
      <w:color w:val="272727" w:themeColor="text1" w:themeTint="d8"/>
    </w:rPr>
  </w:style>
  <w:style w:type="character" w:styleId="Style5" w:customStyle="1">
    <w:name w:val="Заголовок Знак"/>
    <w:basedOn w:val="DefaultParagraphFont"/>
    <w:uiPriority w:val="10"/>
    <w:qFormat/>
    <w:rsid w:val="00f36b9b"/>
    <w:rPr>
      <w:rFonts w:ascii="Calibri Light" w:hAnsi="Calibri Light" w:eastAsia="" w:cs="" w:asciiTheme="majorHAnsi" w:cstheme="majorBidi" w:eastAsiaTheme="majorEastAsia" w:hAnsiTheme="majorHAnsi"/>
      <w:spacing w:val="-10"/>
      <w:kern w:val="2"/>
      <w:sz w:val="56"/>
      <w:szCs w:val="56"/>
    </w:rPr>
  </w:style>
  <w:style w:type="character" w:styleId="Style6" w:customStyle="1">
    <w:name w:val="Подзаголовок Знак"/>
    <w:basedOn w:val="DefaultParagraphFont"/>
    <w:uiPriority w:val="11"/>
    <w:qFormat/>
    <w:rsid w:val="00f36b9b"/>
    <w:rPr>
      <w:rFonts w:eastAsia="" w:cs="" w:cstheme="majorBidi" w:eastAsiaTheme="majorEastAsia"/>
      <w:color w:val="595959" w:themeColor="text1" w:themeTint="a6"/>
      <w:spacing w:val="15"/>
      <w:sz w:val="28"/>
      <w:szCs w:val="28"/>
    </w:rPr>
  </w:style>
  <w:style w:type="character" w:styleId="22" w:customStyle="1">
    <w:name w:val="Цитата 2 Знак"/>
    <w:basedOn w:val="DefaultParagraphFont"/>
    <w:link w:val="Quote"/>
    <w:uiPriority w:val="29"/>
    <w:qFormat/>
    <w:rsid w:val="00f36b9b"/>
    <w:rPr>
      <w:i/>
      <w:iCs/>
      <w:color w:val="404040" w:themeColor="text1" w:themeTint="bf"/>
    </w:rPr>
  </w:style>
  <w:style w:type="character" w:styleId="IntenseEmphasis">
    <w:name w:val="Intense Emphasis"/>
    <w:basedOn w:val="DefaultParagraphFont"/>
    <w:uiPriority w:val="21"/>
    <w:qFormat/>
    <w:rsid w:val="00f36b9b"/>
    <w:rPr>
      <w:i/>
      <w:iCs/>
      <w:color w:val="2F5496" w:themeColor="accent1" w:themeShade="bf"/>
    </w:rPr>
  </w:style>
  <w:style w:type="character" w:styleId="Style7" w:customStyle="1">
    <w:name w:val="Выделенная цитата Знак"/>
    <w:basedOn w:val="DefaultParagraphFont"/>
    <w:link w:val="IntenseQuote"/>
    <w:uiPriority w:val="30"/>
    <w:qFormat/>
    <w:rsid w:val="00f36b9b"/>
    <w:rPr>
      <w:i/>
      <w:iCs/>
      <w:color w:val="2F5496" w:themeColor="accent1" w:themeShade="bf"/>
    </w:rPr>
  </w:style>
  <w:style w:type="character" w:styleId="IntenseReference">
    <w:name w:val="Intense Reference"/>
    <w:basedOn w:val="DefaultParagraphFont"/>
    <w:uiPriority w:val="32"/>
    <w:qFormat/>
    <w:rsid w:val="00f36b9b"/>
    <w:rPr>
      <w:b/>
      <w:bCs/>
      <w:smallCaps/>
      <w:color w:val="2F5496" w:themeColor="accent1" w:themeShade="bf"/>
      <w:spacing w:val="5"/>
    </w:rPr>
  </w:style>
  <w:style w:type="character" w:styleId="Style8" w:customStyle="1">
    <w:name w:val="Абзац списка Знак"/>
    <w:basedOn w:val="DefaultParagraphFont"/>
    <w:link w:val="ListParagraph"/>
    <w:uiPriority w:val="34"/>
    <w:qFormat/>
    <w:rsid w:val="00690088"/>
    <w:rPr/>
  </w:style>
  <w:style w:type="character" w:styleId="Fontstyle01" w:customStyle="1">
    <w:name w:val="fontstyle01"/>
    <w:basedOn w:val="DefaultParagraphFont"/>
    <w:qFormat/>
    <w:rsid w:val="00ed1c68"/>
    <w:rPr>
      <w:rFonts w:ascii="TimesNewRoman" w:hAnsi="TimesNewRoman"/>
      <w:b w:val="false"/>
      <w:bCs w:val="false"/>
      <w:i w:val="false"/>
      <w:iCs w:val="false"/>
      <w:color w:val="000000"/>
      <w:sz w:val="24"/>
      <w:szCs w:val="24"/>
    </w:rPr>
  </w:style>
  <w:style w:type="character" w:styleId="Style9">
    <w:name w:val="Интернет-ссылка"/>
    <w:rPr>
      <w:color w:val="0000FF"/>
      <w:u w:val="single"/>
    </w:rPr>
  </w:style>
  <w:style w:type="character" w:styleId="Style10">
    <w:name w:val="Символ нумерации"/>
    <w:qFormat/>
    <w:rPr/>
  </w:style>
  <w:style w:type="paragraph" w:styleId="Style11">
    <w:name w:val="Заголовок"/>
    <w:basedOn w:val="Normal"/>
    <w:next w:val="Style12"/>
    <w:qFormat/>
    <w:pPr>
      <w:keepNext w:val="true"/>
      <w:spacing w:before="240" w:after="120"/>
    </w:pPr>
    <w:rPr>
      <w:rFonts w:ascii="Liberation Sans" w:hAnsi="Liberation Sans" w:eastAsia="Microsoft YaHei" w:cs="Arial"/>
      <w:sz w:val="28"/>
      <w:szCs w:val="28"/>
    </w:rPr>
  </w:style>
  <w:style w:type="paragraph" w:styleId="Style12">
    <w:name w:val="Body Text"/>
    <w:basedOn w:val="Normal"/>
    <w:pPr>
      <w:spacing w:lineRule="auto" w:line="276" w:before="0" w:after="140"/>
    </w:pPr>
    <w:rPr/>
  </w:style>
  <w:style w:type="paragraph" w:styleId="Style13">
    <w:name w:val="List"/>
    <w:basedOn w:val="Style12"/>
    <w:pPr/>
    <w:rPr>
      <w:rFonts w:cs="Arial"/>
    </w:rPr>
  </w:style>
  <w:style w:type="paragraph" w:styleId="Style14">
    <w:name w:val="Caption"/>
    <w:basedOn w:val="Normal"/>
    <w:qFormat/>
    <w:pPr>
      <w:suppressLineNumbers/>
      <w:spacing w:before="120" w:after="120"/>
    </w:pPr>
    <w:rPr>
      <w:rFonts w:cs="Arial"/>
      <w:i/>
      <w:iCs/>
      <w:sz w:val="24"/>
      <w:szCs w:val="24"/>
    </w:rPr>
  </w:style>
  <w:style w:type="paragraph" w:styleId="Style15">
    <w:name w:val="Указатель"/>
    <w:basedOn w:val="Normal"/>
    <w:qFormat/>
    <w:pPr>
      <w:suppressLineNumbers/>
    </w:pPr>
    <w:rPr>
      <w:rFonts w:cs="Arial"/>
      <w:lang w:val="zxx" w:eastAsia="zxx" w:bidi="zxx"/>
    </w:rPr>
  </w:style>
  <w:style w:type="paragraph" w:styleId="Style16">
    <w:name w:val="Title"/>
    <w:basedOn w:val="Normal"/>
    <w:next w:val="Normal"/>
    <w:link w:val="Style5"/>
    <w:uiPriority w:val="10"/>
    <w:qFormat/>
    <w:rsid w:val="00f36b9b"/>
    <w:pPr>
      <w:spacing w:before="0" w:after="80"/>
      <w:contextualSpacing/>
    </w:pPr>
    <w:rPr>
      <w:rFonts w:ascii="Calibri Light" w:hAnsi="Calibri Light" w:eastAsia="" w:cs="" w:asciiTheme="majorHAnsi" w:cstheme="majorBidi" w:eastAsiaTheme="majorEastAsia" w:hAnsiTheme="majorHAnsi"/>
      <w:spacing w:val="-10"/>
      <w:kern w:val="2"/>
      <w:sz w:val="56"/>
      <w:szCs w:val="56"/>
    </w:rPr>
  </w:style>
  <w:style w:type="paragraph" w:styleId="Style17">
    <w:name w:val="Subtitle"/>
    <w:basedOn w:val="Normal"/>
    <w:next w:val="Normal"/>
    <w:link w:val="Style6"/>
    <w:uiPriority w:val="11"/>
    <w:qFormat/>
    <w:rsid w:val="00f36b9b"/>
    <w:pPr/>
    <w:rPr>
      <w:rFonts w:eastAsia="" w:cs="" w:cstheme="majorBidi" w:eastAsiaTheme="majorEastAsia"/>
      <w:color w:val="595959" w:themeColor="text1" w:themeTint="a6"/>
      <w:spacing w:val="15"/>
      <w:sz w:val="28"/>
      <w:szCs w:val="28"/>
    </w:rPr>
  </w:style>
  <w:style w:type="paragraph" w:styleId="Quote">
    <w:name w:val="Quote"/>
    <w:basedOn w:val="Normal"/>
    <w:next w:val="Normal"/>
    <w:link w:val="22"/>
    <w:uiPriority w:val="29"/>
    <w:qFormat/>
    <w:rsid w:val="00f36b9b"/>
    <w:pPr>
      <w:spacing w:before="160" w:after="0"/>
      <w:jc w:val="center"/>
    </w:pPr>
    <w:rPr>
      <w:i/>
      <w:iCs/>
      <w:color w:val="404040" w:themeColor="text1" w:themeTint="bf"/>
    </w:rPr>
  </w:style>
  <w:style w:type="paragraph" w:styleId="ListParagraph">
    <w:name w:val="List Paragraph"/>
    <w:basedOn w:val="Normal"/>
    <w:link w:val="Style8"/>
    <w:uiPriority w:val="34"/>
    <w:qFormat/>
    <w:rsid w:val="00f36b9b"/>
    <w:pPr>
      <w:spacing w:before="0" w:after="0"/>
      <w:ind w:left="720" w:hanging="0"/>
      <w:contextualSpacing/>
    </w:pPr>
    <w:rPr/>
  </w:style>
  <w:style w:type="paragraph" w:styleId="IntenseQuote">
    <w:name w:val="Intense Quote"/>
    <w:basedOn w:val="Normal"/>
    <w:next w:val="Normal"/>
    <w:link w:val="Style7"/>
    <w:uiPriority w:val="30"/>
    <w:qFormat/>
    <w:rsid w:val="00f36b9b"/>
    <w:pPr>
      <w:pBdr>
        <w:top w:val="single" w:sz="4" w:space="10" w:color="2F5496"/>
        <w:bottom w:val="single" w:sz="4" w:space="10" w:color="2F5496"/>
      </w:pBdr>
      <w:spacing w:before="360" w:after="360"/>
      <w:ind w:left="864" w:right="864" w:hanging="0"/>
      <w:jc w:val="center"/>
    </w:pPr>
    <w:rPr>
      <w:i/>
      <w:iCs/>
      <w:color w:val="2F5496" w:themeColor="accent1" w:themeShade="bf"/>
    </w:rPr>
  </w:style>
  <w:style w:type="paragraph" w:styleId="Default" w:customStyle="1">
    <w:name w:val="Default"/>
    <w:qFormat/>
    <w:rsid w:val="00690088"/>
    <w:pPr>
      <w:widowControl/>
      <w:suppressAutoHyphens w:val="true"/>
      <w:bidi w:val="0"/>
      <w:spacing w:lineRule="auto" w:line="240" w:before="0" w:after="0"/>
      <w:jc w:val="left"/>
    </w:pPr>
    <w:rPr>
      <w:rFonts w:ascii="Times New Roman" w:hAnsi="Times New Roman" w:eastAsia="Calibri" w:cs="Times New Roman"/>
      <w:color w:val="000000"/>
      <w:kern w:val="0"/>
      <w:sz w:val="24"/>
      <w:szCs w:val="24"/>
      <w:lang w:val="ru-RU" w:eastAsia="en-US" w:bidi="ar-SA"/>
      <w14:ligatures w14:val="none"/>
    </w:rPr>
  </w:style>
  <w:style w:type="paragraph" w:styleId="NoSpacing">
    <w:name w:val="No Spacing"/>
    <w:qFormat/>
    <w:pPr>
      <w:widowControl/>
      <w:suppressAutoHyphens w:val="true"/>
      <w:bidi w:val="0"/>
      <w:spacing w:lineRule="auto" w:line="276" w:before="0" w:after="0"/>
      <w:jc w:val="left"/>
    </w:pPr>
    <w:rPr>
      <w:rFonts w:ascii="Calibri" w:hAnsi="Calibri" w:eastAsia="Calibri" w:cs="" w:asciiTheme="minorHAnsi" w:cstheme="minorBidi" w:eastAsiaTheme="minorHAnsi" w:hAnsiTheme="minorHAnsi"/>
      <w:color w:val="auto"/>
      <w:kern w:val="2"/>
      <w:sz w:val="22"/>
      <w:szCs w:val="22"/>
      <w:lang w:val="en-US" w:eastAsia="en-US" w:bidi="ar-SA"/>
      <w14:ligatures w14:val="standardContextual"/>
    </w:rPr>
  </w:style>
  <w:style w:type="paragraph" w:styleId="Style18">
    <w:name w:val="Содержимое таблицы"/>
    <w:basedOn w:val="Normal"/>
    <w:qFormat/>
    <w:pPr>
      <w:widowControl w:val="false"/>
      <w:suppressLineNumbers/>
    </w:pPr>
    <w:rPr/>
  </w:style>
  <w:style w:type="paragraph" w:styleId="Style19">
    <w:name w:val="Заголовок таблицы"/>
    <w:basedOn w:val="Style18"/>
    <w:qFormat/>
    <w:pPr>
      <w:suppressLineNumbers/>
      <w:jc w:val="center"/>
    </w:pPr>
    <w:rPr>
      <w:b/>
      <w:bCs/>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347</TotalTime>
  <Application>LibreOffice/7.3.3.2$Windows_X86_64 LibreOffice_project/d1d0ea68f081ee2800a922cac8f79445e4603348</Application>
  <AppVersion>15.0000</AppVersion>
  <Pages>7</Pages>
  <Words>3019</Words>
  <Characters>22708</Characters>
  <CharactersWithSpaces>25823</CharactersWithSpaces>
  <Paragraphs>141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2026-04-02T10:14:00Z</dcterms:created>
  <dc:creator>Нурдаулет Адилхан</dc:creator>
  <dc:description/>
  <dc:language>ru-RU</dc:language>
  <cp:lastModifiedBy/>
  <cp:lastPrinted>2026-06-04T09:30:38Z</cp:lastPrinted>
  <dcterms:modified xsi:type="dcterms:W3CDTF">2026-08-06T11:44:28Z</dcterms:modified>
  <cp:revision>68</cp:revision>
  <dc:subject/>
  <dc:title/>
</cp:coreProperties>
</file>

<file path=docProps/custom.xml><?xml version="1.0" encoding="utf-8"?>
<Properties xmlns="http://schemas.openxmlformats.org/officeDocument/2006/custom-properties" xmlns:vt="http://schemas.openxmlformats.org/officeDocument/2006/docPropsVTypes"/>
</file>