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E1CCE" w14:textId="77777777"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0793F3F7" w14:textId="77777777" w:rsidR="00DC5FAC" w:rsidRDefault="00DC5FAC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C0C5F5C" w14:textId="77777777" w:rsidR="0078480B" w:rsidRDefault="004352F6" w:rsidP="007848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352F6">
        <w:rPr>
          <w:rFonts w:ascii="Times New Roman" w:hAnsi="Times New Roman"/>
          <w:b/>
          <w:sz w:val="24"/>
          <w:szCs w:val="24"/>
        </w:rPr>
        <w:t>Пенсионные активы работают на будущ</w:t>
      </w:r>
      <w:r w:rsidR="0078480B">
        <w:rPr>
          <w:rFonts w:ascii="Times New Roman" w:hAnsi="Times New Roman"/>
          <w:b/>
          <w:sz w:val="24"/>
          <w:szCs w:val="24"/>
        </w:rPr>
        <w:t>ее</w:t>
      </w:r>
      <w:r w:rsidRPr="004352F6">
        <w:rPr>
          <w:rFonts w:ascii="Times New Roman" w:hAnsi="Times New Roman"/>
          <w:b/>
          <w:sz w:val="24"/>
          <w:szCs w:val="24"/>
        </w:rPr>
        <w:t xml:space="preserve">: </w:t>
      </w:r>
    </w:p>
    <w:p w14:paraId="0E46F660" w14:textId="75B00067" w:rsidR="00F36DC2" w:rsidRDefault="0078480B" w:rsidP="007848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инвестирования на 1 августа 2026 года</w:t>
      </w:r>
    </w:p>
    <w:p w14:paraId="1D81A73F" w14:textId="77777777" w:rsidR="00F36DC2" w:rsidRDefault="00F36DC2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28886DD" w14:textId="603CDD76" w:rsidR="004352F6" w:rsidRDefault="004352F6" w:rsidP="00AF40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352F6">
        <w:rPr>
          <w:rFonts w:ascii="Times New Roman" w:eastAsia="Times New Roman" w:hAnsi="Times New Roman"/>
          <w:bCs/>
          <w:sz w:val="24"/>
          <w:szCs w:val="24"/>
          <w:lang w:eastAsia="ru-RU"/>
        </w:rPr>
        <w:t>Инвестиционный доход вкладчиков формируется за счет управления пенсионными активами Национальным Банком Казахстана (НБРК) и управляющими инвестиционным портфелем (УИП).</w:t>
      </w:r>
    </w:p>
    <w:p w14:paraId="4B9918F1" w14:textId="23992439" w:rsidR="004A5BB0" w:rsidRDefault="008F19A9" w:rsidP="004A5BB0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итогам инвестиционной деятельности НБРК по управлению пенсионными активами, сформированными за счёт обязательных пенсионных взносов (ОПВ), обязательных профессиональных пенсионных взносов (ОППВ) и добровольных пенсионных взносов (ДПВ) размер начисленного инвестиционного дохода </w:t>
      </w:r>
      <w:r w:rsidR="004A5BB0">
        <w:rPr>
          <w:rFonts w:ascii="Times New Roman" w:hAnsi="Times New Roman"/>
          <w:sz w:val="24"/>
        </w:rPr>
        <w:t xml:space="preserve">за последние 12 месяцев с августа 2025 года по июль 2026 года составил порядка </w:t>
      </w:r>
      <w:r w:rsidR="004A5BB0" w:rsidRPr="0078480B">
        <w:rPr>
          <w:rFonts w:ascii="Times New Roman" w:hAnsi="Times New Roman"/>
          <w:b/>
          <w:sz w:val="24"/>
        </w:rPr>
        <w:t>1,81 трлн теңге</w:t>
      </w:r>
      <w:r w:rsidR="004A5BB0">
        <w:rPr>
          <w:rFonts w:ascii="Times New Roman" w:hAnsi="Times New Roman"/>
          <w:sz w:val="24"/>
        </w:rPr>
        <w:t>, доходность за данный период составила 7,13%.</w:t>
      </w:r>
    </w:p>
    <w:p w14:paraId="7D6B6EE5" w14:textId="450F709B" w:rsidR="004A5BB0" w:rsidRDefault="00AF40F9" w:rsidP="004A5BB0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пенсионным активам, сформированным за счёт обязательных пенсионных взносов работодателя (ОПВР), начисленный инвестиционный доход </w:t>
      </w:r>
      <w:r w:rsid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состоянию на 1 </w:t>
      </w:r>
      <w:r w:rsidR="004A5BB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августа 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2026 года </w:t>
      </w:r>
      <w:r w:rsidR="008F19A9" w:rsidRPr="008F19A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 последние 12 месяцев </w:t>
      </w:r>
      <w:r w:rsidR="007500E8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>составил</w:t>
      </w:r>
      <w:r w:rsidR="004A5B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A5BB0" w:rsidRPr="0078480B">
        <w:rPr>
          <w:rFonts w:ascii="Times New Roman" w:hAnsi="Times New Roman"/>
          <w:b/>
          <w:sz w:val="24"/>
          <w:szCs w:val="24"/>
          <w:lang w:eastAsia="ru-RU"/>
        </w:rPr>
        <w:t>153,93 млрд теңге</w:t>
      </w:r>
      <w:r w:rsidR="004A5BB0">
        <w:rPr>
          <w:rFonts w:ascii="Times New Roman" w:hAnsi="Times New Roman"/>
          <w:sz w:val="24"/>
          <w:szCs w:val="24"/>
          <w:lang w:eastAsia="ru-RU"/>
        </w:rPr>
        <w:t>, доходность за данный период составила 19,12%.</w:t>
      </w:r>
    </w:p>
    <w:p w14:paraId="4DDC6747" w14:textId="2D979E74" w:rsidR="004A5BB0" w:rsidRDefault="004A5BB0" w:rsidP="004A5BB0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Важно отметить, что доходность пенсионных активов за отдельные краткосрочные периоды времени не является показате</w:t>
      </w:r>
      <w:r w:rsidR="00E40E96">
        <w:rPr>
          <w:rFonts w:ascii="Times New Roman" w:hAnsi="Times New Roman"/>
          <w:sz w:val="24"/>
        </w:rPr>
        <w:t>лем эффективности их управления.</w:t>
      </w:r>
      <w:r>
        <w:rPr>
          <w:rFonts w:ascii="Times New Roman" w:hAnsi="Times New Roman"/>
          <w:sz w:val="24"/>
        </w:rPr>
        <w:t xml:space="preserve"> </w:t>
      </w:r>
      <w:r w:rsidR="00E40E96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бъективный анализ размера инвестиционного дохода целесообразно делать за более длительный период времени.</w:t>
      </w:r>
    </w:p>
    <w:p w14:paraId="597AC0FE" w14:textId="366C8668" w:rsidR="004352F6" w:rsidRDefault="004352F6" w:rsidP="004352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Накопленная инвестиционная доходность с момента основания накопительной пенсионной системы в 1998 году по состоянию на 1 августа </w:t>
      </w:r>
      <w:r w:rsidR="00E40E9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2026 года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нарастающим итогом составила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1 111,11%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 инфляции за весь период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1001,29%. </w:t>
      </w:r>
    </w:p>
    <w:p w14:paraId="2313EE4D" w14:textId="13245606" w:rsidR="004352F6" w:rsidRDefault="004352F6" w:rsidP="004352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1 августа 2026 г. накопленный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01.04.2014 года (после объединения пенсионных активов в ЕНПФ) чистый инвестиционный доход, заработанный НБРК, превысил </w:t>
      </w:r>
      <w:r>
        <w:rPr>
          <w:rStyle w:val="af7"/>
          <w:rFonts w:ascii="Times New Roman" w:hAnsi="Times New Roman"/>
          <w:sz w:val="24"/>
          <w:szCs w:val="24"/>
        </w:rPr>
        <w:t>14,68 трлн тенге</w:t>
      </w:r>
      <w:r>
        <w:rPr>
          <w:rFonts w:ascii="Times New Roman" w:hAnsi="Times New Roman"/>
          <w:sz w:val="24"/>
          <w:szCs w:val="24"/>
        </w:rPr>
        <w:t xml:space="preserve">. С учетом произведенных выплат его доля в общем объеме пенсионных накоплений вкладчиков (получателей) составляет </w:t>
      </w:r>
      <w:r>
        <w:rPr>
          <w:rStyle w:val="af7"/>
          <w:rFonts w:ascii="Times New Roman" w:hAnsi="Times New Roman"/>
          <w:sz w:val="24"/>
          <w:szCs w:val="24"/>
        </w:rPr>
        <w:t>41,1%</w:t>
      </w:r>
      <w:r>
        <w:rPr>
          <w:rFonts w:ascii="Times New Roman" w:hAnsi="Times New Roman"/>
          <w:sz w:val="24"/>
          <w:szCs w:val="24"/>
        </w:rPr>
        <w:t>, что свидетельствует о значимой роли инвестиционной деятельности в структуре накоплений граждан.</w:t>
      </w:r>
    </w:p>
    <w:p w14:paraId="554AB4FA" w14:textId="4EA9BE76" w:rsidR="004352F6" w:rsidRDefault="004352F6" w:rsidP="004352F6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Напомним, что в</w:t>
      </w:r>
      <w:r>
        <w:rPr>
          <w:rFonts w:ascii="Times New Roman" w:hAnsi="Times New Roman"/>
          <w:sz w:val="24"/>
          <w:szCs w:val="24"/>
          <w:lang w:val="kk-KZ"/>
        </w:rPr>
        <w:t xml:space="preserve">кладчики имеют право на перевод части пенсионных активов (в настоящее время до 50% пенсионных накоплений за счет ОПВ, ОППВ и до 100% пенсионных накоплений за счет ДПВ) в управление частным управляющим инвестиционным портфелем (УИП), соответствующим требованиям регулятора. </w:t>
      </w:r>
    </w:p>
    <w:p w14:paraId="2E0DB975" w14:textId="77777777" w:rsidR="004352F6" w:rsidRDefault="004352F6" w:rsidP="004352F6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вкладчики могут выбрать один из трех инвестиционных портфелей, в рамках которого работает УИП:</w:t>
      </w:r>
    </w:p>
    <w:p w14:paraId="5F9080CA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(12), который подходит всем вкладчикам, независимо от возраста. Минимальный уровень доходности по нему оценивается за последние 12 месяцев;</w:t>
      </w:r>
    </w:p>
    <w:p w14:paraId="45A9A391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(36), который предназначен для тех, кому до пенсии осталось не менее 3 лет. Минимальный уровень доходности оценивается по итогам 36 месяцев;</w:t>
      </w:r>
    </w:p>
    <w:p w14:paraId="17F4D7E1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(60), который рассчитан на вкладчиков с долгосрочным горизонтом (более 13 лет до пенсии). Минимальный уровень доходности определяется за период 60 месяцев.</w:t>
      </w:r>
    </w:p>
    <w:p w14:paraId="270AA34A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E270B79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Вся система инвестиционного управления и учета пенсионных активов является прозрачной: каждый вкладчик имеет возможность видеть свой инвестиционный доход в личном кабинете на сайте enpf.kz или в мобильном приложении. </w:t>
      </w:r>
    </w:p>
    <w:p w14:paraId="1AF006A3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по инвестиционному управлению пенсионными активами ЕНПФ и о финансовых инструментах, в которые размещены пенсионные активы ЕНПФ, а также о результатах инвестирования публикуется на официальном сайте ЕНПФ (</w:t>
      </w:r>
      <w:hyperlink r:id="rId7" w:history="1">
        <w:r>
          <w:rPr>
            <w:rStyle w:val="a7"/>
            <w:rFonts w:ascii="Times New Roman" w:hAnsi="Times New Roman"/>
            <w:sz w:val="24"/>
            <w:szCs w:val="24"/>
            <w:lang w:val="kk-KZ"/>
          </w:rPr>
          <w:t>www.enpf.kz</w:t>
        </w:r>
      </w:hyperlink>
      <w:r>
        <w:rPr>
          <w:rFonts w:ascii="Times New Roman" w:hAnsi="Times New Roman"/>
          <w:sz w:val="24"/>
          <w:szCs w:val="24"/>
        </w:rPr>
        <w:t xml:space="preserve">) в разделе «Статистика и аналитика/Инвестиционное управление пенсионными активами», на портале invest.enpf.kz и в информационных материалах Фонда. </w:t>
      </w:r>
    </w:p>
    <w:p w14:paraId="053B615A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0B5D" w14:textId="77777777" w:rsidR="00020C56" w:rsidRDefault="00020C56" w:rsidP="005E4B51">
      <w:pPr>
        <w:spacing w:after="0" w:line="240" w:lineRule="auto"/>
      </w:pPr>
      <w:r>
        <w:separator/>
      </w:r>
    </w:p>
  </w:endnote>
  <w:endnote w:type="continuationSeparator" w:id="0">
    <w:p w14:paraId="1F87A69C" w14:textId="77777777" w:rsidR="00020C56" w:rsidRDefault="00020C56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D428C" w14:textId="77777777" w:rsidR="00020C56" w:rsidRDefault="00020C56" w:rsidP="005E4B51">
      <w:pPr>
        <w:spacing w:after="0" w:line="240" w:lineRule="auto"/>
      </w:pPr>
      <w:r>
        <w:separator/>
      </w:r>
    </w:p>
  </w:footnote>
  <w:footnote w:type="continuationSeparator" w:id="0">
    <w:p w14:paraId="384208C8" w14:textId="77777777" w:rsidR="00020C56" w:rsidRDefault="00020C56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4A5BB0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4A5BB0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5BB0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76B91"/>
    <w:multiLevelType w:val="hybridMultilevel"/>
    <w:tmpl w:val="0668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0C56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6D65"/>
    <w:rsid w:val="001C7996"/>
    <w:rsid w:val="001C7C95"/>
    <w:rsid w:val="001D33B6"/>
    <w:rsid w:val="001D415B"/>
    <w:rsid w:val="001D6020"/>
    <w:rsid w:val="001E0745"/>
    <w:rsid w:val="001E17B7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10F"/>
    <w:rsid w:val="00226169"/>
    <w:rsid w:val="00230AD1"/>
    <w:rsid w:val="002320AC"/>
    <w:rsid w:val="0023252A"/>
    <w:rsid w:val="00232AAC"/>
    <w:rsid w:val="002346F2"/>
    <w:rsid w:val="00234B02"/>
    <w:rsid w:val="00236F45"/>
    <w:rsid w:val="00237FBB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B2B77"/>
    <w:rsid w:val="002B39A1"/>
    <w:rsid w:val="002B3AF3"/>
    <w:rsid w:val="002B49F6"/>
    <w:rsid w:val="002B575E"/>
    <w:rsid w:val="002D62A9"/>
    <w:rsid w:val="002D7EE8"/>
    <w:rsid w:val="002E0CE5"/>
    <w:rsid w:val="002E7C7B"/>
    <w:rsid w:val="002F1A10"/>
    <w:rsid w:val="002F38C1"/>
    <w:rsid w:val="00300D07"/>
    <w:rsid w:val="0030300E"/>
    <w:rsid w:val="0030377A"/>
    <w:rsid w:val="003128D6"/>
    <w:rsid w:val="0031454F"/>
    <w:rsid w:val="003149E0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666EB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52F6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5BB0"/>
    <w:rsid w:val="004A7255"/>
    <w:rsid w:val="004B1341"/>
    <w:rsid w:val="004B17BF"/>
    <w:rsid w:val="004B2E28"/>
    <w:rsid w:val="004B3D00"/>
    <w:rsid w:val="004B59D2"/>
    <w:rsid w:val="004B6036"/>
    <w:rsid w:val="004B7B34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6DA5"/>
    <w:rsid w:val="00561A18"/>
    <w:rsid w:val="00561E16"/>
    <w:rsid w:val="00571A80"/>
    <w:rsid w:val="0057486E"/>
    <w:rsid w:val="005755E3"/>
    <w:rsid w:val="00575F17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76A"/>
    <w:rsid w:val="006D0417"/>
    <w:rsid w:val="006D4B45"/>
    <w:rsid w:val="006D68BF"/>
    <w:rsid w:val="006E6E25"/>
    <w:rsid w:val="006E714C"/>
    <w:rsid w:val="006F1493"/>
    <w:rsid w:val="006F49AA"/>
    <w:rsid w:val="006F7120"/>
    <w:rsid w:val="00700812"/>
    <w:rsid w:val="00706A84"/>
    <w:rsid w:val="00713720"/>
    <w:rsid w:val="007162ED"/>
    <w:rsid w:val="00722E03"/>
    <w:rsid w:val="0073391D"/>
    <w:rsid w:val="00733DAB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480B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27D4"/>
    <w:rsid w:val="00853A3E"/>
    <w:rsid w:val="008600C0"/>
    <w:rsid w:val="008615BC"/>
    <w:rsid w:val="00862514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526CE"/>
    <w:rsid w:val="00A62A32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3639F"/>
    <w:rsid w:val="00B36C8C"/>
    <w:rsid w:val="00B50535"/>
    <w:rsid w:val="00B5093A"/>
    <w:rsid w:val="00B52200"/>
    <w:rsid w:val="00B564D4"/>
    <w:rsid w:val="00B57841"/>
    <w:rsid w:val="00B71D49"/>
    <w:rsid w:val="00B72A81"/>
    <w:rsid w:val="00B97199"/>
    <w:rsid w:val="00BA04FF"/>
    <w:rsid w:val="00BA257E"/>
    <w:rsid w:val="00BD59C7"/>
    <w:rsid w:val="00BD652F"/>
    <w:rsid w:val="00BE0A48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10147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0E96"/>
    <w:rsid w:val="00E425DC"/>
    <w:rsid w:val="00E44941"/>
    <w:rsid w:val="00E53F8D"/>
    <w:rsid w:val="00E63501"/>
    <w:rsid w:val="00E65D06"/>
    <w:rsid w:val="00E7288A"/>
    <w:rsid w:val="00E876A3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82DF9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166"/>
    <w:rsid w:val="00FD264A"/>
    <w:rsid w:val="00FD4F08"/>
    <w:rsid w:val="00FD6DEC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2</Pages>
  <Words>575</Words>
  <Characters>4075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Оспанова Гюзель Багдатовна</cp:lastModifiedBy>
  <cp:revision>2</cp:revision>
  <cp:lastPrinted>2026-08-19T06:29:00Z</cp:lastPrinted>
  <dcterms:created xsi:type="dcterms:W3CDTF">2026-08-25T05:23:00Z</dcterms:created>
  <dcterms:modified xsi:type="dcterms:W3CDTF">2026-08-25T05:23:00Z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