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ns4="http://schemas.openxmlformats.org/drawingml/2006/main" xmlns:ns6="http://schemas.openxmlformats.org/drawingml/2006/picture" xmlns:r="http://schemas.openxmlformats.org/officeDocument/2006/relationships" xmlns:w="http://schemas.openxmlformats.org/wordprocessingml/2006/main" xmlns:w14="http://schemas.microsoft.com/office/word/2010/wordml" xmlns:wp="http://schemas.openxmlformats.org/drawingml/2006/wordprocessingDrawing" xmlns:wps="http://schemas.microsoft.com/office/word/2010/wordprocessingShape">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245"/>
        </w:tabs>
        <w:spacing w:after="0" w:before="0" w:line="240" w:lineRule="auto"/>
        <w:ind w:left="5245" w:right="111" w:hanging="141.9999999999999"/>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Қосымша № ___</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245"/>
        </w:tabs>
        <w:spacing w:after="0" w:before="0" w:line="240" w:lineRule="auto"/>
        <w:ind w:left="5245" w:right="111" w:hanging="141.9999999999999"/>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Қазақстан Республикасы Еңбек және халықты әлеуметтік қорғау министрінің бұйрығына</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245"/>
        </w:tabs>
        <w:spacing w:after="0" w:before="0" w:line="240" w:lineRule="auto"/>
        <w:ind w:left="5245" w:right="111" w:hanging="141.9999999999999"/>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бастап "___" _______ 2024 жылдың № ______</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245"/>
        </w:tabs>
        <w:spacing w:after="0" w:before="0" w:line="240" w:lineRule="auto"/>
        <w:ind w:left="5245" w:right="111" w:hanging="141.9999999999999"/>
        <w:jc w:val="center"/>
        <w:rPr>
          <w:rFonts w:ascii="Times New Roman" w:cs="Times New Roman" w:eastAsia="Times New Roman" w:hAnsi="Times New Roman"/>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Ереже</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еңбек көші-қоны басқармасы туралы </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Еңбек министрлігінің Көші-қон комитетінің </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және Қазақстан Республикасының халқын әлеуметтік қорғау</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69" w:right="0" w:hanging="360"/>
        <w:jc w:val="center"/>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Жалпы ережелер</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59"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Еңбек көші-қоны басқармасы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бұдан әрі – Басқарма</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"Қазақстан Республикасы Еңбек және халықты әлеуметтік қорғау министрлігінің Көші-қон комитеті" РММ құрылымдық бөлімшесі болып табылады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бұдан әрі – Комитет</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 Басқарма өз қызметін Қазақстан Республикасының Конституциясына, "Қазақстан Республикасының Үкіметі туралы" Қазақстан Республикасының конституциялық заңына, Қазақстан Республикасының Әлеуметтік кодексіне, Қазақстан Республикасының Еңбек кодексіне, Қазақстан Республикасының Әкімшілік рәсімдік-процестік кодексіне, Қазақстан Республикасының "Мемлекеттік қызмет туралы" заңдарына сәйкес жүзеге асырады. Қазақстан Республикасы</w:t>
      </w:r>
      <w:bookmarkStart w:colFirst="0" w:colLast="0" w:name="4x5mvk1tcri" w:id="0"/>
      <w:bookmarkEnd w:id="0"/>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Қазақстан Республикасының "Сыбайлас жемқорлыққа қарсы іс-қимыл туралы", Қазақстан Республикасының "Халықтың көші-қоны туралы", Қазақстан Республикасының "Құқықтық актілер туралы", Қазақстан Республикасы Президентінің және Қазақстан Республикасы Үкіметінің актілерімен, Қазақстан Республикасының өзге де нормативтік құқықтық актілерімен, сондай-ақ осы Ереже.</w:t>
      </w:r>
    </w:p>
    <w:bookmarkStart w:colFirst="0" w:colLast="0" w:name="uqjyg9ipvvcb" w:id="1"/>
    <w:bookmarkEnd w:id="1"/>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 Басқарманың құрылымы мен штат санының лимиті Қазақстан Республикасының заңнамасына сәйкес бекітіледі.</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 Басқарманың негізгі міндеттері мен функциялары, құқықтары мен міндеттері</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
          <w:tab w:val="left" w:leader="none" w:pos="851"/>
        </w:tabs>
        <w:spacing w:after="0" w:before="0" w:line="259"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 Басқарманың негізгі міндеттері болып табылады: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59"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w:t>
        <w:tab/>
        <w:t xml:space="preserve">мемлекеттік саясатты қалыптастыруға және іске асыруға қатысу, еңбек көші-қоны саласындағы салааралық үйлестіруді және мемлекеттік басқаруды жүзеге асыру;</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 w:val="left" w:leader="none" w:pos="993"/>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еңбек көші-қоны саласындағы мемлекеттік саясаттың негізгі бағыттары бойынша ұсыныстар әзірлеу;</w:t>
      </w:r>
    </w:p>
    <w:p w:rsidR="00000000" w:rsidDel="00000000" w:rsidP="00000000" w:rsidRDefault="00000000" w:rsidRPr="00000000" w14:paraId="0000001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0"/>
          <w:tab w:val="left" w:leader="none" w:pos="709"/>
          <w:tab w:val="left" w:leader="none" w:pos="993"/>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еңбек көші-қоны саласындағы саясаттың іске асырылуына мониторингті жүзеге асыру.</w:t>
      </w:r>
    </w:p>
    <w:p w:rsidR="00000000" w:rsidDel="00000000" w:rsidP="00000000" w:rsidRDefault="00000000" w:rsidRPr="00000000" w14:paraId="0000001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0"/>
          <w:tab w:val="left" w:leader="none" w:pos="709"/>
          <w:tab w:val="left" w:leader="none" w:pos="851"/>
          <w:tab w:val="left" w:leader="none" w:pos="993"/>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Жүктелген міндеттерге сәйкес Басқарма келесі функцияларды жүзеге асырады:</w:t>
      </w:r>
    </w:p>
    <w:p w:rsidR="00000000" w:rsidDel="00000000" w:rsidP="00000000" w:rsidRDefault="00000000" w:rsidRPr="00000000" w14:paraId="0000001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 w:val="left" w:leader="none" w:pos="993"/>
          <w:tab w:val="left" w:leader="none" w:pos="1134"/>
        </w:tabs>
        <w:spacing w:after="0" w:before="0" w:line="240" w:lineRule="auto"/>
        <w:ind w:left="0" w:right="0" w:firstLine="709"/>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еңбек көші-қоны саласындағы мемлекеттік саясатты қалыптастыруға және іске асыруға қатысу;</w:t>
      </w:r>
    </w:p>
    <w:p w:rsidR="00000000" w:rsidDel="00000000" w:rsidP="00000000" w:rsidRDefault="00000000" w:rsidRPr="00000000" w14:paraId="0000001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 w:val="left" w:leader="none" w:pos="993"/>
        </w:tabs>
        <w:spacing w:after="0" w:before="0" w:line="240" w:lineRule="auto"/>
        <w:ind w:left="0" w:right="-1" w:firstLine="709"/>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еңбек көші-қоны саласындағы бағдарламаларды әзірлеу және іске асыру;</w:t>
      </w:r>
    </w:p>
    <w:p w:rsidR="00000000" w:rsidDel="00000000" w:rsidP="00000000" w:rsidRDefault="00000000" w:rsidRPr="00000000" w14:paraId="0000001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709"/>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өз құзыреті шегінде нормативтік құқықтық, құқықтық актілерді, оның ішінде есептік және есептік құжаттаманың нысандарын, еңбек көші-қоны саласындағы әдістемелік ұсынымдарды әзірлеу;</w:t>
      </w:r>
    </w:p>
    <w:p w:rsidR="00000000" w:rsidDel="00000000" w:rsidP="00000000" w:rsidRDefault="00000000" w:rsidRPr="00000000" w14:paraId="0000001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0" w:firstLine="709"/>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мүдделі мемлекеттік органдардың, облыстардың, республикалық маңызы бар қаланың, астананың жергілікті атқарушы органдарының шетелдік жұмыс күшін тартуға квотаны қалыптастыру жөніндегі ұсыныстарын қарау;</w:t>
      </w:r>
    </w:p>
    <w:p w:rsidR="00000000" w:rsidDel="00000000" w:rsidP="00000000" w:rsidRDefault="00000000" w:rsidRPr="00000000" w14:paraId="0000001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709"/>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шетелдік жұмыс күшін тартуға квотаны қалыптастыру және оны облыстар, республикалық маңызы бар қалалар, астана арасында бөлу жөнінде ұсыныстар әзірлеу және Комитет басшылығына енгізу;</w:t>
      </w:r>
    </w:p>
    <w:p w:rsidR="00000000" w:rsidDel="00000000" w:rsidP="00000000" w:rsidRDefault="00000000" w:rsidRPr="00000000" w14:paraId="0000001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0" w:firstLine="709"/>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еңбек көші-қонын реттеу және мониторингілеу саласындағы шаралар жүйесін әзірлеу;</w:t>
      </w:r>
    </w:p>
    <w:p w:rsidR="00000000" w:rsidDel="00000000" w:rsidP="00000000" w:rsidRDefault="00000000" w:rsidRPr="00000000" w14:paraId="0000001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0" w:firstLine="709"/>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шетелдік жұмысшылардың орталықтандырылған мәліметтер базасын қалыптастырады, "Шетелдік жұмыс күші" ақпараттық жүйесін құрады және қамтамасыз етеді</w:t>
      </w:r>
      <w:bookmarkStart w:colFirst="0" w:colLast="0" w:name="t34d66kmu8ui" w:id="2"/>
      <w:bookmarkEnd w:id="2"/>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олардың тиісті уәкілетті мемлекеттік органдардың ақпараттық жүйелерімен өзара іс-қимылы;</w:t>
      </w:r>
    </w:p>
    <w:p w:rsidR="00000000" w:rsidDel="00000000" w:rsidP="00000000" w:rsidRDefault="00000000" w:rsidRPr="00000000" w14:paraId="0000001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0" w:firstLine="709"/>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құзыреті шегінде шет мемлекеттердің уәкілетті органдарымен және халықаралық ұйымдармен көші-қон процестерін реттеу саласындағы ынтымақтастықты ұйымдастырады және жүзеге асырады;</w:t>
      </w:r>
    </w:p>
    <w:p w:rsidR="00000000" w:rsidDel="00000000" w:rsidP="00000000" w:rsidRDefault="00000000" w:rsidRPr="00000000" w14:paraId="0000001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0" w:firstLine="709"/>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көші-қон процестеріне қатысты мониторингті жүзеге асырады</w:t>
        <w:br w:type="textWrapping"/>
        <w:t xml:space="preserve">шетелдік жұмыс күшін тартуға;</w:t>
      </w:r>
    </w:p>
    <w:p w:rsidR="00000000" w:rsidDel="00000000" w:rsidP="00000000" w:rsidRDefault="00000000" w:rsidRPr="00000000" w14:paraId="0000001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0" w:firstLine="709"/>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еңбек көші-қоны саласында жергілікті атқарушы органдарға әдістемелік басшылықты жүзеге асырады;</w:t>
      </w:r>
    </w:p>
    <w:p w:rsidR="00000000" w:rsidDel="00000000" w:rsidP="00000000" w:rsidRDefault="00000000" w:rsidRPr="00000000" w14:paraId="0000002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0" w:firstLine="709"/>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комитеттің басшылығына шетелдік жұмыс күшін тартуға қатысты көші-қон процестерінің мониторингінің нәтижелерін ұсынады;</w:t>
      </w:r>
    </w:p>
    <w:p w:rsidR="00000000" w:rsidDel="00000000" w:rsidP="00000000" w:rsidRDefault="00000000" w:rsidRPr="00000000" w14:paraId="0000002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993"/>
          <w:tab w:val="left" w:leader="none" w:pos="1134"/>
        </w:tabs>
        <w:spacing w:after="0" w:before="0" w:line="240" w:lineRule="auto"/>
        <w:ind w:left="0" w:right="0" w:firstLine="709"/>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Қазақстан Республикасына шетелдік жұмыс күшін тартуға квота белгілеу және оны облыстар, республикалық маңызы бар қалалар, астана арасында бөлу қағидаларын әзірлеу;</w:t>
      </w:r>
    </w:p>
    <w:p w:rsidR="00000000" w:rsidDel="00000000" w:rsidP="00000000" w:rsidRDefault="00000000" w:rsidRPr="00000000" w14:paraId="0000002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134"/>
          <w:tab w:val="left" w:leader="none" w:pos="1276"/>
        </w:tabs>
        <w:spacing w:after="0" w:before="0" w:line="240" w:lineRule="auto"/>
        <w:ind w:left="0" w:right="0" w:firstLine="709"/>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жұмыс берушілерге шетелдік жұмыс күшін тартуға рұқсаттар беру немесе ұзарту, сондай-ақ корпоративішілік ауыстыруды жүзеге асыру тәртібі мен шарттарын әзірлеу;</w:t>
      </w:r>
    </w:p>
    <w:p w:rsidR="00000000" w:rsidDel="00000000" w:rsidP="00000000" w:rsidRDefault="00000000" w:rsidRPr="00000000" w14:paraId="0000002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993"/>
          <w:tab w:val="left" w:leader="none" w:pos="1134"/>
        </w:tabs>
        <w:spacing w:after="0" w:before="0" w:line="240" w:lineRule="auto"/>
        <w:ind w:left="0" w:right="0" w:firstLine="709"/>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уәкілетті мемлекеттік органдармен келісім бойынша маусымдық шетелдік қызметкерлердің еңбек қызметін жүзеге асыру үшін кәсіптердің тізбесін әзірлеу;</w:t>
      </w:r>
    </w:p>
    <w:p w:rsidR="00000000" w:rsidDel="00000000" w:rsidP="00000000" w:rsidRDefault="00000000" w:rsidRPr="00000000" w14:paraId="0000002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993"/>
          <w:tab w:val="left" w:leader="none" w:pos="1134"/>
        </w:tabs>
        <w:spacing w:after="0" w:before="0" w:line="240" w:lineRule="auto"/>
        <w:ind w:left="0" w:right="0" w:firstLine="709"/>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комиссияның құны бір миллион айлық есептік көрсеткіштен асатын жобалары бар арнайы экономикалық аймақтардың қатысушылары болып табылатын заңды тұлғаларда, сондай-ақ арнайы экономикалық аймақтардың аталған қатысушылары тартатын ұйымдарда жұмыс істейтін шетелдіктер мен азаматтығы жоқ адамдардың санаттары мен санының тізбесін айқындау қағидаларын әзірлеу. (не олардың мердігерлері) бас мердігер, мердігер, қосалқы мердігер немесе қызмет көрсетуші ретінде, арнайы экономикалық аймақтардың аумағында құрылыс-монтаждау жұмыстарын жүргізу кезеңінде және объектіні (объектілерді) пайдалануға бергеннен кейін бір жыл өткенге дейін арнайы экономикалық аймақтарды құру, олардың жұмыс істеуі және таратылуы саласындағы мемлекеттік реттеуді жүзеге асыратын орталық атқарушы органмен бірлесіп. арнайы экономикалық және индустриялық аймақтардың;</w:t>
      </w:r>
    </w:p>
    <w:p w:rsidR="00000000" w:rsidDel="00000000" w:rsidP="00000000" w:rsidRDefault="00000000" w:rsidRPr="00000000" w14:paraId="0000002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0" w:firstLine="709"/>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жер қойнауын пайдаланушылардың кадрлардағы елішілік құндылық бойынша келісімшарттық міндеттемелерді орындауына мониторингті жүзеге асыруға қатысу;</w:t>
      </w:r>
    </w:p>
    <w:p w:rsidR="00000000" w:rsidDel="00000000" w:rsidP="00000000" w:rsidRDefault="00000000" w:rsidRPr="00000000" w14:paraId="0000002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993"/>
          <w:tab w:val="left" w:leader="none" w:pos="1134"/>
        </w:tabs>
        <w:spacing w:after="0" w:before="0" w:line="240" w:lineRule="auto"/>
        <w:ind w:left="0" w:right="0" w:firstLine="709"/>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еңбекші көшіп келушіге рұқсаттар беру, ұзарту және қайтарып алу қағидаларын әзірлеу;</w:t>
      </w:r>
    </w:p>
    <w:p w:rsidR="00000000" w:rsidDel="00000000" w:rsidP="00000000" w:rsidRDefault="00000000" w:rsidRPr="00000000" w14:paraId="0000002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134"/>
          <w:tab w:val="left" w:leader="none" w:pos="1276"/>
        </w:tabs>
        <w:spacing w:after="0" w:before="0" w:line="240" w:lineRule="auto"/>
        <w:ind w:left="0" w:right="0" w:firstLine="709"/>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шетелдікке немесе азаматтығы жоқ адамға оның өз бетінше жұмысқа орналасу біліктілігінің сәйкестігі туралы анықтама беру немесе ұзарту қағидаларын, шетелдіктердің және азаматтығы жоқ адамдардың өз бетінше жұмысқа орналасуы үшін басым салалардың (экономикалық қызмет түрлерінің) және оларда сұранысқа ие кәсіптердің тізбесін әзірлеу;</w:t>
      </w:r>
    </w:p>
    <w:p w:rsidR="00000000" w:rsidDel="00000000" w:rsidP="00000000" w:rsidRDefault="00000000" w:rsidRPr="00000000" w14:paraId="0000002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360"/>
          <w:tab w:val="left" w:leader="none" w:pos="1276"/>
        </w:tabs>
        <w:spacing w:after="0" w:before="0" w:line="240" w:lineRule="auto"/>
        <w:ind w:left="0" w:right="0" w:firstLine="709"/>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мемлекеттік органдардың еңбек көші-қоны саласындағы жұмысын құзыреті шегінде үйлестіру;</w:t>
      </w:r>
    </w:p>
    <w:p w:rsidR="00000000" w:rsidDel="00000000" w:rsidP="00000000" w:rsidRDefault="00000000" w:rsidRPr="00000000" w14:paraId="0000002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0" w:firstLine="709"/>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құзыреті шегінде облыстарда, республикалық маңызы бар қалаларда және астанада көші-қон процестерін реттеудің үлгілік қағидаларын әзірлеу;</w:t>
      </w:r>
    </w:p>
    <w:p w:rsidR="00000000" w:rsidDel="00000000" w:rsidP="00000000" w:rsidRDefault="00000000" w:rsidRPr="00000000" w14:paraId="0000002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993"/>
          <w:tab w:val="left" w:leader="none" w:pos="1134"/>
        </w:tabs>
        <w:spacing w:after="0" w:before="0" w:line="240" w:lineRule="auto"/>
        <w:ind w:left="0" w:right="0" w:firstLine="709"/>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өз құзыреті шегінде ғылыми әзірлемелердің басымдықтарын қалыптастыру және айқындау, ғылыми зерттеулер жүргізуді ұйымдастыру және еңбек көші-қоны саласындағы ғылыми сүйемелдеуді үйлестіру;</w:t>
      </w:r>
    </w:p>
    <w:p w:rsidR="00000000" w:rsidDel="00000000" w:rsidP="00000000" w:rsidRDefault="00000000" w:rsidRPr="00000000" w14:paraId="0000002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993"/>
          <w:tab w:val="left" w:leader="none" w:pos="1134"/>
        </w:tabs>
        <w:spacing w:after="0" w:before="0" w:line="240" w:lineRule="auto"/>
        <w:ind w:left="0" w:right="0" w:firstLine="709"/>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құзыреті шегінде еңбек көші-қоны мәселелері бойынша халық арасында түсіндіру жұмыстарын ұйымдастыру;</w:t>
      </w:r>
    </w:p>
    <w:p w:rsidR="00000000" w:rsidDel="00000000" w:rsidP="00000000" w:rsidRDefault="00000000" w:rsidRPr="00000000" w14:paraId="0000002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993"/>
          <w:tab w:val="left" w:leader="none" w:pos="1134"/>
        </w:tabs>
        <w:spacing w:after="0" w:before="0" w:line="240" w:lineRule="auto"/>
        <w:ind w:left="0" w:right="0" w:firstLine="709"/>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құзыреті шегінде еңбек көші-қоны саласында ведомстволық статистикалық байқауды жүргізу;</w:t>
      </w:r>
    </w:p>
    <w:p w:rsidR="00000000" w:rsidDel="00000000" w:rsidP="00000000" w:rsidRDefault="00000000" w:rsidRPr="00000000" w14:paraId="0000002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993"/>
          <w:tab w:val="left" w:leader="none" w:pos="1134"/>
        </w:tabs>
        <w:spacing w:after="0" w:before="0" w:line="240" w:lineRule="auto"/>
        <w:ind w:left="0" w:right="0" w:firstLine="709"/>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еңбек көші-қоны мәселелері бойынша жеке және заңды тұлғалардың өтініштерін қарау;</w:t>
      </w:r>
    </w:p>
    <w:p w:rsidR="00000000" w:rsidDel="00000000" w:rsidP="00000000" w:rsidRDefault="00000000" w:rsidRPr="00000000" w14:paraId="0000002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993"/>
          <w:tab w:val="left" w:leader="none" w:pos="1134"/>
        </w:tabs>
        <w:spacing w:after="0" w:before="0" w:line="240" w:lineRule="auto"/>
        <w:ind w:left="0" w:right="0" w:firstLine="709"/>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құзыреті шегінде еңбек көші-қоны саласындағы мемлекеттік саясатты іске асыру бойынша қоғамдық бірлестіктермен өзара іс-қимыл жасау;</w:t>
      </w:r>
    </w:p>
    <w:p w:rsidR="00000000" w:rsidDel="00000000" w:rsidP="00000000" w:rsidRDefault="00000000" w:rsidRPr="00000000" w14:paraId="0000002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993"/>
          <w:tab w:val="left" w:leader="none" w:pos="1134"/>
        </w:tabs>
        <w:spacing w:after="0" w:before="0" w:line="240" w:lineRule="auto"/>
        <w:ind w:left="0" w:right="0" w:firstLine="709"/>
        <w:jc w:val="both"/>
        <w:rPr>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Қазақстан Республикасының еңбек көші-қоны заңнамасының сақталуына құзыреті шегінде мониторингті жүзеге асыру.</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709"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6. Басқару құқықтары:</w:t>
      </w:r>
    </w:p>
    <w:p w:rsidR="00000000" w:rsidDel="00000000" w:rsidP="00000000" w:rsidRDefault="00000000" w:rsidRPr="00000000" w14:paraId="0000003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комитет басшылығына шетелдік жұмыс күшін тарту бөлігінде көші-қон заңнамасын жетілдіру жөнінде ұсыныстар енгізу;</w:t>
      </w:r>
    </w:p>
    <w:p w:rsidR="00000000" w:rsidDel="00000000" w:rsidP="00000000" w:rsidRDefault="00000000" w:rsidRPr="00000000" w14:paraId="0000003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өз құзыреті шегінде Қазақстан Республикасы Еңбек және халықты әлеуметтік қорғау министрлігінің құрылымдық бөлімшелерінен сұрау және алу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(бұдан әрі - Министрлік),</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Комитеттің, жергілікті атқарушы органдардың, өз міндеттерін орындауға қажетті құжаттар, анықтамалар және басқа да мәліметтер;</w:t>
      </w:r>
    </w:p>
    <w:p w:rsidR="00000000" w:rsidDel="00000000" w:rsidP="00000000" w:rsidRDefault="00000000" w:rsidRPr="00000000" w14:paraId="0000003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709"/>
          <w:tab w:val="left" w:leader="none" w:pos="851"/>
          <w:tab w:val="left" w:leader="none" w:pos="993"/>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Қазақстан Республикасының заңдарында, Қазақстан Республикасы Президентінің және Қазақстан Республикасы Үкіметінің актілерінде көзделген өзге де функцияларды жүзеге асыру.</w:t>
      </w:r>
    </w:p>
    <w:p w:rsidR="00000000" w:rsidDel="00000000" w:rsidP="00000000" w:rsidRDefault="00000000" w:rsidRPr="00000000" w14:paraId="0000003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86"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Басқарманың міндеттері:</w:t>
      </w:r>
    </w:p>
    <w:p w:rsidR="00000000" w:rsidDel="00000000" w:rsidP="00000000" w:rsidRDefault="00000000" w:rsidRPr="00000000" w14:paraId="00000035">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басқарма құзыретіне кіретін мәселелерді талқылау бойынша жұмыс топтарының жұмысына қатысу;</w:t>
      </w:r>
    </w:p>
    <w:p w:rsidR="00000000" w:rsidDel="00000000" w:rsidP="00000000" w:rsidRDefault="00000000" w:rsidRPr="00000000" w14:paraId="00000036">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кіретін мәселелер бойынша түсініктемелер мен ұсыныстар беру </w:t>
        <w:br w:type="textWrapping"/>
        <w:t xml:space="preserve">басқарманың құзыретіне;</w:t>
      </w:r>
    </w:p>
    <w:p w:rsidR="00000000" w:rsidDel="00000000" w:rsidP="00000000" w:rsidRDefault="00000000" w:rsidRPr="00000000" w14:paraId="00000037">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басқарма құзыретіне кіретін жеке және заңды тұлғалардың өтініштерін белгіленген мерзімде уақытылы қарауды қамтамасыз ету; </w:t>
      </w:r>
    </w:p>
    <w:p w:rsidR="00000000" w:rsidDel="00000000" w:rsidP="00000000" w:rsidRDefault="00000000" w:rsidRPr="00000000" w14:paraId="00000038">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өз құзыреті шегінде уақтылы қамтамасыз етуді қамтамасыз ету </w:t>
        <w:br w:type="textWrapping"/>
        <w:t xml:space="preserve">мемлекет басшысының, Қазақстан Республикасы Президенті Әкімшілігінің және Қазақстан Республикасы Үкіметінің, Министрлік пен Комитет басшылығының тапсырмаларын, сондай-ақ Қазақстан Республикасы Үкіметінің заң жобалау жұмыстарының тиісті жылдарға арналған жоспарларын сапалы орындау және сапалы орындау;</w:t>
      </w:r>
    </w:p>
    <w:p w:rsidR="00000000" w:rsidDel="00000000" w:rsidP="00000000" w:rsidRDefault="00000000" w:rsidRPr="00000000" w14:paraId="00000039">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720"/>
          <w:tab w:val="left" w:leader="none" w:pos="993"/>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басқарма құзыретіне кіретін құжаттардың сапалы және уақытылы дайындалуын ұйымдастырады; </w:t>
      </w:r>
    </w:p>
    <w:p w:rsidR="00000000" w:rsidDel="00000000" w:rsidP="00000000" w:rsidRDefault="00000000" w:rsidRPr="00000000" w14:paraId="0000003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993"/>
        </w:tabs>
        <w:spacing w:after="0" w:before="0" w:line="259"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өз құзыреті шегінде мемлекеттік және өзге де заңмен қорғалатын құпияны құрайтын мәліметтерді қорғауды қамтамасыз ету;</w:t>
      </w:r>
    </w:p>
    <w:p w:rsidR="00000000" w:rsidDel="00000000" w:rsidP="00000000" w:rsidRDefault="00000000" w:rsidRPr="00000000" w14:paraId="0000003B">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жеке және заңды тұлғалардың құқықтары мен бостандықтарын, заңмен қорғалатын мүдделерін бұзбай, Қазақстан Республикасының заңнамасын сақтау.</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51"/>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3. Басқарманың қызметін ұйымдастыру</w:t>
      </w:r>
      <w:r w:rsidDel="00000000" w:rsidR="00000000" w:rsidRPr="00000000">
        <w:rPr>
          <w:rtl w:val="0"/>
        </w:rPr>
      </w:r>
    </w:p>
    <w:p w:rsidR="00000000" w:rsidDel="00000000" w:rsidP="00000000" w:rsidRDefault="00000000" w:rsidRPr="00000000" w14:paraId="0000003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0"/>
          <w:tab w:val="left" w:leader="none" w:pos="709"/>
          <w:tab w:val="left" w:leader="none" w:pos="993"/>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Басқарманы лауазымға тағайындалатын және лауазымнан босатылатын басқарма басшысы (бұдан әрі – Басшы) басқарады </w:t>
        <w:br w:type="textWrapping"/>
        <w:t xml:space="preserve">Қазақстан Республикасының заңнамасында белгіленген тәртіппен.</w:t>
      </w:r>
    </w:p>
    <w:p w:rsidR="00000000" w:rsidDel="00000000" w:rsidP="00000000" w:rsidRDefault="00000000" w:rsidRPr="00000000" w14:paraId="0000004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0"/>
          <w:tab w:val="left" w:leader="none" w:pos="709"/>
          <w:tab w:val="left" w:leader="none" w:pos="993"/>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Басқарма басшысы Басқарма жұмысын ұйымдастырады және оған басшылық жасайды және Басқармаға жүктелген міндеттер мен функциялардың орындалуына дербес жауапты болады</w:t>
      </w:r>
      <w:r w:rsidDel="00000000" w:rsidR="00000000" w:rsidRPr="00000000">
        <w:rPr>
          <w:rFonts w:ascii="Times New Roman" w:cs="Times New Roman" w:eastAsia="Times New Roman" w:hAnsi="Times New Roman"/>
          <w:b w:val="0"/>
          <w:bCs w:val="0"/>
          <w:i w:val="0"/>
          <w:iCs w:val="0"/>
          <w:smallCaps w:val="0"/>
          <w:strike w:val="0"/>
          <w:color w:val="ff0000"/>
          <w:sz w:val="28"/>
          <w:szCs w:val="2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10. Басқарма басшысы:</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шетелдік жұмыс күшін тарту бөлігінде еңбек көші-қоны саласындағы мемлекеттік саясатты қалыптастыруға және өз құзыреті шегінде іске асыруға қатысады;</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 комитет басшылығына Басқарма жұмысын жетілдіру жөнінде ұсыныстар енгізеді;</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6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 өз құзыреті шеңберінде Комитет қызметкерлерімен байланысты жүзеге асырады;</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 басқарма құзыреті шегінде құжаттарға бұрыштама қояды;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5) басқарма қызметкерлеріне тапсырмалар береді;</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6) басқарма қызметкерлерінің лауазымдық міндеттерін, Қазақстан Республикасы заңнамасының талаптарын, еңбек тәртібін және Комитеттің ішкі құқықтық құжаттарын орындауын бақылайды;</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7) еңбек тәртібін бұзушылықтар анықталған жағдайда, сондай-ақ Басқарма қызметкерлерінің лауазымдық міндеттерін орындамағаны немесе тиісінше орындамағаны үшін Комитет басшылығына хабарлайды; </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8) лауазымдық міндеттерін тиісінше орындамағаны үшін Басқарма қызметкерлерінен түсініктеме талап етеді;</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9) басқарманың жұмысын жоспарлайды;</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10) комитет Төрағасына жазбаша ұсыныс дайындайды және Басқарма қызметкерлеріне сыйақы беру туралы ұсыныс енгізеді;</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11) сыбайлас жемқорлыққа қарсы іс-қимылға бағытталған шараларды қабылдайды </w:t>
        <w:br w:type="textWrapping"/>
        <w:t xml:space="preserve">басқармада;</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12) комитет басшылығы жүктеген өзге де функцияларды жүзеге асырады;</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13) мыналарға жауапты болады:</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 министрліктің ақпараттық қауіпсіздік жөніндегі техникалық құжаттамасының талаптарын орындамау</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өз лауазымдық міндеттерін уақтылы, сапасыз және тиісінше орындамау;</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оның алдына қойылған міндеттер мен функцияларды ұйымдастыру және орындау;</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Қазақстан Республикасы мемлекеттік қызметшілерінің Әдеп кодексін сақтамау;</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сыбайлас жемқорлыққа қарсы заңнаманы, еңбек және атқарушылық тәртіпті, оның ішінде Басқарма қызметкерлерінің сақтамауы; </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1e1e1e"/>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Қазақстан Республикасы заңнамасының басқа да талаптарын бұзу.</w:t>
      </w: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mc:AlternateContent>
          <mc:Choice Requires="wps">
            <w:drawing>
              <wp:anchor allowOverlap="1" behindDoc="0" distB="0" distT="0" distL="0" distR="0" hidden="0" layoutInCell="1" locked="0" relativeHeight="0" simplePos="0">
                <wp:simplePos x="0" y="0"/>
                <wp:positionH relativeFrom="column">
                  <wp:posOffset>1172845</wp:posOffset>
                </wp:positionH>
                <wp:positionV relativeFrom="paragraph">
                  <wp:posOffset>184150</wp:posOffset>
                </wp:positionV>
                <wp:extent cx="4447540" cy="1270"/>
                <wp:wrapTopAndBottom distB="0" distT="0"/>
                <wp:docPr id="1" name=""/>
                <ns4:graphic>
                  <ns4:graphicData uri="http://schemas.microsoft.com/office/word/2010/wordprocessingShape">
                    <wps:wsp>
                      <wps:cNvSpPr>
                        <ns4:spLocks/>
                      </wps:cNvSpPr>
                      <wps:cNvPr id="2" name="Freeform 2"/>
                      <wps:spPr bwMode="auto">
                        <ns4:xfrm>
                          <ns4:off x="0" y="0"/>
                          <ns4:ext cx="4447540" cy="1270"/>
                        </ns4:xfrm>
                        <ns4:custGeom>
                          <ns4:avLst/>
                          <ns4:gdLst>
                            <ns4:gd fmla="+- 0 2981 2981" name="T0"/>
                            <ns4:gd fmla="*/ T0 w 7004" name="T1"/>
                            <ns4:gd fmla="+- 0 9984 2981" name="T2"/>
                            <ns4:gd fmla="*/ T2 w 7004" name="T3"/>
                          </ns4:gdLst>
                          <ns4:ahLst/>
                          <ns4:cxnLst>
                            <ns4:cxn ang="0">
                              <ns4:pos x="T1" y="0"/>
                            </ns4:cxn>
                            <ns4:cxn ang="0">
                              <ns4:pos x="T3" y="0"/>
                            </ns4:cxn>
                          </ns4:cxnLst>
                          <ns4:rect b="b" l="0" r="r" t="0"/>
                          <ns4:pathLst>
                            <ns4:path h="0" w="7004">
                              <ns4:moveTo>
                                <ns4:pt x="0" y="0"/>
                              </ns4:moveTo>
                              <ns4:lnTo>
                                <ns4:pt x="7003" y="0"/>
                              </ns4:lnTo>
                            </ns4:path>
                          </ns4:pathLst>
                        </ns4:custGeom>
                        <ns4:noFill/>
                        <ns4:ln w="12192">
                          <ns4:solidFill>
                            <ns4:srgbClr val="000000"/>
                          </ns4:solidFill>
                          <ns4:prstDash val="solid"/>
                          <ns4:round/>
                          <ns4:headEnd/>
                          <ns4:tailEnd/>
                        </ns4:ln>
                        <ns4:extLst>
                          <ns4:ext uri="{909E8E84-426E-40DD-AFC4-6F175D3DCCD1}"/>
                        </ns4:extLst>
                      </wps:spPr>
                      <wps:bodyPr anchorCtr="0" anchor="t" bIns="45720" lIns="91440" rIns="91440" rot="0" upright="1" vert="horz" wrap="square" tIns="45720">
                        <ns4:noAutofit/>
                      </wps:bodyPr>
                    </wps:wsp>
                  </ns4:graphicData>
                </ns4:graphic>
              </wp:anchor>
            </w:drawing>
          </mc:Choice>
          <mc:Fallback>
            <w:drawing>
              <wp:anchor allowOverlap="1" behindDoc="0" distB="0" distT="0" distL="0" distR="0" hidden="0" layoutInCell="1" locked="0" relativeHeight="0" simplePos="0">
                <wp:simplePos x="0" y="0"/>
                <wp:positionH relativeFrom="column">
                  <wp:posOffset>1172845</wp:posOffset>
                </wp:positionH>
                <wp:positionV relativeFrom="paragraph">
                  <wp:posOffset>184150</wp:posOffset>
                </wp:positionV>
                <wp:extent cx="4447540" cy="1270"/>
                <wp:effectExtent b="0" l="0" r="0" t="0"/>
                <wp:wrapTopAndBottom distB="0" distT="0"/>
                <wp:docPr id="1" name="image1.png"/>
                <ns4:graphic>
                  <ns4:graphicData uri="http://schemas.openxmlformats.org/drawingml/2006/picture">
                    <ns6:pic>
                      <ns6:nvPicPr>
                        <ns6:cNvPr id="0" name="image1.png"/>
                        <ns6:cNvPicPr preferRelativeResize="0"/>
                      </ns6:nvPicPr>
                      <ns6:blipFill>
                        <ns4:blip r:embed="rId6"/>
                        <ns4:srcRect b="0" l="0" r="0" t="0"/>
                        <ns4:stretch>
                          <ns4:fillRect/>
                        </ns4:stretch>
                      </ns6:blipFill>
                      <ns6:spPr>
                        <ns4:xfrm>
                          <ns4:off x="0" y="0"/>
                          <ns4:ext cx="4447540" cy="1270"/>
                        </ns4:xfrm>
                        <ns4:prstGeom prst="rect"/>
                        <ns4:ln/>
                      </ns6:spPr>
                    </ns6:pic>
                  </ns4:graphicData>
                </ns4:graphic>
              </wp:anchor>
            </w:drawing>
          </mc:Fallback>
        </mc:AlternateConten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245"/>
        </w:tabs>
        <w:spacing w:after="0" w:before="0" w:line="240" w:lineRule="auto"/>
        <w:ind w:left="426"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Еңбек көші-қоны басқармасының қызметкерлерін Қазақстан Республикасы Еңбек және халықты әлеуметтік қорғау министрлігінің Көші-қон комитетінің Еңбек көші-қоны басқармасы туралы ережемен таныстыру парағы, Қазақстан Республикасы Еңбек және халықты әлеуметтік қорғау министрлігінің Көші-қон комитетінің № __ бұйрығымен бекітілген. ___. ______ .2024 жылғы.</w:t>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bl>
      <w:tblPr>
        <w:tblStyle w:val="Table1"/>
        <w:tblW w:w="1042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4"/>
        <w:gridCol w:w="6095"/>
        <w:gridCol w:w="1701"/>
        <w:gridCol w:w="2091"/>
        <w:tblGridChange w:id="0">
          <w:tblGrid>
            <w:gridCol w:w="534"/>
            <w:gridCol w:w="6095"/>
            <w:gridCol w:w="1701"/>
            <w:gridCol w:w="2091"/>
          </w:tblGrid>
        </w:tblGridChange>
      </w:tblGrid>
      <w:tr>
        <w:trPr>
          <w:cantSplit w:val="0"/>
          <w:tblHeader w:val="0"/>
        </w:trPr>
        <w:tc>
          <w:tcPr>
            <w:vAlign w:val="top"/>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w:t>
            </w:r>
            <w:r w:rsidDel="00000000" w:rsidR="00000000" w:rsidRPr="00000000">
              <w:rPr>
                <w:rtl w:val="0"/>
              </w:rPr>
            </w:r>
          </w:p>
        </w:tc>
        <w:tc>
          <w:tcPr>
            <w:vAlign w:val="top"/>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Қызметкердің Т.А.Ә.</w:t>
            </w:r>
            <w:r w:rsidDel="00000000" w:rsidR="00000000" w:rsidRPr="00000000">
              <w:rPr>
                <w:rtl w:val="0"/>
              </w:rPr>
            </w:r>
          </w:p>
        </w:tc>
        <w:tc>
          <w:tcPr>
            <w:vAlign w:val="top"/>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Қолы</w:t>
            </w:r>
            <w:r w:rsidDel="00000000" w:rsidR="00000000" w:rsidRPr="00000000">
              <w:rPr>
                <w:rtl w:val="0"/>
              </w:rPr>
            </w:r>
          </w:p>
        </w:tc>
        <w:tc>
          <w:tcPr>
            <w:vAlign w:val="top"/>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Танысу күні</w:t>
            </w:r>
            <w:r w:rsidDel="00000000" w:rsidR="00000000" w:rsidRPr="00000000">
              <w:rPr>
                <w:rtl w:val="0"/>
              </w:rPr>
            </w:r>
          </w:p>
        </w:tc>
      </w:tr>
      <w:tr>
        <w:trPr>
          <w:cantSplit w:val="0"/>
          <w:tblHeader w:val="0"/>
        </w:trPr>
        <w:tc>
          <w:tcPr>
            <w:vAlign w:val="top"/>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sectPr>
      <w:headerReference r:id="rId7" w:type="default"/>
      <w:pgSz w:h="16838" w:w="11906" w:orient="portrait"/>
      <w:pgMar w:bottom="567" w:top="567" w:left="1134" w:right="567"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069" w:hanging="36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2">
    <w:lvl w:ilvl="0">
      <w:start w:val="2"/>
      <w:numFmt w:val="decimal"/>
      <w:lvlText w:val="%1)"/>
      <w:lvlJc w:val="left"/>
      <w:pPr>
        <w:ind w:left="1069" w:hanging="36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3">
    <w:lvl w:ilvl="0">
      <w:start w:val="5"/>
      <w:numFmt w:val="decimal"/>
      <w:lvlText w:val="%1."/>
      <w:lvlJc w:val="left"/>
      <w:pPr>
        <w:ind w:left="6031" w:hanging="36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4">
    <w:lvl w:ilvl="0">
      <w:start w:val="7"/>
      <w:numFmt w:val="decimal"/>
      <w:lvlText w:val="%1."/>
      <w:lvlJc w:val="left"/>
      <w:pPr>
        <w:ind w:left="786" w:hanging="360.00000000000006"/>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5">
    <w:lvl w:ilvl="0">
      <w:start w:val="1"/>
      <w:numFmt w:val="decimal"/>
      <w:lvlText w:val="%1)"/>
      <w:lvlJc w:val="left"/>
      <w:pPr>
        <w:ind w:left="5747" w:hanging="360"/>
      </w:pPr>
      <w:rPr>
        <w:rFonts w:ascii="Times New Roman" w:cs="Times New Roman" w:eastAsia="Times New Roman" w:hAnsi="Times New Roman"/>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lvl w:ilvl="0">
      <w:start w:val="1"/>
      <w:numFmt w:val="decimal"/>
      <w:lvlText w:val="%1)"/>
      <w:lvlJc w:val="left"/>
      <w:pPr>
        <w:ind w:left="10425" w:hanging="36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7">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eastAsia="Calibri" w:hAnsi="Calibri"/>
        <w:lang w:val="r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