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A6D" w:rsidRPr="00315A6D" w:rsidRDefault="00AB43D1" w:rsidP="00315A6D">
      <w:pPr>
        <w:widowControl w:val="0"/>
        <w:spacing w:line="240" w:lineRule="auto"/>
        <w:jc w:val="right"/>
        <w:rPr>
          <w:rFonts w:cs="Times New Roman"/>
          <w:sz w:val="24"/>
          <w:szCs w:val="24"/>
          <w:lang w:val="ru-RU"/>
        </w:rPr>
      </w:pPr>
      <w:r w:rsidRPr="00315A6D">
        <w:rPr>
          <w:rFonts w:cs="Times New Roman"/>
          <w:sz w:val="24"/>
          <w:szCs w:val="24"/>
          <w:lang w:val="ru-RU"/>
        </w:rPr>
        <w:t>1-қосымша</w:t>
      </w:r>
    </w:p>
    <w:p w:rsidR="00315A6D" w:rsidRPr="00315A6D" w:rsidRDefault="00AB43D1" w:rsidP="00315A6D">
      <w:pPr>
        <w:widowControl w:val="0"/>
        <w:spacing w:line="240" w:lineRule="auto"/>
        <w:jc w:val="right"/>
        <w:rPr>
          <w:rFonts w:cs="Times New Roman"/>
          <w:sz w:val="24"/>
          <w:szCs w:val="24"/>
          <w:lang w:val="ru-RU"/>
        </w:rPr>
      </w:pPr>
      <w:r w:rsidRPr="00315A6D">
        <w:rPr>
          <w:rFonts w:cs="Times New Roman"/>
          <w:sz w:val="24"/>
          <w:szCs w:val="24"/>
          <w:lang w:val="ru-RU"/>
        </w:rPr>
        <w:t>Ішкі сыбайлас жемқорлық тәуекелдерін</w:t>
      </w:r>
    </w:p>
    <w:p w:rsidR="00426444" w:rsidRPr="00315A6D" w:rsidRDefault="00AB43D1" w:rsidP="00315A6D">
      <w:pPr>
        <w:widowControl w:val="0"/>
        <w:spacing w:line="240" w:lineRule="auto"/>
        <w:jc w:val="right"/>
        <w:rPr>
          <w:rFonts w:cs="Times New Roman"/>
          <w:sz w:val="24"/>
          <w:szCs w:val="24"/>
          <w:lang w:val="ru-RU"/>
        </w:rPr>
      </w:pPr>
      <w:r w:rsidRPr="00315A6D">
        <w:rPr>
          <w:rFonts w:cs="Times New Roman"/>
          <w:sz w:val="24"/>
          <w:szCs w:val="24"/>
          <w:lang w:val="ru-RU"/>
        </w:rPr>
        <w:t>талдау жүргізудің үлгілік қағидаларына</w:t>
      </w:r>
    </w:p>
    <w:p w:rsidR="00315A6D" w:rsidRPr="00315A6D" w:rsidRDefault="00315A6D" w:rsidP="00315A6D">
      <w:pPr>
        <w:pStyle w:val="GovTitle"/>
        <w:keepNext w:val="0"/>
        <w:widowControl w:val="0"/>
        <w:spacing w:after="0" w:line="240" w:lineRule="auto"/>
        <w:jc w:val="center"/>
        <w:rPr>
          <w:rFonts w:cs="Times New Roman"/>
          <w:szCs w:val="24"/>
          <w:lang w:val="ru-RU"/>
        </w:rPr>
      </w:pPr>
    </w:p>
    <w:p w:rsidR="00315A6D" w:rsidRPr="00315A6D" w:rsidRDefault="00AB43D1" w:rsidP="00315A6D">
      <w:pPr>
        <w:pStyle w:val="GovTitle"/>
        <w:keepNext w:val="0"/>
        <w:widowControl w:val="0"/>
        <w:spacing w:after="0" w:line="240" w:lineRule="auto"/>
        <w:jc w:val="center"/>
        <w:rPr>
          <w:rFonts w:cs="Times New Roman"/>
          <w:szCs w:val="24"/>
          <w:lang w:val="ru-RU"/>
        </w:rPr>
      </w:pPr>
      <w:r w:rsidRPr="00315A6D">
        <w:rPr>
          <w:rFonts w:cs="Times New Roman"/>
          <w:szCs w:val="24"/>
          <w:lang w:val="ru-RU"/>
        </w:rPr>
        <w:t>ІШКІ СЫБАЙЛАС ЖЕМҚОРЛЫҚ ТӘУЕКЕЛДЕРІН ТАЛДАУ НӘТИЖЕЛЕРІ БОЙЫНША</w:t>
      </w:r>
    </w:p>
    <w:p w:rsidR="00426444" w:rsidRPr="00315A6D" w:rsidRDefault="00AB43D1" w:rsidP="00315A6D">
      <w:pPr>
        <w:pStyle w:val="GovTitle"/>
        <w:keepNext w:val="0"/>
        <w:widowControl w:val="0"/>
        <w:spacing w:after="0" w:line="240" w:lineRule="auto"/>
        <w:jc w:val="center"/>
        <w:rPr>
          <w:rFonts w:cs="Times New Roman"/>
          <w:szCs w:val="24"/>
          <w:lang w:val="ru-RU"/>
        </w:rPr>
      </w:pPr>
      <w:r w:rsidRPr="00315A6D">
        <w:rPr>
          <w:rFonts w:cs="Times New Roman"/>
          <w:szCs w:val="24"/>
          <w:lang w:val="ru-RU"/>
        </w:rPr>
        <w:t>АЙҚЫНДАЛҒАН СЫБАЙЛАС ЖЕМҚОРЛЫҚ ТӘУЕКЕЛДЕРІНЕ ҰШЫРАҒАН ЛАУАЗЫМДАР ТІЗБЕСІ</w:t>
      </w:r>
    </w:p>
    <w:p w:rsidR="00315A6D" w:rsidRPr="00315A6D" w:rsidRDefault="00315A6D" w:rsidP="00315A6D">
      <w:pPr>
        <w:pStyle w:val="GovTitle"/>
        <w:keepNext w:val="0"/>
        <w:widowControl w:val="0"/>
        <w:spacing w:after="0" w:line="240" w:lineRule="auto"/>
        <w:jc w:val="center"/>
        <w:rPr>
          <w:rFonts w:cs="Times New Roman"/>
          <w:szCs w:val="24"/>
          <w:lang w:val="ru-RU"/>
        </w:rPr>
      </w:pPr>
    </w:p>
    <w:p w:rsidR="00426444" w:rsidRPr="00315A6D" w:rsidRDefault="00315A6D" w:rsidP="00315A6D">
      <w:pPr>
        <w:widowControl w:val="0"/>
        <w:spacing w:line="240" w:lineRule="auto"/>
        <w:jc w:val="both"/>
        <w:rPr>
          <w:rFonts w:cs="Times New Roman"/>
          <w:sz w:val="24"/>
          <w:szCs w:val="24"/>
          <w:lang w:val="ru-RU"/>
        </w:rPr>
      </w:pPr>
      <w:r w:rsidRPr="00315A6D">
        <w:rPr>
          <w:rFonts w:cs="Times New Roman"/>
          <w:b/>
          <w:sz w:val="24"/>
          <w:szCs w:val="24"/>
          <w:lang w:val="ru-RU"/>
        </w:rPr>
        <w:tab/>
        <w:t>Ішкі сыбайлас жемқорлық тәуекелдерін талдау объектісінің атауы: «Астана қаласының Инвестициялар және кәсіпкерлікті дамыту басқармасы» мемлекеттік мекемесі</w:t>
      </w:r>
      <w:r w:rsidR="00AB43D1" w:rsidRPr="00315A6D">
        <w:rPr>
          <w:rFonts w:cs="Times New Roman"/>
          <w:b/>
          <w:sz w:val="24"/>
          <w:szCs w:val="24"/>
          <w:lang w:val="ru-RU"/>
        </w:rPr>
      </w:r>
      <w:r w:rsidR="00AB43D1" w:rsidRPr="00315A6D">
        <w:rPr>
          <w:rFonts w:cs="Times New Roman"/>
          <w:sz w:val="24"/>
          <w:szCs w:val="24"/>
          <w:lang w:val="ru-RU"/>
        </w:rPr>
      </w:r>
    </w:p>
    <w:p w:rsidR="00315A6D" w:rsidRPr="00315A6D" w:rsidRDefault="00315A6D" w:rsidP="00315A6D">
      <w:pPr>
        <w:widowControl w:val="0"/>
        <w:spacing w:line="240" w:lineRule="auto"/>
        <w:jc w:val="both"/>
        <w:rPr>
          <w:rFonts w:cs="Times New Roman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27"/>
        <w:gridCol w:w="6238"/>
        <w:gridCol w:w="6096"/>
        <w:gridCol w:w="1613"/>
      </w:tblGrid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Сыбайлас жемқорлық тәуекеліне ұшыраған лауазым</w:t>
            </w:r>
            <w:r w:rsidR="00315A6D" w:rsidRPr="00315A6D">
              <w:rPr>
                <w:rFonts w:cs="Times New Roman"/>
                <w:b/>
                <w:sz w:val="24"/>
                <w:szCs w:val="24"/>
                <w:lang w:val="ru-RU"/>
              </w:rPr>
            </w: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15A6D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Сыбайлас жемқорлық тәуекелдерін қамтитын лауазымдық өкілеттіктер</w:t>
            </w:r>
          </w:p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Сыбайлас жемқорлық тәуекелдері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315A6D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Сыбайлас жемқорлық тәуекелдерінің деңгейі</w:t>
            </w:r>
          </w:p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Корпоративтік басқару және жиынтық-талдау бөлімінің басшысы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Бөлімге жалпы басшылық ету; ведомстволық бағынысты ұйымдарды корпоративтік басқару; кадрлық және құқықтық жұмыс; нормативтік құқықтық актілер жобаларын келісу; құжаттарға құқықтық сараптама жүргізу; құжат айналымын бақылау; құзыреті шегінде қол қою құқығы.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Кадрлық және корпоративтік шешімдер қабылдау кезіндегі субъективтілік тәуекелі; мүдделер қақтығысы тәуекелі; құқықтық сараптамаға және басшылықтың қол қоюына енгізілетін құжаттарды дайындауға объективті емес ықпал ету тәуекелі; функцияларды жеткіліксіз ажырату және құжаттандыру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Арнайы экономикалық аймақты (АЭА) дамыту, өнеркәсіп және экспортты ілгерілету бөлімінің басшысы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Бөлімге жалпы басшылық ету; АЭА-ны дамыту жөніндегі мемлекеттік саясатты іске асыру; инфрақұрылымдық мәселелерді үйлестіру; инвестициялық жобалар бойынша материалдарды дайындау және қарау; АЭА, өнеркәсіп және экспорттың дамуына мониторинг жүргізу; бюджет қаражатының игерілуіне жәрдемдесу.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Жобалар мен материалдардың басымдығын объективті емес айқындау тәуекелі; кәсіпкерлік субъектілеріне және инвестициялық процестерге қатысушыларға тең емес тәсіл қолдану тәуекелі; инфрақұрылымдық және өзге жобаларды сүйемелдеу кезінде мүдделер қақтығысы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Қаржылық қамтамасыз ету және мемлекеттік сатып алу бөлімінің басшысы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Бюджеттік өтінімдер мен бағдарламаларды қалыптастыру; қаржыландыруды жоспарлау; мемлекеттік сатып алуды ұйымдастыру және өткізу; шарттар жасасу және олардың орындалуын бақылау; төлемдер жүргізу; бухгалтерлік есеп; активтерді түгендеу және есептен шығару; қаржылық құжаттарға қол қою құқығы.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Бәсекелестікті шектеу және сатып алу талаптарын объективті емес айқындау тәуекелі; жекелеген өнім берушілерге артықшылық беру тәуекелі; сатып алу тәсілін негізсіз таңдау тәуекелі; тиісті емес қабылдау, ақы төлеу немесе шарттық санкцияларды қолдану тәуекелі; бюджет қаражатын мақсатсыз не тиімсіз пайдалану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Сауда және қызмет көрсету саласын дамыту бөлімінің басшысы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Бөлімге жалпы басшылық ету; сауда объектілеріне, базарларға және қызмет көрсету саласына мониторинг жүргізу; сауданы дамыту жөніндегі ұсыныстарды дайындау; өтініштерді қарау; стационарлық емес сауда объектілерін орналастыру орындары мен маршруттарын айқындау жөніндегі ұсыныстарды дайындау; құзыреті шегінде қол қою құқығы.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Сауда субъектілеріне қатысты іріктемелі немесе біркелкі емес тәсіл қолдану тәуекелі; сауда объектілерінің орналасуына және қызметіне ықпал ететін ұсыныстарды дайындау кезіндегі субъективтілік тәуекелі; кәсіпкерлермен өзара іс-қимыл кезінде мүдделер қақтығысы және бейресми ықпал ету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Кәсіпкерлікті дамыту бөлімінің басшысы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Бөлімге жалпы басшылық ету; кәсіпкерлікті мемлекеттік қолдау шараларын іске асыру; қаржы ұйымдарымен өзара іс-қимыл жасау; алқалы органдар мен комиссиялардың жұмысын ұйымдастыру; бюджеттік бағдарламаларды іске асыру; ғылыми және ғылыми-техникалық жобаларды қаржыландыруды ұйымдастыру; қол қою құқығы.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Мемлекеттік қолдау өлшемшарттарын біркелкі емес қолдану тәуекелі; жобаларды іріктеуге, қарауға және қаржыландыруға объективті емес ықпал ету тәуекелі; комиссиялар жұмысы және қолдау алушылармен өзара іс-қимыл кезінде мүдделер қақтығысы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Инвестициялар тарту және сыртқы экономикалық қызмет бөлімінің басшысы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Бөлімге жалпы басшылық ету; инвестициялық жобаларды сүйемелдеу; инвесторлармен өзара іс-қимыл және келіссөздер жүргізу; инвестициялық жобаларды қалыптастыру және өзектендіру; меморандумдар мен өзге құжаттарды дайындау; инвестициялық даму көрсеткіштерін бақылау; қол қою құқығы.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Инвестициялық жобалардың басымдығын және сүйемелдеу көлемін субъективті айқындау тәуекелі; инвесторлармен бейресми өзара іс-қимыл тәуекелі; жекелеген жобаларға немесе өтініш берушілерге негізсіз артықшылық беру тәуекелі; шешімдер мен уағдаластықтардың негіздерін жеткіліксіз тіркеу тәуекелі.</w:t>
            </w:r>
            <w:proofErr w:type="spellStart"/>
            <w:r w:rsidRPr="00315A6D">
              <w:rPr>
                <w:rFonts w:cs="Times New Roman"/>
                <w:sz w:val="24"/>
                <w:szCs w:val="24"/>
                <w:lang w:val="ru-RU"/>
              </w:rPr>
            </w:r>
            <w:proofErr w:type="spellEnd"/>
            <w:r w:rsidRPr="00315A6D">
              <w:rPr>
                <w:rFonts w:cs="Times New Roman"/>
                <w:sz w:val="24"/>
                <w:szCs w:val="24"/>
                <w:lang w:val="ru-RU"/>
              </w:rPr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Туризмді дамыту бөлімінің басшысы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Бөлімге жалпы басшылық ету; туроператорлық қызметті лицензиялау; туризм саласындағы заңнама талаптарының сақталуын бақылау; мемлекеттік қызметтер көрсету; мемлекеттік қолдау шараларына және кәсіпкерлік субъектілері шығындарының бір бөлігін өтеуге қатысу; өтініштерді қарау; қол қою құқығы.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Лицензиялық және өзге өлшемшарттарды біркелкі емес қолдану тәуекелі; қосымша құжаттарды негізсіз сұрату немесе қарау нәтижесін өзгерту тәуекелі; қолдау, лицензиялау және бақылау функцияларын ұштастыру кезінде мүдделер қақтығысы тәуекелі; жекелеген туристік қызмет субъектілеріне артықшылық беру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Азық-түлік қауіпсіздігі бөлімінің басшысы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Бөлімге жалпы басшылық ету; бағалар мен азық-түлік нарықтарына мониторинг жүргізу; бағаны тұрақтандыру жөніндегі комиссиялардың жұмысын ұйымдастыру; мамандандырылған ұйымдардың қызметтерін сатып алу; бағаны тұрақтандыру тетіктерін дайындау және іске асыру; сауда объектілерімен өзара іс-қимыл; шекті жол берілетін бағалардың сақталуын бақылау; қол қою құқығы.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Іріктемелі мониторинг және сауда субъектілеріне біркелкі емес тәсіл қолдану тәуекелі; бастапқы деректерді бұрмалау немесе толық есепке алмау тәуекелі; комиссия шешімдеріне және сатып алу рәсімдеріне объективті емес ықпал ету тәуекелі; нарықтың жекелеген қатысушыларына негізсіз артықшылық беру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Корпоративтік басқару және жиынтық-талдау бөлімінің бас маманы</w:t>
              <w:br/>
              <w:t>(функционалдық бағыт: корпоративтік басқару және стратегиялық талдау)</w:t>
            </w:r>
            <w:r w:rsidRPr="00315A6D">
              <w:rPr>
                <w:rFonts w:cs="Times New Roman"/>
                <w:sz w:val="24"/>
                <w:szCs w:val="24"/>
                <w:lang w:val="ru-RU"/>
              </w:rPr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Ведомстволық бағынысты ұйымдардың стратегиялық дамуы мен жоспарларын келісу; бірыңғай акционер ретінде функцияларды жүзеге асыру; ведомстволық бағынысты ұйымдардың жарғыларын (ережелерін) және оларға өзгерістерді дайындау және бекіту; даму жоспарларының орындалуын бақылау және талдау; нормативтік құқықтық актілер жобаларын келісу.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Ведомстволық бағынысты ұйымдар мен мемлекеттік мүлікке қатысты шешімдерге объективті емес ықпал ету тәуекелі; мүдделер қақтығысы тәуекелі; корпоративтік шешімдерді дайындау және келісу кезінде артықшылық беретін тәсіл қолдану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Корпоративтік басқару және жиынтық-талдау бөлімінің бас маманы</w:t>
              <w:br/>
              <w:t>(функционалдық бағыт: кадрлық жұмыс және іс жүргізу)</w:t>
            </w:r>
            <w:r w:rsidRPr="00315A6D">
              <w:rPr>
                <w:rFonts w:cs="Times New Roman"/>
                <w:sz w:val="24"/>
                <w:szCs w:val="24"/>
                <w:lang w:val="ru-RU"/>
              </w:rPr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Кадрлық іс жүргізу және кадрлар мониторингін жүргізу; мемлекеттік қызметті өткеру рәсімдерін қамтамасыз ету; сыйлықақы беру, көтермелеу, үстемеақылар, тәртіптік жазалар, жұмыстан шығару және ауыстыру туралы бұйрықтарды келісу; оқытуды ұйымдастыру; құжат айналымы мен өтініштерді бақылау.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Кадрлық шешімдерді, көтермелеуді, үстемеақыларды және тәртіптік шараларды дайындау мен келісу кезіндегі субъективті тәсіл тәуекелі; мүдделер қақтығысы тәуекелі; персонал қозғалысына және мемлекеттік қызметті өткеруге объективті емес ықпал ету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Корпоративтік басқару және жиынтық-талдау бөлімінің бас маманы</w:t>
              <w:br/>
              <w:t>(функционалдық бағыт: құқықтық жұмыс)</w:t>
            </w:r>
            <w:r w:rsidRPr="00315A6D">
              <w:rPr>
                <w:rFonts w:cs="Times New Roman"/>
                <w:sz w:val="24"/>
                <w:szCs w:val="24"/>
                <w:lang w:val="ru-RU"/>
              </w:rPr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Шарттарға, нормативтік құқықтық актілер жобаларына және өзге құжаттарға құқықтық сараптама жүргізу; басшылықтың қол қоюына қорытындылар мен құжаттарды дайындау; талап қою-талап арыз жұмысы; соттарда Басқарманың мүдделерін білдіру; уәкілетті органдарға құқықтық құжаттар мен материалдар дайындау.</w:t>
            </w:r>
            <w:proofErr w:type="spellStart"/>
            <w:r w:rsidRPr="00315A6D">
              <w:rPr>
                <w:rFonts w:cs="Times New Roman"/>
                <w:sz w:val="24"/>
                <w:szCs w:val="24"/>
                <w:lang w:val="ru-RU"/>
              </w:rPr>
            </w:r>
            <w:proofErr w:type="spellEnd"/>
            <w:r w:rsidRPr="00315A6D">
              <w:rPr>
                <w:rFonts w:cs="Times New Roman"/>
                <w:sz w:val="24"/>
                <w:szCs w:val="24"/>
                <w:lang w:val="ru-RU"/>
              </w:rPr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Құқықтық бағалау мен қорытынды дайындаудың объективті болмау тәуекелі; шарттық және талап қою-талап арыз жұмысы кезінде мүдделер қақтығысы тәуекелі; контрагенттерге және өзге тұлғаларға құқықтық талаптарды біркелкі емес қолдану тәуекелі.</w:t>
            </w:r>
            <w:proofErr w:type="spellStart"/>
            <w:r w:rsidRPr="00315A6D">
              <w:rPr>
                <w:rFonts w:cs="Times New Roman"/>
                <w:sz w:val="24"/>
                <w:szCs w:val="24"/>
                <w:lang w:val="ru-RU"/>
              </w:rPr>
            </w:r>
            <w:proofErr w:type="spellEnd"/>
            <w:r w:rsidRPr="00315A6D">
              <w:rPr>
                <w:rFonts w:cs="Times New Roman"/>
                <w:sz w:val="24"/>
                <w:szCs w:val="24"/>
                <w:lang w:val="ru-RU"/>
              </w:rPr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Орташа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Қаржылық қамтамасыз ету және мемлекеттік сатып алу бөлімінің бас маманы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Бюджеттік өтінімдер мен бағдарламаларды дайындау; мемлекеттік сатып алуды ұйымдастыру және өткізу; сатып алу жоспарларын дайындау; шарттар жасасу және олардың орындалуын бақылау; төлем операциялары және Қазынашылықта мәмілелерді тіркеу; бюджет қаражатын есепке алу; бухгалтерлік операциялар; активтерді түгендеу және есептен шығару.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Сатып алу талаптары мен нәтижелеріне ықпал ету тәуекелі; жекелеген өнім берушілерге артықшылық беру және бәсекелестікті шектеу тәуекелі; шарттардың орындалуын, қабылдау мен төлемді тиісінше бақыламау тәуекелі; бюджет қаражатымен және мүлікпен негізсіз операциялар жасау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Кәсіпкерлікті дамыту бөлімінің бас маманы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Кәсіпкерлік субъектілеріне мемлекеттік қолдау көрсету; мемлекеттік қызметтер көрсету; жобаларды қаржыландыру және кредиттеу мәселелері бойынша банктермен және қаржы ұйымдарымен өзара іс-қимыл; қолдау шараларына мониторинг жүргізу; ғылыми және ғылыми-техникалық жобалар мен бағдарламаларды қаржыландыруды ұйымдастыруға қатысу.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Қолдау және мемлекеттік қызметтер көрсету өлшемшарттарын біркелкі емес қолдану тәуекелі; жобаларды қарауға, сүйемелдеуге және қаржыландыруға объективті емес ықпал ету тәуекелі; қолдау алушылармен және қаржы ұйымдарымен өзара іс-қимыл кезінде мүдделер қақтығысы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Туризмді дамыту бөлімінің бас маманы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Туризм саласындағы заңнама мен лицензиялық қағидалардың сақталуын бақылау; eLicense ақпараттық жүйесіне мониторинг жүргізу; туроператорлық қызметке лицензия беру жөніндегі мемлекеттік қызметті көрсету; өтініштерді қарау; туристік қызмет субъектілерімен өзара іс-қимыл.</w:t>
            </w:r>
            <w:proofErr w:type="spellStart"/>
            <w:r w:rsidRPr="00315A6D">
              <w:rPr>
                <w:rFonts w:cs="Times New Roman"/>
                <w:sz w:val="24"/>
                <w:szCs w:val="24"/>
                <w:lang w:val="ru-RU"/>
              </w:rPr>
            </w:r>
            <w:proofErr w:type="spellEnd"/>
            <w:r w:rsidRPr="00315A6D">
              <w:rPr>
                <w:rFonts w:cs="Times New Roman"/>
                <w:sz w:val="24"/>
                <w:szCs w:val="24"/>
                <w:lang w:val="ru-RU"/>
              </w:rPr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Лицензиялық талаптарға сәйкестікті объективті емес бағалау тәуекелі; өтініш берушілерге біркелкі емес тәсіл қолдану тәуекелі; ақпараттық жүйеде мәртебені немесе қарау нәтижесін негізсіз өзгерту тәуекелі; бақылау және өтініш берушілермен өзара іс-қимыл кезінде мүдделер қақтығысы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Азық-түлік қауіпсіздігі бөлімінің бас маманы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Бағалар мен азық-түлік нарықтарына мониторинг жүргізу; комиссиялардың жұмысын ұйымдастыру; бағаны тұрақтандыру тетіктері үшін мамандандырылған ұйымдардың қызметтерін сатып алу; шекті және шекті жол берілетін бөлшек сауда бағалары бойынша шешімдер дайындау; белгіленген бағалардың сақталуын бақылау; сауда объектілерімен өзара іс-қимыл.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Іріктемелі мониторинг тәуекелі; баға деректерін бұрмалау, толық тіркемеу немесе субъективті бағалау тәуекелі; комиссиялардың жұмысына және сатып алу рәсімдеріне объективті емес ықпал ету тәуекелі; жекелеген сауда субъектілеріне артықшылық беру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Сауда және қызмет көрсету саласын дамыту бөлімінің бас маманы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Сауда объектілеріне, базарларға және қызмет көрсету саласына мониторинг жүргізу; сауданы дамыту жөніндегі ұсыныстар дайындау; ішкі сауда субъектілерімен өзара іс-қимыл; стационарлық емес сауда объектілерін орналастыру орындары мен маршруттарын айқындау жөніндегі ұсыныстарды дайындау; құжаттар мен өтініштерді қарау.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Мониторинг және сауда субъектілерімен өзара іс-қимыл кезінде іріктемелі тәсіл қолдану тәуекелі; сауда объектілерінің орналасуы мен қызмет жағдайларына ықпал ететін ұсыныстарды дайындау кезіндегі субъективтілік тәуекелі; бейресми ықпал ету және мүдделер қақтығысы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Орташа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Арнайы экономикалық аймақты (АЭА) дамыту, өнеркәсіп және экспортты ілгерілету бөлімінің бас маманы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АЭА кәсіпорындары және ұйымдарымен өзара іс-қимыл; АЭА-ны дамыту саясатын іске асыруға қатысу; инфрақұрылымдық мәселелерді үйлестіру; индустриялық парктер аумағындағы жер учаскелерін бөлу жоспарларына мониторинг жүргізу; комиссияларға қатысу; бюджет қаражатының игерілуіне жәрдемдесу.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Кәсіпорындар мен жобаларға объективті емес тәсіл қолдану тәуекелі; инфрақұрылымдық және жерді жоспарлау материалдарын дайындауға және сүйемелдеуге ықпал ету тәуекелі; АЭА қатысушыларымен және өнеркәсіптік кәсіпорындармен өзара іс-қимыл кезінде мүдделер қақтығысы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Жоғары</w:t>
            </w:r>
          </w:p>
        </w:tc>
      </w:tr>
      <w:tr w:rsidR="007C6990" w:rsidRPr="00315A6D" w:rsidTr="00F23D00">
        <w:trPr>
          <w:cantSplit/>
          <w:tblHeader/>
          <w:jc w:val="center"/>
        </w:trPr>
        <w:tc>
          <w:tcPr>
            <w:tcW w:w="607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7C6990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Инвестициялар тарту және сыртқы экономикалық қызмет бөлімінің бас маманы</w:t>
            </w:r>
          </w:p>
        </w:tc>
        <w:tc>
          <w:tcPr>
            <w:tcW w:w="1965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Инвестициялық жобаларды сүйемелдеу; Басқарма құзыреті шегінде инвесторлардың мәселелерін шешу; әлеуетті инвесторларды іздеу және олармен келіссөздер жүргізу; инвестициялық даму көрсеткіштеріне мониторинг; меморандум жобаларын дайындау; жеке және заңды тұлғалардың өтініштерін қарау.</w:t>
            </w:r>
          </w:p>
        </w:tc>
        <w:tc>
          <w:tcPr>
            <w:tcW w:w="1920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sz w:val="24"/>
                <w:szCs w:val="24"/>
                <w:lang w:val="ru-RU"/>
              </w:rPr>
              <w:t>Инвестициялық жобалардың басымдығын және сүйемелдеу көлемін субъективті айқындау тәуекелі; инвесторлармен бейресми өзара іс-қимыл тәуекелі; өтініш берушілерге біркелкі емес тәсіл қолдану және көрсетілетін жәрдемнің негіздерін жеткіліксіз тіркеу тәуекелі.</w:t>
            </w:r>
          </w:p>
        </w:tc>
        <w:tc>
          <w:tcPr>
            <w:tcW w:w="508" w:type="pct"/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:rsidR="00426444" w:rsidRPr="00315A6D" w:rsidRDefault="00AB43D1" w:rsidP="00315A6D">
            <w:pPr>
              <w:widowControl w:val="0"/>
              <w:spacing w:line="240" w:lineRule="auto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315A6D">
              <w:rPr>
                <w:rFonts w:cs="Times New Roman"/>
                <w:b/>
                <w:sz w:val="24"/>
                <w:szCs w:val="24"/>
                <w:lang w:val="ru-RU"/>
              </w:rPr>
              <w:t>Орташа</w:t>
            </w:r>
          </w:p>
        </w:tc>
      </w:tr>
    </w:tbl>
    <w:p w:rsidR="00426444" w:rsidRPr="00315A6D" w:rsidRDefault="00426444" w:rsidP="00315A6D">
      <w:pPr>
        <w:widowControl w:val="0"/>
        <w:spacing w:line="240" w:lineRule="auto"/>
        <w:jc w:val="both"/>
        <w:rPr>
          <w:rFonts w:cs="Times New Roman"/>
          <w:sz w:val="24"/>
          <w:szCs w:val="24"/>
          <w:lang w:val="ru-RU"/>
        </w:rPr>
      </w:pPr>
    </w:p>
    <w:sectPr w:rsidR="00426444" w:rsidRPr="00315A6D" w:rsidSect="00315A6D">
      <w:headerReference w:type="default" r:id="rId9"/>
      <w:footerReference w:type="default" r:id="rId10"/>
      <w:headerReference w:type="first" r:id="rId11"/>
      <w:pgSz w:w="16838" w:h="11906" w:orient="landscape" w:code="9"/>
      <w:pgMar w:top="567" w:right="567" w:bottom="567" w:left="567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54A" w:rsidRDefault="00B9054A">
      <w:pPr>
        <w:spacing w:line="240" w:lineRule="auto"/>
      </w:pPr>
      <w:r>
        <w:separator/>
      </w:r>
    </w:p>
  </w:endnote>
  <w:endnote w:type="continuationSeparator" w:id="0">
    <w:p w:rsidR="00B9054A" w:rsidRDefault="00B905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444" w:rsidRDefault="00AB43D1">
    <w:pPr>
      <w:pStyle w:val="a7"/>
      <w:jc w:val="center"/>
    </w:pPr>
    <w:r>
      <w:rPr>
        <w:sz w:val="16"/>
      </w:rPr>
      <w:t>Астана, 2026 жыл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54A" w:rsidRDefault="00B9054A">
      <w:pPr>
        <w:spacing w:line="240" w:lineRule="auto"/>
      </w:pPr>
      <w:r>
        <w:separator/>
      </w:r>
    </w:p>
  </w:footnote>
  <w:footnote w:type="continuationSeparator" w:id="0">
    <w:p w:rsidR="00B9054A" w:rsidRDefault="00B905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</w:rPr>
      <w:id w:val="1629734346"/>
      <w:docPartObj>
        <w:docPartGallery w:val="Page Numbers (Top of Page)"/>
        <w:docPartUnique/>
      </w:docPartObj>
    </w:sdtPr>
    <w:sdtEndPr/>
    <w:sdtContent>
      <w:p w:rsidR="00315A6D" w:rsidRPr="00315A6D" w:rsidRDefault="00315A6D" w:rsidP="00315A6D">
        <w:pPr>
          <w:pStyle w:val="a5"/>
          <w:jc w:val="center"/>
          <w:rPr>
            <w:sz w:val="28"/>
            <w:lang w:val="ru-RU"/>
          </w:rPr>
        </w:pPr>
      </w:p>
      <w:p w:rsidR="00315A6D" w:rsidRPr="00315A6D" w:rsidRDefault="00315A6D" w:rsidP="00315A6D">
        <w:pPr>
          <w:pStyle w:val="a5"/>
          <w:jc w:val="center"/>
          <w:rPr>
            <w:sz w:val="28"/>
          </w:rPr>
        </w:pPr>
        <w:r w:rsidRPr="00315A6D">
          <w:rPr>
            <w:sz w:val="28"/>
          </w:rPr>
          <w:fldChar w:fldCharType="begin"/>
        </w:r>
        <w:r w:rsidRPr="00315A6D">
          <w:rPr>
            <w:sz w:val="28"/>
          </w:rPr>
          <w:instrText>PAGE   \* MERGEFORMAT</w:instrText>
        </w:r>
        <w:r w:rsidRPr="00315A6D">
          <w:rPr>
            <w:sz w:val="28"/>
          </w:rPr>
          <w:fldChar w:fldCharType="separate"/>
        </w:r>
        <w:r w:rsidR="007E25F1" w:rsidRPr="007E25F1">
          <w:rPr>
            <w:noProof/>
            <w:sz w:val="28"/>
            <w:lang w:val="ru-RU"/>
          </w:rPr>
          <w:t>4</w:t>
        </w:r>
        <w:r w:rsidRPr="00315A6D">
          <w:rPr>
            <w:sz w:val="28"/>
          </w:rPr>
          <w:fldChar w:fldCharType="end"/>
        </w:r>
      </w:p>
    </w:sdtContent>
  </w:sdt>
  <w:p w:rsidR="00315A6D" w:rsidRPr="00315A6D" w:rsidRDefault="00315A6D" w:rsidP="00315A6D">
    <w:pPr>
      <w:pStyle w:val="a5"/>
      <w:jc w:val="center"/>
      <w:rPr>
        <w:sz w:val="28"/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A6D" w:rsidRPr="00315A6D" w:rsidRDefault="00315A6D" w:rsidP="00315A6D">
    <w:pPr>
      <w:pStyle w:val="a5"/>
      <w:jc w:val="center"/>
      <w:rPr>
        <w:sz w:val="28"/>
        <w:lang w:val="ru-RU"/>
      </w:rPr>
    </w:pPr>
  </w:p>
  <w:p w:rsidR="00315A6D" w:rsidRPr="00315A6D" w:rsidRDefault="00315A6D" w:rsidP="00315A6D">
    <w:pPr>
      <w:pStyle w:val="a5"/>
      <w:jc w:val="center"/>
      <w:rPr>
        <w:sz w:val="28"/>
        <w:lang w:val="ru-RU"/>
      </w:rPr>
    </w:pPr>
  </w:p>
  <w:p w:rsidR="00315A6D" w:rsidRPr="00315A6D" w:rsidRDefault="00315A6D" w:rsidP="00315A6D">
    <w:pPr>
      <w:pStyle w:val="a5"/>
      <w:jc w:val="center"/>
      <w:rPr>
        <w:sz w:val="28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15A6D"/>
    <w:rsid w:val="00326F90"/>
    <w:rsid w:val="00426444"/>
    <w:rsid w:val="007C6990"/>
    <w:rsid w:val="007E25F1"/>
    <w:rsid w:val="00AA1D8D"/>
    <w:rsid w:val="00AB43D1"/>
    <w:rsid w:val="00B47730"/>
    <w:rsid w:val="00B9054A"/>
    <w:rsid w:val="00CB0664"/>
    <w:rsid w:val="00D57A0E"/>
    <w:rsid w:val="00F23D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ovTitle">
    <w:name w:val="GovTitle"/>
    <w:pPr>
      <w:keepNext/>
      <w:spacing w:after="100"/>
    </w:pPr>
    <w:rPr>
      <w:rFonts w:ascii="Times New Roman" w:hAnsi="Times New Roman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ovTitle">
    <w:name w:val="GovTitle"/>
    <w:pPr>
      <w:keepNext/>
      <w:spacing w:after="100"/>
    </w:pPr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C5B4C7-3367-44D8-9447-5021C0CAC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1767</Words>
  <Characters>10078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11822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Бексултан Сайдилла</cp:lastModifiedBy>
  <cp:revision>5</cp:revision>
  <cp:lastPrinted>2026-08-25T09:56:00Z</cp:lastPrinted>
  <dcterms:created xsi:type="dcterms:W3CDTF">2013-12-23T23:15:00Z</dcterms:created>
  <dcterms:modified xsi:type="dcterms:W3CDTF">2026-08-25T10:01:00Z</dcterms:modified>
</cp:coreProperties>
</file>