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педагог</w:t>
      </w:r>
      <w:r>
        <w:rPr>
          <w:rFonts w:hint="default" w:ascii="Times New Roman" w:hAnsi="Times New Roman" w:cs="Times New Roman"/>
          <w:color w:val="000000" w:themeColor="text1"/>
          <w:sz w:val="24"/>
          <w:szCs w:val="24"/>
          <w:lang w:val="kk-KZ"/>
        </w:rPr>
        <w:t xml:space="preserve"> ұйымдастырушы</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 xml:space="preserve"> бірлік</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6366A19B">
      <w:pPr>
        <w:keepNext w:val="0"/>
        <w:keepLines w:val="0"/>
        <w:widowControl/>
        <w:numPr>
          <w:ilvl w:val="0"/>
          <w:numId w:val="0"/>
        </w:numPr>
        <w:suppressLineNumbers w:val="0"/>
        <w:ind w:leftChars="0"/>
      </w:pPr>
      <w:r>
        <w:rPr>
          <w:rFonts w:ascii="Symbol" w:hAnsi="Symbol" w:eastAsia="Symbol" w:cs="Symbol"/>
          <w:sz w:val="24"/>
        </w:rPr>
        <w:t>·</w:t>
      </w:r>
      <w:r>
        <w:rPr>
          <w:rFonts w:hint="eastAsia" w:ascii="SimSun" w:hAnsi="SimSun" w:eastAsia="SimSun" w:cs="SimSun"/>
          <w:sz w:val="24"/>
        </w:rPr>
        <w:t xml:space="preserve">  </w:t>
      </w:r>
      <w:r>
        <w:t xml:space="preserve">Ұйымның тәрбие, мәдени-көпшілік, шығармашылық, азаматтық-патриоттық және бос уақытты тиімді ұйымдастыру бағытындағы қызметін жоспарлайды және жүзеге асырады. </w:t>
      </w:r>
    </w:p>
    <w:p w14:paraId="57B5AC5D">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Балалар мен жасөспірімдердің жас ерекшеліктері мен қызығушылықтарына сәйкес мәдени-бұқаралық, шығармашылық, танымдық, спорттық және әлеуметтік іс-шараларды ұйымдастырады және өткізеді. </w:t>
      </w:r>
    </w:p>
    <w:p w14:paraId="27E20EF1">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Фестивальдер, байқаулар, көрмелер, концерттер, форумдар, акциялар, жобалар, экскурсиялар және басқа да іс-шаралардың сценарийлерін әзірлейді және өткізеді. </w:t>
      </w:r>
    </w:p>
    <w:p w14:paraId="25937A52">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Үйірмелер, клубтар, секциялар және шығармашылық бірлестіктердің қызметін үйлестіруге қатысады. </w:t>
      </w:r>
    </w:p>
    <w:p w14:paraId="340ED1AB">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Балалардың шығармашылық қабілеттерін, көшбасшылық қасиеттерін, бастамашылдығын және әлеуметтік белсенділігін дамытуға ықпал етеді. </w:t>
      </w:r>
    </w:p>
    <w:p w14:paraId="0D190885">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Педагогтермен, әдіскерлермен, ата-аналармен, қоғамдық ұйымдармен және әлеуметтік серіктестермен бірлескен жұмыстарды ұйымдастырады. </w:t>
      </w:r>
    </w:p>
    <w:p w14:paraId="6738D820">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Іс-шаралардың жылдық, тоқсандық және айлық жоспарларын әзірлеуге қатысады және олардың орындалуын қамтамасыз етеді. </w:t>
      </w:r>
    </w:p>
    <w:p w14:paraId="0137786F">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Тәрбие жұмысының тиімділігін талдайды, есептерді, анықтамаларды және басқа да құжаттарды жүргізеді. </w:t>
      </w:r>
    </w:p>
    <w:p w14:paraId="3006519D">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Балалардың құқықтарын, өмірі мен денсаулығын қорғау, еңбек қауіпсіздігі, өрт қауіпсіздігі және санитариялық талаптардың сақталуын қамтамасыз етеді. </w:t>
      </w:r>
    </w:p>
    <w:p w14:paraId="33396D23">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Инклюзивті білім беру қағидаттарын ескере отырып, барлық білім алушылардың іс-шараларға қатысуына жағдай жасайды. </w:t>
      </w:r>
    </w:p>
    <w:p w14:paraId="169E7142">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Құқық бұзушылықтың, буллингтің, экстремизмнің, нашақорлықтың және басқа да теріс әлеуметтік құбылыстардың алдын алу бойынша профилактикалық жұмыстар жүргізуге қатысады. </w:t>
      </w:r>
    </w:p>
    <w:p w14:paraId="68A4A146">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Мемлекеттік мерекелерді, ұлттық құндылықтарды, экологиялық мәдениетті, волонтерлік және азаматтық бастамаларды насихаттайтын іс-шараларды ұйымдастырады. </w:t>
      </w:r>
    </w:p>
    <w:p w14:paraId="3E2E052B">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жетістіктерін анықтау және қолдау мақсатында байқауларға, олимпиадаларға, фестивальдерге және басқа да іс-шараларға қатысуын ұйымдастырады. </w:t>
      </w:r>
    </w:p>
    <w:p w14:paraId="436CF68B">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 xml:space="preserve">Ақпараттық-коммуникациялық технологияларды пайдалана отырып, ұйымның тәрбиелік және шығармашылық қызметін насихаттауға қатысады. </w:t>
      </w:r>
    </w:p>
    <w:p w14:paraId="74E89C32">
      <w:pPr>
        <w:keepNext w:val="0"/>
        <w:keepLines w:val="0"/>
        <w:widowControl/>
        <w:numPr>
          <w:ilvl w:val="0"/>
          <w:numId w:val="0"/>
        </w:numPr>
        <w:suppressLineNumbers w:val="0"/>
        <w:ind w:leftChars="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кәсіби құзыреттілігін тұрақты түрде жетілдіреді.</w:t>
      </w: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70F915A3">
      <w:pPr>
        <w:tabs>
          <w:tab w:val="left" w:pos="993"/>
        </w:tabs>
        <w:ind w:left="4820"/>
        <w:rPr>
          <w:rFonts w:eastAsia="Calibri"/>
          <w:lang w:val="kk-KZ" w:eastAsia="en-US"/>
        </w:rPr>
      </w:pPr>
    </w:p>
    <w:p w14:paraId="6F82584F">
      <w:pPr>
        <w:tabs>
          <w:tab w:val="left" w:pos="993"/>
        </w:tabs>
        <w:ind w:left="4820"/>
        <w:rPr>
          <w:rFonts w:eastAsia="Calibri"/>
          <w:lang w:val="kk-KZ" w:eastAsia="en-US"/>
        </w:rPr>
      </w:pPr>
    </w:p>
    <w:p w14:paraId="60E946D4">
      <w:pPr>
        <w:tabs>
          <w:tab w:val="left" w:pos="993"/>
        </w:tabs>
        <w:ind w:left="4820"/>
        <w:rPr>
          <w:rFonts w:eastAsia="Calibri"/>
          <w:lang w:val="kk-KZ" w:eastAsia="en-US"/>
        </w:rPr>
      </w:pPr>
    </w:p>
    <w:p w14:paraId="5C14A749">
      <w:pPr>
        <w:tabs>
          <w:tab w:val="left" w:pos="993"/>
        </w:tabs>
        <w:ind w:left="4820"/>
        <w:rPr>
          <w:rFonts w:eastAsia="Calibri"/>
          <w:lang w:val="kk-KZ" w:eastAsia="en-US"/>
        </w:rPr>
      </w:pPr>
    </w:p>
    <w:p w14:paraId="2259395C">
      <w:pPr>
        <w:tabs>
          <w:tab w:val="left" w:pos="993"/>
        </w:tabs>
        <w:ind w:left="4820"/>
        <w:rPr>
          <w:rFonts w:eastAsia="Calibri"/>
          <w:lang w:val="kk-KZ" w:eastAsia="en-US"/>
        </w:rPr>
      </w:pPr>
    </w:p>
    <w:p w14:paraId="05792FA7">
      <w:pPr>
        <w:tabs>
          <w:tab w:val="left" w:pos="993"/>
        </w:tabs>
        <w:ind w:left="4820"/>
        <w:rPr>
          <w:rFonts w:eastAsia="Calibri"/>
          <w:lang w:val="kk-KZ" w:eastAsia="en-US"/>
        </w:rPr>
      </w:pPr>
    </w:p>
    <w:p w14:paraId="1C12F7E1">
      <w:pPr>
        <w:tabs>
          <w:tab w:val="left" w:pos="993"/>
        </w:tabs>
        <w:ind w:left="4820"/>
        <w:rPr>
          <w:rFonts w:eastAsia="Calibri"/>
          <w:lang w:val="kk-KZ" w:eastAsia="en-US"/>
        </w:rPr>
      </w:pPr>
    </w:p>
    <w:p w14:paraId="4032D01F">
      <w:pPr>
        <w:tabs>
          <w:tab w:val="left" w:pos="993"/>
        </w:tabs>
        <w:ind w:left="4820"/>
        <w:rPr>
          <w:rFonts w:eastAsia="Calibri"/>
          <w:lang w:val="kk-KZ" w:eastAsia="en-US"/>
        </w:rPr>
      </w:pPr>
    </w:p>
    <w:p w14:paraId="300AA41E">
      <w:pPr>
        <w:tabs>
          <w:tab w:val="left" w:pos="993"/>
        </w:tabs>
        <w:ind w:left="4820"/>
        <w:rPr>
          <w:rFonts w:eastAsia="Calibri"/>
          <w:lang w:val="kk-KZ" w:eastAsia="en-US"/>
        </w:rPr>
      </w:pPr>
    </w:p>
    <w:p w14:paraId="19BCDD15">
      <w:pPr>
        <w:tabs>
          <w:tab w:val="left" w:pos="993"/>
        </w:tabs>
        <w:ind w:left="4820"/>
        <w:rPr>
          <w:rFonts w:eastAsia="Calibri"/>
          <w:lang w:val="kk-KZ" w:eastAsia="en-US"/>
        </w:rPr>
      </w:pPr>
    </w:p>
    <w:p w14:paraId="68C53A37">
      <w:pPr>
        <w:tabs>
          <w:tab w:val="left" w:pos="993"/>
        </w:tabs>
        <w:ind w:left="4820"/>
        <w:rPr>
          <w:rFonts w:eastAsia="Calibri"/>
          <w:lang w:val="kk-KZ" w:eastAsia="en-US"/>
        </w:rPr>
      </w:pPr>
    </w:p>
    <w:p w14:paraId="52EB9654">
      <w:pPr>
        <w:tabs>
          <w:tab w:val="left" w:pos="993"/>
        </w:tabs>
        <w:ind w:left="4820"/>
        <w:rPr>
          <w:rFonts w:eastAsia="Calibri"/>
          <w:lang w:val="kk-KZ" w:eastAsia="en-US"/>
        </w:rPr>
      </w:pPr>
    </w:p>
    <w:p w14:paraId="78F2C6F8">
      <w:pPr>
        <w:tabs>
          <w:tab w:val="left" w:pos="993"/>
        </w:tabs>
        <w:ind w:left="4820"/>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22BB94A0">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2E65D0EE">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18D7425A">
      <w:pPr>
        <w:autoSpaceDE w:val="0"/>
        <w:autoSpaceDN w:val="0"/>
        <w:adjustRightInd w:val="0"/>
        <w:rPr>
          <w:rFonts w:ascii="TimesNewRomanPSMT" w:hAnsi="TimesNewRomanPSMT" w:cs="TimesNewRomanPSMT"/>
          <w:sz w:val="20"/>
          <w:szCs w:val="20"/>
        </w:rPr>
      </w:pPr>
    </w:p>
    <w:p w14:paraId="6C5F32D2">
      <w:pPr>
        <w:autoSpaceDE w:val="0"/>
        <w:autoSpaceDN w:val="0"/>
        <w:adjustRightInd w:val="0"/>
        <w:rPr>
          <w:rFonts w:ascii="TimesNewRomanPSMT" w:hAnsi="TimesNewRomanPSMT" w:cs="TimesNewRomanPSMT"/>
          <w:sz w:val="20"/>
          <w:szCs w:val="20"/>
        </w:rPr>
      </w:pPr>
    </w:p>
    <w:p w14:paraId="1B7A21EA">
      <w:pPr>
        <w:autoSpaceDE w:val="0"/>
        <w:autoSpaceDN w:val="0"/>
        <w:adjustRightInd w:val="0"/>
        <w:rPr>
          <w:rFonts w:ascii="TimesNewRomanPSMT" w:hAnsi="TimesNewRomanPSMT" w:cs="TimesNewRomanPSMT"/>
          <w:sz w:val="20"/>
          <w:szCs w:val="20"/>
        </w:rPr>
      </w:pPr>
    </w:p>
    <w:p w14:paraId="05A77B25">
      <w:pPr>
        <w:autoSpaceDE w:val="0"/>
        <w:autoSpaceDN w:val="0"/>
        <w:adjustRightInd w:val="0"/>
        <w:rPr>
          <w:rFonts w:ascii="TimesNewRomanPSMT" w:hAnsi="TimesNewRomanPSMT" w:cs="TimesNewRomanPSMT"/>
          <w:sz w:val="20"/>
          <w:szCs w:val="20"/>
        </w:rPr>
      </w:pPr>
    </w:p>
    <w:p w14:paraId="11D95EE1">
      <w:pPr>
        <w:autoSpaceDE w:val="0"/>
        <w:autoSpaceDN w:val="0"/>
        <w:adjustRightInd w:val="0"/>
        <w:rPr>
          <w:rFonts w:ascii="TimesNewRomanPSMT" w:hAnsi="TimesNewRomanPSMT" w:cs="TimesNewRomanPSMT"/>
          <w:sz w:val="20"/>
          <w:szCs w:val="20"/>
        </w:rPr>
      </w:pPr>
    </w:p>
    <w:p w14:paraId="6A124D95">
      <w:pPr>
        <w:autoSpaceDE w:val="0"/>
        <w:autoSpaceDN w:val="0"/>
        <w:adjustRightInd w:val="0"/>
        <w:rPr>
          <w:rFonts w:ascii="TimesNewRomanPSMT" w:hAnsi="TimesNewRomanPSMT" w:cs="TimesNewRomanPSMT"/>
          <w:sz w:val="20"/>
          <w:szCs w:val="20"/>
        </w:rPr>
      </w:pPr>
      <w:bookmarkStart w:id="0" w:name="_GoBack"/>
      <w:bookmarkEnd w:id="0"/>
    </w:p>
    <w:p w14:paraId="6A112CFF">
      <w:pPr>
        <w:autoSpaceDE w:val="0"/>
        <w:autoSpaceDN w:val="0"/>
        <w:adjustRightInd w:val="0"/>
        <w:rPr>
          <w:rFonts w:ascii="TimesNewRomanPSMT" w:hAnsi="TimesNewRomanPSMT" w:cs="TimesNewRomanPSMT"/>
          <w:sz w:val="20"/>
          <w:szCs w:val="20"/>
        </w:rPr>
      </w:pPr>
    </w:p>
    <w:p w14:paraId="05B1722A">
      <w:pPr>
        <w:autoSpaceDE w:val="0"/>
        <w:autoSpaceDN w:val="0"/>
        <w:adjustRightInd w:val="0"/>
        <w:ind w:left="6237"/>
        <w:rPr>
          <w:sz w:val="20"/>
          <w:szCs w:val="20"/>
        </w:rPr>
      </w:pPr>
      <w:r>
        <w:rPr>
          <w:sz w:val="20"/>
          <w:szCs w:val="20"/>
        </w:rPr>
        <w:t>Мемлекеттік білім беруұйымдарының біріншібасшылары мен 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Calibri">
    <w:panose1 w:val="020F0502020204030204"/>
    <w:charset w:val="86"/>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7F55137"/>
    <w:rsid w:val="087814D8"/>
    <w:rsid w:val="134F0C95"/>
    <w:rsid w:val="4199432E"/>
    <w:rsid w:val="485D2DC8"/>
    <w:rsid w:val="4F2272E3"/>
    <w:rsid w:val="5279117A"/>
    <w:rsid w:val="6E32225B"/>
    <w:rsid w:val="77465BB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1835</Words>
  <Characters>14823</Characters>
  <Lines>128</Lines>
  <Paragraphs>36</Paragraphs>
  <TotalTime>16</TotalTime>
  <ScaleCrop>false</ScaleCrop>
  <LinksUpToDate>false</LinksUpToDate>
  <CharactersWithSpaces>16457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2026-08-05T11:43:14Z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