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w:t>
      </w:r>
      <w:bookmarkStart w:id="0" w:name="_GoBack"/>
      <w:bookmarkEnd w:id="0"/>
      <w:r>
        <w:rPr>
          <w:rFonts w:ascii="Times New Roman" w:hAnsi="Times New Roman" w:cs="Times New Roman"/>
          <w:b/>
          <w:color w:val="000000" w:themeColor="text1"/>
          <w:sz w:val="24"/>
          <w:szCs w:val="24"/>
          <w:lang w:val="kk-KZ"/>
        </w:rPr>
        <w:t>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(Күй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536ED1BF">
      <w:pPr>
        <w:keepNext w:val="0"/>
        <w:keepLines w:val="0"/>
        <w:widowControl/>
        <w:suppressLineNumbers w:val="0"/>
      </w:pPr>
      <w:r>
        <w:rPr>
          <w:rFonts w:ascii="Symbol" w:hAnsi="Symbol" w:eastAsia="Symbol" w:cs="Symbol"/>
          <w:sz w:val="24"/>
        </w:rPr>
        <w:t>·</w:t>
      </w:r>
      <w:r>
        <w:rPr>
          <w:rFonts w:hint="eastAsia" w:ascii="SimSun" w:hAnsi="SimSun" w:eastAsia="SimSun" w:cs="SimSun"/>
          <w:sz w:val="24"/>
        </w:rPr>
        <w:t xml:space="preserve">  </w:t>
      </w:r>
      <w:r>
        <w:t xml:space="preserve">Күй үйірмесінің білім беру бағдарламасын, күнтізбелік-тақырыптық жоспарын әзірлейді және іске асырады. </w:t>
      </w:r>
    </w:p>
    <w:p w14:paraId="1E2EE46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және жеке ерекшеліктерін ескере отырып, жеке және топтық сабақтар өткізеді. </w:t>
      </w:r>
    </w:p>
    <w:p w14:paraId="63252D82">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Қазақтың дәстүрлі күй өнерін, күйшілік мектептердің (Құрманғазы, Дәулеткерей, Тәттімбет, Қазанғап, Дина, Сүгір және т.б.) орындаушылық ерекшеліктерін үйретеді. </w:t>
      </w:r>
    </w:p>
    <w:p w14:paraId="602356A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домбырада күй орындау техникасын, музыкалық есту қабілетін, ырғақ сезімін, орындаушылық шеберлігін және сахналық мәдениетін қалыптастырады. </w:t>
      </w:r>
    </w:p>
    <w:p w14:paraId="0FD7002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Репертуарды білім алушылардың дайындық деңгейіне сәйкес іріктейді, ұлттық музыкалық мұраны жүйелі меңгерту жұмыстарын жүргізеді. </w:t>
      </w:r>
    </w:p>
    <w:p w14:paraId="4B18D265">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Дарынды балаларды анықтап, олардың шығармашылық қабілеттерін дамытуға бағытталған жеке жұмыстар жүргізеді. </w:t>
      </w:r>
    </w:p>
    <w:p w14:paraId="163598F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концерттерге, шығармашылық кештерге, фестивальдерге, байқауларға, көрмелерге және басқа да мәдени іс-шараларға дайындайды және қатысуын ұйымдастырады. </w:t>
      </w:r>
    </w:p>
    <w:p w14:paraId="06C0E85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жұмысының жоспарының орындалуын қамтамасыз етеді, оқу-тәрбие процесінің сапасына тұрақты мониторинг жүргізеді. </w:t>
      </w:r>
    </w:p>
    <w:p w14:paraId="6C1B0C3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білім алушылардың жетістіктерін есепке алу құжаттарының уақытылы және дұрыс жүргізілуін қамтамасыз етеді. </w:t>
      </w:r>
    </w:p>
    <w:p w14:paraId="6593D95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тығыз байланыс орнатып, білім алушылардың шығармашылық дамуы жөнінде кеңес береді. </w:t>
      </w:r>
    </w:p>
    <w:p w14:paraId="71DB5FBC">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Оқу процесінде білім алушылардың өмірі мен денсаулығының қауіпсіздігін қамтамасыз етеді, еңбек қауіпсіздігі, өрт қауіпсіздігі және санитариялық-эпидемиологиялық талаптарды сақтайды. </w:t>
      </w:r>
    </w:p>
    <w:p w14:paraId="1FCBA87A">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Домбыралардың және басқа музыкалық аспаптардың сақталуына, дұрыс пайдаланылуына жауап береді, оқу кабинетін ұқыпты ұстауды қамтамасыз етеді. </w:t>
      </w:r>
    </w:p>
    <w:p w14:paraId="37E68610">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Қазақтың ұлттық мәдениетін, күй өнерін, халық композиторларының шығармашылығын насихаттайды, білім алушыларды ұлттық рухани құндылықтарға тәрбиелейді. </w:t>
      </w:r>
    </w:p>
    <w:p w14:paraId="2FF2A5FF">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қатысады, кәсіби шеберлігін үнемі жетілдіреді. </w:t>
      </w:r>
    </w:p>
    <w:p w14:paraId="4B28F15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Заманауи педагогикалық технологияларды, цифрлық білім беру ресурстарын және инновациялық оқыту әдістерін оқу процесінде қолданады. </w:t>
      </w:r>
    </w:p>
    <w:p w14:paraId="0F790B8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74E89C32">
      <w:pPr>
        <w:keepNext w:val="0"/>
        <w:keepLines w:val="0"/>
        <w:widowControl/>
        <w:numPr>
          <w:ilvl w:val="0"/>
          <w:numId w:val="0"/>
        </w:numPr>
        <w:suppressLineNumbers w:val="0"/>
        <w:ind w:leftChars="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6A812FA8">
      <w:pPr>
        <w:pStyle w:val="7"/>
        <w:rPr>
          <w:rFonts w:ascii="Times New Roman" w:hAnsi="Times New Roman" w:cs="Times New Roman"/>
          <w:b/>
          <w:sz w:val="24"/>
          <w:szCs w:val="24"/>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7BC3466A">
      <w:pPr>
        <w:tabs>
          <w:tab w:val="left" w:pos="993"/>
        </w:tabs>
        <w:ind w:left="4820"/>
        <w:rPr>
          <w:rFonts w:eastAsia="Calibri"/>
          <w:lang w:val="kk-KZ" w:eastAsia="en-US"/>
        </w:rPr>
      </w:pPr>
    </w:p>
    <w:p w14:paraId="132B6B50">
      <w:pPr>
        <w:tabs>
          <w:tab w:val="left" w:pos="993"/>
        </w:tabs>
        <w:ind w:left="4820"/>
        <w:rPr>
          <w:rFonts w:eastAsia="Calibri"/>
          <w:lang w:val="kk-KZ" w:eastAsia="en-US"/>
        </w:rPr>
      </w:pPr>
    </w:p>
    <w:p w14:paraId="0C0E36D5">
      <w:pPr>
        <w:tabs>
          <w:tab w:val="left" w:pos="993"/>
        </w:tabs>
        <w:ind w:left="4820"/>
        <w:rPr>
          <w:rFonts w:eastAsia="Calibri"/>
          <w:lang w:val="kk-KZ" w:eastAsia="en-US"/>
        </w:rPr>
      </w:pPr>
    </w:p>
    <w:p w14:paraId="343F38B2">
      <w:pPr>
        <w:tabs>
          <w:tab w:val="left" w:pos="993"/>
        </w:tabs>
        <w:ind w:left="4820"/>
        <w:rPr>
          <w:rFonts w:eastAsia="Calibri"/>
          <w:lang w:val="kk-KZ" w:eastAsia="en-US"/>
        </w:rPr>
      </w:pPr>
    </w:p>
    <w:p w14:paraId="21A9DF11">
      <w:pPr>
        <w:tabs>
          <w:tab w:val="left" w:pos="993"/>
        </w:tabs>
        <w:ind w:left="4820"/>
        <w:rPr>
          <w:rFonts w:eastAsia="Calibri"/>
          <w:lang w:val="kk-KZ" w:eastAsia="en-US"/>
        </w:rPr>
      </w:pPr>
    </w:p>
    <w:p w14:paraId="4CA4807A">
      <w:pPr>
        <w:tabs>
          <w:tab w:val="left" w:pos="993"/>
        </w:tabs>
        <w:ind w:left="4820"/>
        <w:rPr>
          <w:rFonts w:eastAsia="Calibri"/>
          <w:lang w:val="kk-KZ" w:eastAsia="en-US"/>
        </w:rPr>
      </w:pPr>
    </w:p>
    <w:p w14:paraId="277F092B">
      <w:pPr>
        <w:tabs>
          <w:tab w:val="left" w:pos="993"/>
        </w:tabs>
        <w:ind w:left="4820"/>
        <w:rPr>
          <w:rFonts w:eastAsia="Calibri"/>
          <w:lang w:val="kk-KZ" w:eastAsia="en-US"/>
        </w:rPr>
      </w:pPr>
    </w:p>
    <w:p w14:paraId="3D5734B0">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22BB94A0">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1A64D025">
      <w:pPr>
        <w:autoSpaceDE w:val="0"/>
        <w:autoSpaceDN w:val="0"/>
        <w:adjustRightInd w:val="0"/>
        <w:rPr>
          <w:rFonts w:ascii="TimesNewRomanPSMT" w:hAnsi="TimesNewRomanPSMT" w:cs="TimesNewRomanPSMT"/>
          <w:sz w:val="20"/>
          <w:szCs w:val="20"/>
        </w:rPr>
      </w:pPr>
    </w:p>
    <w:p w14:paraId="1FA87FFD">
      <w:pPr>
        <w:autoSpaceDE w:val="0"/>
        <w:autoSpaceDN w:val="0"/>
        <w:adjustRightInd w:val="0"/>
        <w:rPr>
          <w:rFonts w:ascii="TimesNewRomanPSMT" w:hAnsi="TimesNewRomanPSMT" w:cs="TimesNewRomanPSMT"/>
          <w:sz w:val="20"/>
          <w:szCs w:val="20"/>
        </w:rPr>
      </w:pPr>
    </w:p>
    <w:p w14:paraId="7BB14BB2">
      <w:pPr>
        <w:autoSpaceDE w:val="0"/>
        <w:autoSpaceDN w:val="0"/>
        <w:adjustRightInd w:val="0"/>
        <w:rPr>
          <w:rFonts w:ascii="TimesNewRomanPSMT" w:hAnsi="TimesNewRomanPSMT" w:cs="TimesNewRomanPSMT"/>
          <w:sz w:val="20"/>
          <w:szCs w:val="20"/>
        </w:rPr>
      </w:pPr>
    </w:p>
    <w:p w14:paraId="74936131">
      <w:pPr>
        <w:autoSpaceDE w:val="0"/>
        <w:autoSpaceDN w:val="0"/>
        <w:adjustRightInd w:val="0"/>
        <w:rPr>
          <w:rFonts w:ascii="TimesNewRomanPSMT" w:hAnsi="TimesNewRomanPSMT" w:cs="TimesNewRomanPSMT"/>
          <w:sz w:val="20"/>
          <w:szCs w:val="20"/>
        </w:rPr>
      </w:pPr>
    </w:p>
    <w:p w14:paraId="7BDDF02A">
      <w:pPr>
        <w:autoSpaceDE w:val="0"/>
        <w:autoSpaceDN w:val="0"/>
        <w:adjustRightInd w:val="0"/>
        <w:rPr>
          <w:rFonts w:ascii="TimesNewRomanPSMT" w:hAnsi="TimesNewRomanPSMT" w:cs="TimesNewRomanPSMT"/>
          <w:sz w:val="20"/>
          <w:szCs w:val="20"/>
        </w:rPr>
      </w:pPr>
    </w:p>
    <w:p w14:paraId="1868AC36">
      <w:pPr>
        <w:autoSpaceDE w:val="0"/>
        <w:autoSpaceDN w:val="0"/>
        <w:adjustRightInd w:val="0"/>
        <w:rPr>
          <w:rFonts w:ascii="TimesNewRomanPSMT" w:hAnsi="TimesNewRomanPSMT" w:cs="TimesNewRomanPSMT"/>
          <w:sz w:val="20"/>
          <w:szCs w:val="20"/>
        </w:rPr>
      </w:pPr>
    </w:p>
    <w:p w14:paraId="321C8F74">
      <w:pPr>
        <w:autoSpaceDE w:val="0"/>
        <w:autoSpaceDN w:val="0"/>
        <w:adjustRightInd w:val="0"/>
        <w:rPr>
          <w:rFonts w:ascii="TimesNewRomanPSMT" w:hAnsi="TimesNewRomanPSMT" w:cs="TimesNewRomanPSMT"/>
          <w:sz w:val="20"/>
          <w:szCs w:val="20"/>
        </w:rPr>
      </w:pPr>
    </w:p>
    <w:p w14:paraId="05B1722A">
      <w:pPr>
        <w:autoSpaceDE w:val="0"/>
        <w:autoSpaceDN w:val="0"/>
        <w:adjustRightInd w:val="0"/>
        <w:ind w:left="6237"/>
        <w:rPr>
          <w:sz w:val="20"/>
          <w:szCs w:val="20"/>
        </w:rPr>
      </w:pPr>
      <w:r>
        <w:rPr>
          <w:sz w:val="20"/>
          <w:szCs w:val="20"/>
        </w:rPr>
        <w:t>Мемлекеттік білім беруұйымдарының біріншібасшылары мен 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87814D8"/>
    <w:rsid w:val="134F0C95"/>
    <w:rsid w:val="2C6726BC"/>
    <w:rsid w:val="3A891AC5"/>
    <w:rsid w:val="44312699"/>
    <w:rsid w:val="5279117A"/>
    <w:rsid w:val="6C9D5389"/>
    <w:rsid w:val="757754B1"/>
    <w:rsid w:val="792A6FBF"/>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1868</Words>
  <Characters>14957</Characters>
  <Lines>128</Lines>
  <Paragraphs>36</Paragraphs>
  <TotalTime>29</TotalTime>
  <ScaleCrop>false</ScaleCrop>
  <LinksUpToDate>false</LinksUpToDate>
  <CharactersWithSpaces>16625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2026-08-05T11:41:57Z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