
<file path=[Content_Types].xml><?xml version="1.0" encoding="utf-8"?>
<Types xmlns="http://schemas.openxmlformats.org/package/2006/content-types">
  <Default Extension="xml" ContentType="application/xml"/>
  <Default Extension="bmp" ContentType="image/bmp"/>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AD575">
      <w:pPr>
        <w:pageBreakBefore/>
        <w:spacing w:after="300" w:line="240" w:lineRule="auto"/>
        <w:jc w:val="center"/>
        <w:rPr>
          <w:rFonts w:ascii="Cambria" w:hAnsi="Cambria"/>
          <w:b/>
          <w:color w:val="1B3756"/>
          <w:sz w:val="32"/>
        </w:rPr>
      </w:pPr>
      <w:r>
        <w:rPr>
          <w:rFonts w:ascii="Cambria" w:hAnsi="Cambria"/>
          <w:b/>
          <w:color w:val="1B3756"/>
          <w:sz w:val="32"/>
        </w:rPr>
        <w:drawing>
          <wp:anchor distT="0" distB="0" distL="114300" distR="114300" simplePos="0" relativeHeight="251660288" behindDoc="1" locked="0" layoutInCell="1" allowOverlap="1">
            <wp:simplePos x="0" y="0"/>
            <wp:positionH relativeFrom="page">
              <wp:posOffset>10795</wp:posOffset>
            </wp:positionH>
            <wp:positionV relativeFrom="paragraph">
              <wp:posOffset>-1172210</wp:posOffset>
            </wp:positionV>
            <wp:extent cx="7549515" cy="10669270"/>
            <wp:effectExtent l="0" t="0" r="0" b="0"/>
            <wp:wrapNone/>
            <wp:docPr id="22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1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7549286" cy="10669181"/>
                    </a:xfrm>
                    <a:prstGeom prst="rect">
                      <a:avLst/>
                    </a:prstGeom>
                    <a:noFill/>
                  </pic:spPr>
                </pic:pic>
              </a:graphicData>
            </a:graphic>
          </wp:anchor>
        </w:drawing>
      </w:r>
    </w:p>
    <w:p w14:paraId="5293798B">
      <w:pPr>
        <w:pageBreakBefore/>
        <w:spacing w:after="300" w:line="240" w:lineRule="auto"/>
        <w:jc w:val="center"/>
        <w:rPr>
          <w:rFonts w:ascii="Cambria" w:hAnsi="Cambria"/>
        </w:rPr>
      </w:pPr>
      <w:r>
        <w:rPr>
          <w:rFonts w:ascii="Cambria" w:hAnsi="Cambria"/>
          <w:b/>
          <w:color w:val="1B3756"/>
          <w:sz w:val="32"/>
        </w:rPr>
        <w:t>МАЗМҰНЫ</w:t>
      </w:r>
    </w:p>
    <w:sdt>
      <w:sdtPr>
        <w:rPr>
          <w:rFonts w:ascii="Cambria" w:hAnsi="Cambria"/>
          <w:b w:val="0"/>
          <w:color w:val="181F2D"/>
        </w:rPr>
        <w:id w:val="2118561233"/>
        <w:docPartObj>
          <w:docPartGallery w:val="Table of Contents"/>
          <w:docPartUnique/>
        </w:docPartObj>
      </w:sdtPr>
      <w:sdtEndPr>
        <w:rPr>
          <w:rFonts w:ascii="Cambria" w:hAnsi="Cambria"/>
          <w:b w:val="0"/>
          <w:color w:val="181F2D"/>
        </w:rPr>
      </w:sdtEndPr>
      <w:sdtContent>
        <w:p w14:paraId="7EAA99E4">
          <w:pPr>
            <w:pStyle w:val="24"/>
            <w:tabs>
              <w:tab w:val="right" w:leader="dot" w:pos="9298"/>
              <w:tab w:val="clear" w:pos="9299"/>
            </w:tabs>
            <w:spacing w:before="120" w:after="0" w:line="240" w:lineRule="auto"/>
            <w:rPr>
              <w:rFonts w:ascii="Cambria" w:hAnsi="Cambria"/>
            </w:rPr>
          </w:pPr>
          <w:r>
            <w:fldChar w:fldCharType="begin"/>
          </w:r>
          <w:r>
            <w:rPr>
              <w:rStyle w:val="70"/>
              <w:rFonts w:ascii="Cambria" w:hAnsi="Cambria"/>
            </w:rPr>
            <w:instrText xml:space="preserve"> TOC \f \o "1-2" \h</w:instrText>
          </w:r>
          <w:r>
            <w:rPr>
              <w:rStyle w:val="70"/>
              <w:rFonts w:ascii="Cambria" w:hAnsi="Cambria"/>
            </w:rPr>
            <w:fldChar w:fldCharType="separate"/>
          </w:r>
          <w:r>
            <w:fldChar w:fldCharType="begin"/>
          </w:r>
          <w:r>
            <w:instrText xml:space="preserve"> HYPERLINK \l "__RefHeading___Toc9476_2617525462" \h </w:instrText>
          </w:r>
          <w:r>
            <w:fldChar w:fldCharType="separate"/>
          </w:r>
          <w:r>
            <w:rPr>
              <w:rStyle w:val="70"/>
              <w:rFonts w:ascii="Cambria" w:hAnsi="Cambria"/>
            </w:rPr>
            <w:t>1. КІРІСПЕ</w:t>
          </w:r>
          <w:r>
            <w:rPr>
              <w:rStyle w:val="70"/>
              <w:rFonts w:ascii="Cambria" w:hAnsi="Cambria"/>
            </w:rPr>
            <w:tab/>
          </w:r>
          <w:r>
            <w:rPr>
              <w:rStyle w:val="70"/>
              <w:rFonts w:ascii="Cambria" w:hAnsi="Cambria"/>
            </w:rPr>
            <w:t>4</w:t>
          </w:r>
          <w:r>
            <w:rPr>
              <w:rStyle w:val="70"/>
              <w:rFonts w:ascii="Cambria" w:hAnsi="Cambria"/>
            </w:rPr>
            <w:fldChar w:fldCharType="end"/>
          </w:r>
        </w:p>
        <w:p w14:paraId="71DEBC35">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"__RefHeading___Toc9478_2617525462" \h </w:instrText>
          </w:r>
          <w:r>
            <w:fldChar w:fldCharType="separate"/>
          </w:r>
          <w:r>
            <w:rPr>
              <w:rStyle w:val="70"/>
              <w:rFonts w:ascii="Cambria" w:hAnsi="Cambria"/>
            </w:rPr>
            <w:t>1.1. Құрылатын индустриялық аймақ туралы жалпы мәліметтер</w:t>
          </w:r>
          <w:r>
            <w:rPr>
              <w:rStyle w:val="70"/>
              <w:rFonts w:ascii="Cambria" w:hAnsi="Cambria"/>
            </w:rPr>
            <w:tab/>
          </w:r>
          <w:r>
            <w:rPr>
              <w:rStyle w:val="70"/>
              <w:rFonts w:ascii="Cambria" w:hAnsi="Cambria"/>
            </w:rPr>
            <w:t>4</w:t>
          </w:r>
          <w:r>
            <w:rPr>
              <w:rStyle w:val="70"/>
              <w:rFonts w:ascii="Cambria" w:hAnsi="Cambria"/>
            </w:rPr>
            <w:fldChar w:fldCharType="end"/>
          </w:r>
        </w:p>
        <w:p w14:paraId="08E72B2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"__RefHeading___Toc9480_2617525462" \h </w:instrText>
          </w:r>
          <w:r>
            <w:fldChar w:fldCharType="separate"/>
          </w:r>
          <w:r>
            <w:rPr>
              <w:rStyle w:val="70"/>
              <w:rFonts w:ascii="Cambria" w:hAnsi="Cambria"/>
            </w:rPr>
            <w:t>1.2. Индустриялық аймақты құрудың негіздері мен алғышарттары</w:t>
          </w:r>
          <w:r>
            <w:rPr>
              <w:rStyle w:val="70"/>
              <w:rFonts w:ascii="Cambria" w:hAnsi="Cambria"/>
            </w:rPr>
            <w:tab/>
          </w:r>
          <w:r>
            <w:rPr>
              <w:rStyle w:val="70"/>
              <w:rFonts w:ascii="Cambria" w:hAnsi="Cambria"/>
              <w:lang w:val="ru-RU"/>
            </w:rPr>
            <w:t>6</w:t>
          </w:r>
          <w:r>
            <w:rPr>
              <w:rStyle w:val="70"/>
              <w:rFonts w:ascii="Cambria" w:hAnsi="Cambria"/>
              <w:lang w:val="ru-RU"/>
            </w:rPr>
            <w:fldChar w:fldCharType="end"/>
          </w:r>
        </w:p>
        <w:p w14:paraId="277022CF">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"__RefHeading___Toc9482_2617525462" \h </w:instrText>
          </w:r>
          <w:r>
            <w:fldChar w:fldCharType="separate"/>
          </w:r>
          <w:r>
            <w:rPr>
              <w:rStyle w:val="70"/>
              <w:rFonts w:ascii="Cambria" w:hAnsi="Cambria"/>
            </w:rPr>
            <w:t>2. ИНДУСТРИЯЛЫҚ АЙМАҚТЫ ҚҰРУ МАҚСАТТАРЫ</w:t>
          </w:r>
          <w:r>
            <w:rPr>
              <w:rStyle w:val="70"/>
              <w:rFonts w:ascii="Cambria" w:hAnsi="Cambria"/>
            </w:rPr>
            <w:tab/>
          </w:r>
          <w:r>
            <w:rPr>
              <w:rStyle w:val="70"/>
              <w:rFonts w:ascii="Cambria" w:hAnsi="Cambria"/>
              <w:lang w:val="ru-RU"/>
            </w:rPr>
            <w:t>8</w:t>
          </w:r>
          <w:r>
            <w:rPr>
              <w:rStyle w:val="70"/>
              <w:rFonts w:ascii="Cambria" w:hAnsi="Cambria"/>
              <w:lang w:val="ru-RU"/>
            </w:rPr>
            <w:fldChar w:fldCharType="end"/>
          </w:r>
        </w:p>
        <w:p w14:paraId="13F4214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"__RefHeading___Toc9484_2617525462" \h </w:instrText>
          </w:r>
          <w:r>
            <w:fldChar w:fldCharType="separate"/>
          </w:r>
          <w:r>
            <w:rPr>
              <w:rStyle w:val="70"/>
              <w:rFonts w:ascii="Cambria" w:hAnsi="Cambria"/>
            </w:rPr>
            <w:t>2.1. Индустриялық аймақты құру мақсаты мен негізгі міндеттері</w:t>
          </w:r>
          <w:r>
            <w:rPr>
              <w:rStyle w:val="70"/>
              <w:rFonts w:ascii="Cambria" w:hAnsi="Cambria"/>
            </w:rPr>
            <w:tab/>
          </w:r>
          <w:r>
            <w:rPr>
              <w:rStyle w:val="70"/>
              <w:rFonts w:ascii="Cambria" w:hAnsi="Cambria"/>
              <w:lang w:val="ru-RU"/>
            </w:rPr>
            <w:t>8</w:t>
          </w:r>
          <w:r>
            <w:rPr>
              <w:rStyle w:val="70"/>
              <w:rFonts w:ascii="Cambria" w:hAnsi="Cambria"/>
              <w:lang w:val="ru-RU"/>
            </w:rPr>
            <w:fldChar w:fldCharType="end"/>
          </w:r>
        </w:p>
        <w:p w14:paraId="17ADCF4E">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"__RefHeading___Toc9486_2617525462" \h </w:instrText>
          </w:r>
          <w:r>
            <w:fldChar w:fldCharType="separate"/>
          </w:r>
          <w:r>
            <w:rPr>
              <w:rStyle w:val="70"/>
              <w:rFonts w:ascii="Cambria" w:hAnsi="Cambria"/>
            </w:rPr>
            <w:t>2.2. Географиялық орналасуы және аумақтық алғышарттары</w:t>
          </w:r>
          <w:r>
            <w:rPr>
              <w:rStyle w:val="70"/>
              <w:rFonts w:ascii="Cambria" w:hAnsi="Cambria"/>
            </w:rPr>
            <w:tab/>
          </w:r>
          <w:r>
            <w:rPr>
              <w:rStyle w:val="70"/>
              <w:rFonts w:ascii="Cambria" w:hAnsi="Cambria"/>
              <w:lang w:val="ru-RU"/>
            </w:rPr>
            <w:t>9</w:t>
          </w:r>
          <w:r>
            <w:rPr>
              <w:rStyle w:val="70"/>
              <w:rFonts w:ascii="Cambria" w:hAnsi="Cambria"/>
              <w:lang w:val="ru-RU"/>
            </w:rPr>
            <w:fldChar w:fldCharType="end"/>
          </w:r>
        </w:p>
        <w:p w14:paraId="01F69864">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"__RefHeading___Toc9488_2617525462" \h </w:instrText>
          </w:r>
          <w:r>
            <w:fldChar w:fldCharType="separate"/>
          </w:r>
          <w:r>
            <w:rPr>
              <w:rStyle w:val="70"/>
              <w:rFonts w:ascii="Cambria" w:hAnsi="Cambria"/>
            </w:rPr>
            <w:t>2.3. Өңірдің табиғи ресурстық және өнеркәсіптік әлеуеті</w:t>
          </w:r>
          <w:r>
            <w:rPr>
              <w:rStyle w:val="70"/>
              <w:rFonts w:ascii="Cambria" w:hAnsi="Cambria"/>
            </w:rPr>
            <w:tab/>
          </w:r>
          <w:r>
            <w:rPr>
              <w:rStyle w:val="70"/>
              <w:rFonts w:ascii="Cambria" w:hAnsi="Cambria"/>
              <w:lang w:val="ru-RU"/>
            </w:rPr>
            <w:t>10</w:t>
          </w:r>
          <w:r>
            <w:rPr>
              <w:rStyle w:val="70"/>
              <w:rFonts w:ascii="Cambria" w:hAnsi="Cambria"/>
              <w:lang w:val="ru-RU"/>
            </w:rPr>
            <w:fldChar w:fldCharType="end"/>
          </w:r>
        </w:p>
        <w:p w14:paraId="6C40D884">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"__RefHeading___Toc9490_2617525462" \h </w:instrText>
          </w:r>
          <w:r>
            <w:fldChar w:fldCharType="separate"/>
          </w:r>
          <w:r>
            <w:rPr>
              <w:rStyle w:val="70"/>
              <w:rFonts w:ascii="Cambria" w:hAnsi="Cambria"/>
            </w:rPr>
            <w:t>2.4. Еңбек ресурстары және әлеуметтік-экономикалық алғышарттар</w:t>
          </w:r>
          <w:r>
            <w:rPr>
              <w:rStyle w:val="70"/>
              <w:rFonts w:ascii="Cambria" w:hAnsi="Cambria"/>
            </w:rPr>
            <w:tab/>
          </w:r>
          <w:r>
            <w:rPr>
              <w:rStyle w:val="70"/>
              <w:rFonts w:ascii="Cambria" w:hAnsi="Cambria"/>
              <w:lang w:val="ru-RU"/>
            </w:rPr>
            <w:t>11</w:t>
          </w:r>
          <w:r>
            <w:rPr>
              <w:rStyle w:val="70"/>
              <w:rFonts w:ascii="Cambria" w:hAnsi="Cambria"/>
              <w:lang w:val="ru-RU"/>
            </w:rPr>
            <w:fldChar w:fldCharType="end"/>
          </w:r>
        </w:p>
        <w:p w14:paraId="0EBF35E5">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"__RefHeading___Toc9492_2617525462" \h </w:instrText>
          </w:r>
          <w:r>
            <w:fldChar w:fldCharType="separate"/>
          </w:r>
          <w:r>
            <w:rPr>
              <w:rStyle w:val="70"/>
              <w:rFonts w:ascii="Cambria" w:hAnsi="Cambria"/>
            </w:rPr>
            <w:t>2.5. Инвестициялық тартымдылық және инвесторлар тарту әлеуеті</w:t>
          </w:r>
          <w:r>
            <w:rPr>
              <w:rStyle w:val="70"/>
              <w:rFonts w:ascii="Cambria" w:hAnsi="Cambria"/>
            </w:rPr>
            <w:tab/>
          </w:r>
          <w:r>
            <w:rPr>
              <w:rStyle w:val="70"/>
              <w:rFonts w:ascii="Cambria" w:hAnsi="Cambria"/>
              <w:lang w:val="ru-RU"/>
            </w:rPr>
            <w:t>12</w:t>
          </w:r>
          <w:r>
            <w:rPr>
              <w:rStyle w:val="70"/>
              <w:rFonts w:ascii="Cambria" w:hAnsi="Cambria"/>
              <w:lang w:val="ru-RU"/>
            </w:rPr>
            <w:fldChar w:fldCharType="end"/>
          </w:r>
        </w:p>
        <w:p w14:paraId="588358FF">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"__RefHeading___Toc9494_2617525462" \h </w:instrText>
          </w:r>
          <w:r>
            <w:fldChar w:fldCharType="separate"/>
          </w:r>
          <w:r>
            <w:rPr>
              <w:rStyle w:val="70"/>
              <w:rFonts w:ascii="Cambria" w:hAnsi="Cambria"/>
            </w:rPr>
            <w:t>3. ИНДУСТРИЯЛЫҚ АЙМАҚ ЖОБАЛАРЫН ІРІКТЕУ ӨЛШЕМШАРТТАРЫНЫҢ ТІЗБЕСІ</w:t>
          </w:r>
          <w:r>
            <w:rPr>
              <w:rStyle w:val="70"/>
              <w:rFonts w:ascii="Cambria" w:hAnsi="Cambria"/>
            </w:rPr>
            <w:tab/>
          </w:r>
          <w:r>
            <w:rPr>
              <w:rStyle w:val="70"/>
              <w:rFonts w:ascii="Cambria" w:hAnsi="Cambria"/>
              <w:lang w:val="ru-RU"/>
            </w:rPr>
            <w:t>15</w:t>
          </w:r>
          <w:r>
            <w:rPr>
              <w:rStyle w:val="70"/>
              <w:rFonts w:ascii="Cambria" w:hAnsi="Cambria"/>
              <w:lang w:val="ru-RU"/>
            </w:rPr>
            <w:fldChar w:fldCharType="end"/>
          </w:r>
        </w:p>
        <w:p w14:paraId="41FA216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"__RefHeading___Toc9496_2617525462" \h </w:instrText>
          </w:r>
          <w:r>
            <w:fldChar w:fldCharType="separate"/>
          </w:r>
          <w:r>
            <w:rPr>
              <w:rStyle w:val="70"/>
              <w:rFonts w:ascii="Cambria" w:hAnsi="Cambria"/>
            </w:rPr>
            <w:t>3.1. Индустриялық аймақ қызметінің басым бағыттары</w:t>
          </w:r>
          <w:r>
            <w:rPr>
              <w:rStyle w:val="70"/>
              <w:rFonts w:ascii="Cambria" w:hAnsi="Cambria"/>
            </w:rPr>
            <w:tab/>
          </w:r>
          <w:r>
            <w:rPr>
              <w:rStyle w:val="70"/>
              <w:rFonts w:ascii="Cambria" w:hAnsi="Cambria"/>
              <w:lang w:val="ru-RU"/>
            </w:rPr>
            <w:t>15</w:t>
          </w:r>
          <w:r>
            <w:rPr>
              <w:rStyle w:val="70"/>
              <w:rFonts w:ascii="Cambria" w:hAnsi="Cambria"/>
              <w:lang w:val="ru-RU"/>
            </w:rPr>
            <w:fldChar w:fldCharType="end"/>
          </w:r>
        </w:p>
        <w:p w14:paraId="33E136E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"__RefHeading___Toc9498_2617525462" \h </w:instrText>
          </w:r>
          <w:r>
            <w:fldChar w:fldCharType="separate"/>
          </w:r>
          <w:r>
            <w:rPr>
              <w:rStyle w:val="70"/>
              <w:rFonts w:ascii="Cambria" w:hAnsi="Cambria"/>
            </w:rPr>
            <w:t>3.2. Әлеуетті қатысушылардың ұйымдық-құқықтық нысанына қойылатын талаптар</w:t>
          </w:r>
          <w:r>
            <w:rPr>
              <w:rStyle w:val="70"/>
              <w:rFonts w:ascii="Cambria" w:hAnsi="Cambria"/>
            </w:rPr>
            <w:tab/>
          </w:r>
          <w:r>
            <w:rPr>
              <w:rStyle w:val="70"/>
              <w:rFonts w:ascii="Cambria" w:hAnsi="Cambria"/>
              <w:lang w:val="ru-RU"/>
            </w:rPr>
            <w:t>18</w:t>
          </w:r>
          <w:r>
            <w:rPr>
              <w:rStyle w:val="70"/>
              <w:rFonts w:ascii="Cambria" w:hAnsi="Cambria"/>
              <w:lang w:val="ru-RU"/>
            </w:rPr>
            <w:fldChar w:fldCharType="end"/>
          </w:r>
        </w:p>
        <w:p w14:paraId="62050441">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"__RefHeading___Toc9500_2617525462" \h </w:instrText>
          </w:r>
          <w:r>
            <w:fldChar w:fldCharType="separate"/>
          </w:r>
          <w:r>
            <w:rPr>
              <w:rStyle w:val="70"/>
              <w:rFonts w:ascii="Cambria" w:hAnsi="Cambria"/>
            </w:rPr>
            <w:t>3.3. Өндірістік қызметке және меншікті өндірістің болуына қойылатын талаптар</w:t>
          </w:r>
          <w:r>
            <w:rPr>
              <w:rStyle w:val="70"/>
              <w:rFonts w:ascii="Cambria" w:hAnsi="Cambria"/>
            </w:rPr>
            <w:tab/>
          </w:r>
          <w:r>
            <w:rPr>
              <w:rStyle w:val="70"/>
              <w:rFonts w:ascii="Cambria" w:hAnsi="Cambria"/>
              <w:lang w:val="ru-RU"/>
            </w:rPr>
            <w:t>19</w:t>
          </w:r>
          <w:r>
            <w:rPr>
              <w:rStyle w:val="70"/>
              <w:rFonts w:ascii="Cambria" w:hAnsi="Cambria"/>
              <w:lang w:val="ru-RU"/>
            </w:rPr>
            <w:fldChar w:fldCharType="end"/>
          </w:r>
        </w:p>
        <w:p w14:paraId="75810980">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"__RefHeading___Toc9502_2617525462" \h </w:instrText>
          </w:r>
          <w:r>
            <w:fldChar w:fldCharType="separate"/>
          </w:r>
          <w:r>
            <w:rPr>
              <w:rStyle w:val="70"/>
              <w:rFonts w:ascii="Cambria" w:hAnsi="Cambria"/>
            </w:rPr>
            <w:t>3.4. Басым бағыттар бойынша жобаларды іске асыру тәжірибесіне қойылатын талаптар</w:t>
          </w:r>
          <w:r>
            <w:rPr>
              <w:rStyle w:val="70"/>
              <w:rFonts w:ascii="Cambria" w:hAnsi="Cambria"/>
            </w:rPr>
            <w:tab/>
          </w:r>
          <w:r>
            <w:rPr>
              <w:rStyle w:val="70"/>
              <w:rFonts w:ascii="Cambria" w:hAnsi="Cambria"/>
              <w:lang w:val="ru-RU"/>
            </w:rPr>
            <w:t>20</w:t>
          </w:r>
          <w:r>
            <w:rPr>
              <w:rStyle w:val="70"/>
              <w:rFonts w:ascii="Cambria" w:hAnsi="Cambria"/>
              <w:lang w:val="ru-RU"/>
            </w:rPr>
            <w:fldChar w:fldCharType="end"/>
          </w:r>
        </w:p>
        <w:p w14:paraId="7256762C">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"__RefHeading___Toc9504_2617525462" \h </w:instrText>
          </w:r>
          <w:r>
            <w:fldChar w:fldCharType="separate"/>
          </w:r>
          <w:r>
            <w:rPr>
              <w:rStyle w:val="70"/>
              <w:rFonts w:ascii="Cambria" w:hAnsi="Cambria"/>
            </w:rPr>
            <w:t>3.5. Инвестициялық жобаларды бағалау мен іріктеудің қосымша өлшемшарттары</w:t>
          </w:r>
          <w:r>
            <w:rPr>
              <w:rStyle w:val="70"/>
              <w:rFonts w:ascii="Cambria" w:hAnsi="Cambria"/>
            </w:rPr>
            <w:tab/>
          </w:r>
          <w:r>
            <w:rPr>
              <w:rStyle w:val="70"/>
              <w:rFonts w:ascii="Cambria" w:hAnsi="Cambria"/>
              <w:lang w:val="ru-RU"/>
            </w:rPr>
            <w:t>21</w:t>
          </w:r>
          <w:r>
            <w:rPr>
              <w:rStyle w:val="70"/>
              <w:rFonts w:ascii="Cambria" w:hAnsi="Cambria"/>
              <w:lang w:val="ru-RU"/>
            </w:rPr>
            <w:fldChar w:fldCharType="end"/>
          </w:r>
        </w:p>
        <w:p w14:paraId="7A006DCB">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"__RefHeading___Toc9506_2617525462" \h </w:instrText>
          </w:r>
          <w:r>
            <w:fldChar w:fldCharType="separate"/>
          </w:r>
          <w:r>
            <w:rPr>
              <w:rStyle w:val="70"/>
              <w:rFonts w:ascii="Cambria" w:hAnsi="Cambria"/>
            </w:rPr>
            <w:t>4. ҚОРШАҒАН ОРТАҒА ӘСЕРДІ БАҒАЛАУ</w:t>
          </w:r>
          <w:r>
            <w:rPr>
              <w:rStyle w:val="70"/>
              <w:rFonts w:ascii="Cambria" w:hAnsi="Cambria"/>
            </w:rPr>
            <w:tab/>
          </w:r>
          <w:r>
            <w:rPr>
              <w:rStyle w:val="70"/>
              <w:rFonts w:ascii="Cambria" w:hAnsi="Cambria"/>
              <w:lang w:val="ru-RU"/>
            </w:rPr>
            <w:t>23</w:t>
          </w:r>
          <w:r>
            <w:rPr>
              <w:rStyle w:val="70"/>
              <w:rFonts w:ascii="Cambria" w:hAnsi="Cambria"/>
              <w:lang w:val="ru-RU"/>
            </w:rPr>
            <w:fldChar w:fldCharType="end"/>
          </w:r>
        </w:p>
        <w:p w14:paraId="7D80EFA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"__RefHeading___Toc9508_2617525462" \h </w:instrText>
          </w:r>
          <w:r>
            <w:fldChar w:fldCharType="separate"/>
          </w:r>
          <w:r>
            <w:rPr>
              <w:rStyle w:val="70"/>
              <w:rFonts w:ascii="Cambria" w:hAnsi="Cambria"/>
            </w:rPr>
            <w:t>4.1. Аумақтың қазіргі экологиялық жай-күйінің сипаттамасы</w:t>
          </w:r>
          <w:r>
            <w:rPr>
              <w:rStyle w:val="70"/>
              <w:rFonts w:ascii="Cambria" w:hAnsi="Cambria"/>
            </w:rPr>
            <w:tab/>
          </w:r>
          <w:r>
            <w:rPr>
              <w:rStyle w:val="70"/>
              <w:rFonts w:ascii="Cambria" w:hAnsi="Cambria"/>
              <w:lang w:val="ru-RU"/>
            </w:rPr>
            <w:t>23</w:t>
          </w:r>
          <w:r>
            <w:rPr>
              <w:rStyle w:val="70"/>
              <w:rFonts w:ascii="Cambria" w:hAnsi="Cambria"/>
              <w:lang w:val="ru-RU"/>
            </w:rPr>
            <w:fldChar w:fldCharType="end"/>
          </w:r>
        </w:p>
        <w:p w14:paraId="567754C0">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"__RefHeading___Toc9510_2617525462" \h </w:instrText>
          </w:r>
          <w:r>
            <w:fldChar w:fldCharType="separate"/>
          </w:r>
          <w:r>
            <w:rPr>
              <w:rStyle w:val="70"/>
              <w:rFonts w:ascii="Cambria" w:hAnsi="Cambria"/>
            </w:rPr>
            <w:t>4.2. Қоршаған ортаға ықтимал әсерді бағалау</w:t>
          </w:r>
          <w:r>
            <w:rPr>
              <w:rStyle w:val="70"/>
              <w:rFonts w:ascii="Cambria" w:hAnsi="Cambria"/>
            </w:rPr>
            <w:tab/>
          </w:r>
          <w:r>
            <w:rPr>
              <w:rStyle w:val="70"/>
              <w:rFonts w:ascii="Cambria" w:hAnsi="Cambria"/>
              <w:lang w:val="ru-RU"/>
            </w:rPr>
            <w:t>24</w:t>
          </w:r>
          <w:r>
            <w:rPr>
              <w:rStyle w:val="70"/>
              <w:rFonts w:ascii="Cambria" w:hAnsi="Cambria"/>
              <w:lang w:val="ru-RU"/>
            </w:rPr>
            <w:fldChar w:fldCharType="end"/>
          </w:r>
        </w:p>
        <w:p w14:paraId="3AFB3DA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"__RefHeading___Toc9512_2617525462" \h </w:instrText>
          </w:r>
          <w:r>
            <w:fldChar w:fldCharType="separate"/>
          </w:r>
          <w:r>
            <w:rPr>
              <w:rStyle w:val="70"/>
              <w:rFonts w:ascii="Cambria" w:hAnsi="Cambria"/>
            </w:rPr>
            <w:t>4.3. Теріс әсердің алдын алу және оны азайту жөніндегі шаралар</w:t>
          </w:r>
          <w:r>
            <w:rPr>
              <w:rStyle w:val="70"/>
              <w:rFonts w:ascii="Cambria" w:hAnsi="Cambria"/>
            </w:rPr>
            <w:tab/>
          </w:r>
          <w:r>
            <w:rPr>
              <w:rStyle w:val="70"/>
              <w:rFonts w:ascii="Cambria" w:hAnsi="Cambria"/>
              <w:lang w:val="ru-RU"/>
            </w:rPr>
            <w:t>28</w:t>
          </w:r>
          <w:r>
            <w:rPr>
              <w:rStyle w:val="70"/>
              <w:rFonts w:ascii="Cambria" w:hAnsi="Cambria"/>
              <w:lang w:val="ru-RU"/>
            </w:rPr>
            <w:fldChar w:fldCharType="end"/>
          </w:r>
        </w:p>
        <w:p w14:paraId="53797C85">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"__RefHeading___Toc9514_2617525462" \h </w:instrText>
          </w:r>
          <w:r>
            <w:fldChar w:fldCharType="separate"/>
          </w:r>
          <w:r>
            <w:rPr>
              <w:rStyle w:val="70"/>
              <w:rFonts w:ascii="Cambria" w:hAnsi="Cambria"/>
            </w:rPr>
            <w:t>4.4. Экологиялық жағдайды жақсарту шаралары және күтілетін нәтижелер</w:t>
          </w:r>
          <w:r>
            <w:rPr>
              <w:rStyle w:val="70"/>
              <w:rFonts w:ascii="Cambria" w:hAnsi="Cambria"/>
            </w:rPr>
            <w:tab/>
          </w:r>
          <w:r>
            <w:rPr>
              <w:rStyle w:val="70"/>
              <w:rFonts w:ascii="Cambria" w:hAnsi="Cambria"/>
              <w:lang w:val="ru-RU"/>
            </w:rPr>
            <w:t>29</w:t>
          </w:r>
          <w:r>
            <w:rPr>
              <w:rStyle w:val="70"/>
              <w:rFonts w:ascii="Cambria" w:hAnsi="Cambria"/>
              <w:lang w:val="ru-RU"/>
            </w:rPr>
            <w:fldChar w:fldCharType="end"/>
          </w:r>
        </w:p>
        <w:p w14:paraId="76AAEB61">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"__RefHeading___Toc9516_2617525462" \h </w:instrText>
          </w:r>
          <w:r>
            <w:fldChar w:fldCharType="separate"/>
          </w:r>
          <w:r>
            <w:rPr>
              <w:rStyle w:val="70"/>
              <w:rFonts w:ascii="Cambria" w:hAnsi="Cambria"/>
            </w:rPr>
            <w:t>4.5. Экологиялық тәуекелдерді бағалау және оларды барынша азайту шаралары</w:t>
          </w:r>
          <w:r>
            <w:rPr>
              <w:rStyle w:val="70"/>
              <w:rFonts w:ascii="Cambria" w:hAnsi="Cambria"/>
            </w:rPr>
            <w:tab/>
          </w:r>
          <w:r>
            <w:rPr>
              <w:rStyle w:val="70"/>
              <w:rFonts w:ascii="Cambria" w:hAnsi="Cambria"/>
              <w:lang w:val="ru-RU"/>
            </w:rPr>
            <w:t>32</w:t>
          </w:r>
          <w:r>
            <w:rPr>
              <w:rStyle w:val="70"/>
              <w:rFonts w:ascii="Cambria" w:hAnsi="Cambria"/>
              <w:lang w:val="ru-RU"/>
            </w:rPr>
            <w:fldChar w:fldCharType="end"/>
          </w:r>
        </w:p>
        <w:p w14:paraId="1614EC1D">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"__RefHeading___Toc9518_2617525462" \h </w:instrText>
          </w:r>
          <w:r>
            <w:fldChar w:fldCharType="separate"/>
          </w:r>
          <w:r>
            <w:rPr>
              <w:rStyle w:val="70"/>
              <w:rFonts w:ascii="Cambria" w:hAnsi="Cambria"/>
            </w:rPr>
            <w:t>5. ҚАРЖЫ-ЭКОНОМИКАЛЫҚ ЖӘНЕ ӘЛЕУМЕТТІК САЛДАРЛАР</w:t>
          </w:r>
          <w:r>
            <w:rPr>
              <w:rStyle w:val="70"/>
              <w:rFonts w:ascii="Cambria" w:hAnsi="Cambria"/>
            </w:rPr>
            <w:tab/>
          </w:r>
          <w:r>
            <w:rPr>
              <w:rStyle w:val="70"/>
              <w:rFonts w:ascii="Cambria" w:hAnsi="Cambria"/>
              <w:lang w:val="ru-RU"/>
            </w:rPr>
            <w:t>35</w:t>
          </w:r>
          <w:r>
            <w:rPr>
              <w:rStyle w:val="70"/>
              <w:rFonts w:ascii="Cambria" w:hAnsi="Cambria"/>
              <w:lang w:val="ru-RU"/>
            </w:rPr>
            <w:fldChar w:fldCharType="end"/>
          </w:r>
        </w:p>
        <w:p w14:paraId="3BB2E263">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"__RefHeading___Toc9520_2617525462" \h </w:instrText>
          </w:r>
          <w:r>
            <w:fldChar w:fldCharType="separate"/>
          </w:r>
          <w:r>
            <w:rPr>
              <w:rStyle w:val="70"/>
              <w:rFonts w:ascii="Cambria" w:hAnsi="Cambria"/>
            </w:rPr>
            <w:t>5.1. Индустриялық аймақ құруға жұмсалатын шығындарды бағалау</w:t>
          </w:r>
          <w:r>
            <w:rPr>
              <w:rStyle w:val="70"/>
              <w:rFonts w:ascii="Cambria" w:hAnsi="Cambria"/>
            </w:rPr>
            <w:tab/>
          </w:r>
          <w:r>
            <w:rPr>
              <w:rStyle w:val="70"/>
              <w:rFonts w:ascii="Cambria" w:hAnsi="Cambria"/>
              <w:lang w:val="ru-RU"/>
            </w:rPr>
            <w:t>35</w:t>
          </w:r>
          <w:r>
            <w:rPr>
              <w:rStyle w:val="70"/>
              <w:rFonts w:ascii="Cambria" w:hAnsi="Cambria"/>
              <w:lang w:val="ru-RU"/>
            </w:rPr>
            <w:fldChar w:fldCharType="end"/>
          </w:r>
        </w:p>
        <w:p w14:paraId="58A3BF3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"__RefHeading___Toc9522_2617525462" \h </w:instrText>
          </w:r>
          <w:r>
            <w:fldChar w:fldCharType="separate"/>
          </w:r>
          <w:r>
            <w:rPr>
              <w:rStyle w:val="70"/>
              <w:rFonts w:ascii="Cambria" w:hAnsi="Cambria"/>
            </w:rPr>
            <w:t>5.2. Инвестициялардың жалпы көлемі және қаржыландыру қажеттілігін бөлу</w:t>
          </w:r>
          <w:r>
            <w:rPr>
              <w:rStyle w:val="70"/>
              <w:rFonts w:ascii="Cambria" w:hAnsi="Cambria"/>
            </w:rPr>
            <w:tab/>
          </w:r>
          <w:r>
            <w:rPr>
              <w:rStyle w:val="70"/>
              <w:rFonts w:ascii="Cambria" w:hAnsi="Cambria"/>
              <w:lang w:val="ru-RU"/>
            </w:rPr>
            <w:t>36</w:t>
          </w:r>
          <w:r>
            <w:rPr>
              <w:rStyle w:val="70"/>
              <w:rFonts w:ascii="Cambria" w:hAnsi="Cambria"/>
              <w:lang w:val="ru-RU"/>
            </w:rPr>
            <w:fldChar w:fldCharType="end"/>
          </w:r>
        </w:p>
        <w:p w14:paraId="1CEC67BF">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"__RefHeading___Toc9524_2617525462" \h </w:instrText>
          </w:r>
          <w:r>
            <w:fldChar w:fldCharType="separate"/>
          </w:r>
          <w:r>
            <w:rPr>
              <w:rStyle w:val="70"/>
              <w:rFonts w:ascii="Cambria" w:hAnsi="Cambria"/>
            </w:rPr>
            <w:t>5.3. Индустриялық аймақтың пайдалану шығындарын бағалау</w:t>
          </w:r>
          <w:r>
            <w:rPr>
              <w:rStyle w:val="70"/>
              <w:rFonts w:ascii="Cambria" w:hAnsi="Cambria"/>
            </w:rPr>
            <w:tab/>
          </w:r>
          <w:r>
            <w:rPr>
              <w:rStyle w:val="70"/>
              <w:rFonts w:ascii="Cambria" w:hAnsi="Cambria"/>
              <w:lang w:val="ru-RU"/>
            </w:rPr>
            <w:t>38</w:t>
          </w:r>
          <w:r>
            <w:rPr>
              <w:rStyle w:val="70"/>
              <w:rFonts w:ascii="Cambria" w:hAnsi="Cambria"/>
              <w:lang w:val="ru-RU"/>
            </w:rPr>
            <w:fldChar w:fldCharType="end"/>
          </w:r>
        </w:p>
        <w:p w14:paraId="3454C309">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"__RefHeading___Toc9526_2617525462" \h </w:instrText>
          </w:r>
          <w:r>
            <w:fldChar w:fldCharType="separate"/>
          </w:r>
          <w:r>
            <w:rPr>
              <w:rStyle w:val="70"/>
              <w:rFonts w:ascii="Cambria" w:hAnsi="Cambria"/>
            </w:rPr>
            <w:t>5.4. Индустриялық аймақтың өңірдің экономикалық дамуына ықпалы</w:t>
          </w:r>
          <w:r>
            <w:rPr>
              <w:rStyle w:val="70"/>
              <w:rFonts w:ascii="Cambria" w:hAnsi="Cambria"/>
            </w:rPr>
            <w:tab/>
          </w:r>
          <w:r>
            <w:rPr>
              <w:rStyle w:val="70"/>
              <w:rFonts w:ascii="Cambria" w:hAnsi="Cambria"/>
              <w:lang w:val="ru-RU"/>
            </w:rPr>
            <w:t>40</w:t>
          </w:r>
          <w:r>
            <w:rPr>
              <w:rStyle w:val="70"/>
              <w:rFonts w:ascii="Cambria" w:hAnsi="Cambria"/>
              <w:lang w:val="ru-RU"/>
            </w:rPr>
            <w:fldChar w:fldCharType="end"/>
          </w:r>
        </w:p>
        <w:p w14:paraId="32CAF009">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"__RefHeading___Toc9528_2617525462" \h </w:instrText>
          </w:r>
          <w:r>
            <w:fldChar w:fldCharType="separate"/>
          </w:r>
          <w:r>
            <w:rPr>
              <w:rStyle w:val="70"/>
              <w:rFonts w:ascii="Cambria" w:hAnsi="Cambria"/>
            </w:rPr>
            <w:t>5.5. Индустриялық аймақ құрудың әлеуметтік-демографиялық алғышарттары</w:t>
          </w:r>
          <w:r>
            <w:rPr>
              <w:rStyle w:val="70"/>
              <w:rFonts w:ascii="Cambria" w:hAnsi="Cambria"/>
            </w:rPr>
            <w:tab/>
          </w:r>
          <w:r>
            <w:rPr>
              <w:rStyle w:val="70"/>
              <w:rFonts w:ascii="Cambria" w:hAnsi="Cambria"/>
              <w:lang w:val="ru-RU"/>
            </w:rPr>
            <w:t>43</w:t>
          </w:r>
          <w:r>
            <w:rPr>
              <w:rStyle w:val="70"/>
              <w:rFonts w:ascii="Cambria" w:hAnsi="Cambria"/>
              <w:lang w:val="ru-RU"/>
            </w:rPr>
            <w:fldChar w:fldCharType="end"/>
          </w:r>
        </w:p>
        <w:p w14:paraId="2E6752D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"__RefHeading___Toc9530_2617525462" \h </w:instrText>
          </w:r>
          <w:r>
            <w:fldChar w:fldCharType="separate"/>
          </w:r>
          <w:r>
            <w:rPr>
              <w:rStyle w:val="70"/>
              <w:rFonts w:ascii="Cambria" w:hAnsi="Cambria"/>
            </w:rPr>
            <w:t>5.6. Еңбек ресурстарына қажеттілік және халықтың жұмыспен қамтылуына ықпалы</w:t>
          </w:r>
          <w:r>
            <w:rPr>
              <w:rStyle w:val="70"/>
              <w:rFonts w:ascii="Cambria" w:hAnsi="Cambria"/>
            </w:rPr>
            <w:tab/>
          </w:r>
          <w:r>
            <w:rPr>
              <w:rStyle w:val="70"/>
              <w:rFonts w:ascii="Cambria" w:hAnsi="Cambria"/>
              <w:lang w:val="ru-RU"/>
            </w:rPr>
            <w:t>45</w:t>
          </w:r>
          <w:r>
            <w:rPr>
              <w:rStyle w:val="70"/>
              <w:rFonts w:ascii="Cambria" w:hAnsi="Cambria"/>
              <w:lang w:val="ru-RU"/>
            </w:rPr>
            <w:fldChar w:fldCharType="end"/>
          </w:r>
        </w:p>
        <w:p w14:paraId="4CE236E8">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"__RefHeading___Toc9532_2617525462" \h </w:instrText>
          </w:r>
          <w:r>
            <w:fldChar w:fldCharType="separate"/>
          </w:r>
          <w:r>
            <w:rPr>
              <w:rStyle w:val="70"/>
              <w:rFonts w:ascii="Cambria" w:hAnsi="Cambria"/>
            </w:rPr>
            <w:t>5.7. Білікті еңбек ресурстарымен қамтамасыз етілу</w:t>
          </w:r>
          <w:r>
            <w:rPr>
              <w:rStyle w:val="70"/>
              <w:rFonts w:ascii="Cambria" w:hAnsi="Cambria"/>
            </w:rPr>
            <w:tab/>
          </w:r>
          <w:r>
            <w:rPr>
              <w:rStyle w:val="70"/>
              <w:rFonts w:ascii="Cambria" w:hAnsi="Cambria"/>
              <w:lang w:val="ru-RU"/>
            </w:rPr>
            <w:t>45</w:t>
          </w:r>
          <w:r>
            <w:rPr>
              <w:rStyle w:val="70"/>
              <w:rFonts w:ascii="Cambria" w:hAnsi="Cambria"/>
              <w:lang w:val="ru-RU"/>
            </w:rPr>
            <w:fldChar w:fldCharType="end"/>
          </w:r>
        </w:p>
        <w:p w14:paraId="1D614796">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"__RefHeading___Toc9534_2617525462" \h </w:instrText>
          </w:r>
          <w:r>
            <w:fldChar w:fldCharType="separate"/>
          </w:r>
          <w:r>
            <w:rPr>
              <w:rStyle w:val="70"/>
              <w:rFonts w:ascii="Cambria" w:hAnsi="Cambria"/>
            </w:rPr>
            <w:t>5.8. Жұмыскерлерді оқыту және қайта даярлау жөніндегі шаралар</w:t>
          </w:r>
          <w:r>
            <w:rPr>
              <w:rStyle w:val="70"/>
              <w:rFonts w:ascii="Cambria" w:hAnsi="Cambria"/>
            </w:rPr>
            <w:tab/>
          </w:r>
          <w:r>
            <w:rPr>
              <w:rStyle w:val="70"/>
              <w:rFonts w:ascii="Cambria" w:hAnsi="Cambria"/>
              <w:lang w:val="ru-RU"/>
            </w:rPr>
            <w:t>46</w:t>
          </w:r>
          <w:r>
            <w:rPr>
              <w:rStyle w:val="70"/>
              <w:rFonts w:ascii="Cambria" w:hAnsi="Cambria"/>
              <w:lang w:val="ru-RU"/>
            </w:rPr>
            <w:fldChar w:fldCharType="end"/>
          </w:r>
        </w:p>
        <w:p w14:paraId="38040F26">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"__RefHeading___Toc9536_2617525462" \h </w:instrText>
          </w:r>
          <w:r>
            <w:fldChar w:fldCharType="separate"/>
          </w:r>
          <w:r>
            <w:rPr>
              <w:rStyle w:val="70"/>
              <w:rFonts w:ascii="Cambria" w:hAnsi="Cambria"/>
            </w:rPr>
            <w:t>6. ИНДУСТРИЯЛЫҚ АЙМАҚТЫҢ ОРНАЛАСУ СХЕМАСЫ</w:t>
          </w:r>
          <w:r>
            <w:rPr>
              <w:rStyle w:val="70"/>
              <w:rFonts w:ascii="Cambria" w:hAnsi="Cambria"/>
            </w:rPr>
            <w:tab/>
          </w:r>
          <w:r>
            <w:rPr>
              <w:rStyle w:val="70"/>
              <w:rFonts w:ascii="Cambria" w:hAnsi="Cambria"/>
              <w:lang w:val="ru-RU"/>
            </w:rPr>
            <w:t>48</w:t>
          </w:r>
          <w:r>
            <w:rPr>
              <w:rStyle w:val="70"/>
              <w:rFonts w:ascii="Cambria" w:hAnsi="Cambria"/>
              <w:lang w:val="ru-RU"/>
            </w:rPr>
            <w:fldChar w:fldCharType="end"/>
          </w:r>
        </w:p>
        <w:p w14:paraId="0EC5ED7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"__RefHeading___Toc9538_2617525462" \h </w:instrText>
          </w:r>
          <w:r>
            <w:fldChar w:fldCharType="separate"/>
          </w:r>
          <w:r>
            <w:rPr>
              <w:rStyle w:val="70"/>
              <w:rFonts w:ascii="Cambria" w:hAnsi="Cambria"/>
            </w:rPr>
            <w:t>6.1. Географиялық және әкімшілік-аумақтық орналасуы</w:t>
          </w:r>
          <w:r>
            <w:rPr>
              <w:rStyle w:val="70"/>
              <w:rFonts w:ascii="Cambria" w:hAnsi="Cambria"/>
            </w:rPr>
            <w:tab/>
          </w:r>
          <w:r>
            <w:rPr>
              <w:rStyle w:val="70"/>
              <w:rFonts w:ascii="Cambria" w:hAnsi="Cambria"/>
              <w:lang w:val="ru-RU"/>
            </w:rPr>
            <w:t>48</w:t>
          </w:r>
          <w:r>
            <w:rPr>
              <w:rStyle w:val="70"/>
              <w:rFonts w:ascii="Cambria" w:hAnsi="Cambria"/>
              <w:lang w:val="ru-RU"/>
            </w:rPr>
            <w:fldChar w:fldCharType="end"/>
          </w:r>
        </w:p>
        <w:p w14:paraId="5A348F3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"__RefHeading___Toc9540_2617525462" \h </w:instrText>
          </w:r>
          <w:r>
            <w:fldChar w:fldCharType="separate"/>
          </w:r>
          <w:r>
            <w:rPr>
              <w:rStyle w:val="70"/>
              <w:rFonts w:ascii="Cambria" w:hAnsi="Cambria"/>
            </w:rPr>
            <w:t>6.2. Жер учаскелерінің сипаттамасы</w:t>
          </w:r>
          <w:r>
            <w:rPr>
              <w:rStyle w:val="70"/>
              <w:rFonts w:ascii="Cambria" w:hAnsi="Cambria"/>
            </w:rPr>
            <w:tab/>
          </w:r>
          <w:r>
            <w:rPr>
              <w:rStyle w:val="70"/>
              <w:rFonts w:ascii="Cambria" w:hAnsi="Cambria"/>
              <w:lang w:val="ru-RU"/>
            </w:rPr>
            <w:t>50</w:t>
          </w:r>
          <w:r>
            <w:rPr>
              <w:rStyle w:val="70"/>
              <w:rFonts w:ascii="Cambria" w:hAnsi="Cambria"/>
              <w:lang w:val="ru-RU"/>
            </w:rPr>
            <w:fldChar w:fldCharType="end"/>
          </w:r>
        </w:p>
        <w:p w14:paraId="2D679477">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"__RefHeading___Toc9542_2617525462" \h </w:instrText>
          </w:r>
          <w:r>
            <w:fldChar w:fldCharType="separate"/>
          </w:r>
          <w:r>
            <w:rPr>
              <w:rStyle w:val="70"/>
              <w:rFonts w:ascii="Cambria" w:hAnsi="Cambria"/>
            </w:rPr>
            <w:t>6.3. Индустриялық аймақтың аумақтық құрылымы</w:t>
          </w:r>
          <w:r>
            <w:rPr>
              <w:rStyle w:val="70"/>
              <w:rFonts w:ascii="Cambria" w:hAnsi="Cambria"/>
            </w:rPr>
            <w:tab/>
          </w:r>
          <w:r>
            <w:rPr>
              <w:rStyle w:val="70"/>
              <w:rFonts w:ascii="Cambria" w:hAnsi="Cambria"/>
              <w:lang w:val="ru-RU"/>
            </w:rPr>
            <w:t>52</w:t>
          </w:r>
          <w:r>
            <w:rPr>
              <w:rStyle w:val="70"/>
              <w:rFonts w:ascii="Cambria" w:hAnsi="Cambria"/>
              <w:lang w:val="ru-RU"/>
            </w:rPr>
            <w:fldChar w:fldCharType="end"/>
          </w:r>
        </w:p>
        <w:p w14:paraId="79B75E63">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"__RefHeading___Toc9544_2617525462" \h </w:instrText>
          </w:r>
          <w:r>
            <w:fldChar w:fldCharType="separate"/>
          </w:r>
          <w:r>
            <w:rPr>
              <w:rStyle w:val="70"/>
              <w:rFonts w:ascii="Cambria" w:hAnsi="Cambria"/>
            </w:rPr>
            <w:t>7. ТҰЖЫРЫМДАМАДА КӨЗДЕЛГЕН ІС-ШАРАЛАРДЫҢ МЕМЛЕКЕТТІК ЖОСПАРЛАУ ЖҮЙЕСІ ҚҰЖАТТАРЫНА СӘЙКЕСТІГІ ТУРАЛЫ ДЕРЕКТЕР</w:t>
          </w:r>
          <w:r>
            <w:rPr>
              <w:rStyle w:val="70"/>
              <w:rFonts w:ascii="Cambria" w:hAnsi="Cambria"/>
            </w:rPr>
            <w:tab/>
          </w:r>
          <w:r>
            <w:rPr>
              <w:rStyle w:val="70"/>
              <w:rFonts w:ascii="Cambria" w:hAnsi="Cambria"/>
              <w:lang w:val="ru-RU"/>
            </w:rPr>
            <w:t>55</w:t>
          </w:r>
          <w:r>
            <w:rPr>
              <w:rStyle w:val="70"/>
              <w:rFonts w:ascii="Cambria" w:hAnsi="Cambria"/>
              <w:lang w:val="ru-RU"/>
            </w:rPr>
            <w:fldChar w:fldCharType="end"/>
          </w:r>
        </w:p>
        <w:p w14:paraId="0AACEEE9">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"__RefHeading___Toc9546_2617525462" \h </w:instrText>
          </w:r>
          <w:r>
            <w:fldChar w:fldCharType="separate"/>
          </w:r>
          <w:r>
            <w:rPr>
              <w:rStyle w:val="70"/>
              <w:rFonts w:ascii="Cambria" w:hAnsi="Cambria"/>
            </w:rPr>
            <w:t>7.1. Ұлттық деңгейдегі мемлекеттік жоспарлау құжаттарына сәйкестігі</w:t>
          </w:r>
          <w:r>
            <w:rPr>
              <w:rStyle w:val="70"/>
              <w:rFonts w:ascii="Cambria" w:hAnsi="Cambria"/>
            </w:rPr>
            <w:tab/>
          </w:r>
          <w:r>
            <w:rPr>
              <w:rStyle w:val="70"/>
              <w:rFonts w:ascii="Cambria" w:hAnsi="Cambria"/>
              <w:lang w:val="ru-RU"/>
            </w:rPr>
            <w:t>55</w:t>
          </w:r>
          <w:r>
            <w:rPr>
              <w:rStyle w:val="70"/>
              <w:rFonts w:ascii="Cambria" w:hAnsi="Cambria"/>
              <w:lang w:val="ru-RU"/>
            </w:rPr>
            <w:fldChar w:fldCharType="end"/>
          </w:r>
        </w:p>
        <w:p w14:paraId="27560656">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"__RefHeading___Toc9548_2617525462" \h </w:instrText>
          </w:r>
          <w:r>
            <w:fldChar w:fldCharType="separate"/>
          </w:r>
          <w:r>
            <w:rPr>
              <w:rStyle w:val="70"/>
              <w:rFonts w:ascii="Cambria" w:hAnsi="Cambria"/>
            </w:rPr>
            <w:t>7.2. Өңірлік даму құжаттарына сәйкестігі</w:t>
          </w:r>
          <w:r>
            <w:rPr>
              <w:rStyle w:val="70"/>
              <w:rFonts w:ascii="Cambria" w:hAnsi="Cambria"/>
            </w:rPr>
            <w:tab/>
          </w:r>
          <w:r>
            <w:rPr>
              <w:rStyle w:val="70"/>
              <w:rFonts w:ascii="Cambria" w:hAnsi="Cambria"/>
              <w:lang w:val="ru-RU"/>
            </w:rPr>
            <w:t>56</w:t>
          </w:r>
          <w:r>
            <w:rPr>
              <w:rStyle w:val="70"/>
              <w:rFonts w:ascii="Cambria" w:hAnsi="Cambria"/>
              <w:lang w:val="ru-RU"/>
            </w:rPr>
            <w:fldChar w:fldCharType="end"/>
          </w:r>
        </w:p>
        <w:p w14:paraId="2A3DD2BB">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"__RefHeading___Toc9550_2617525462" \h </w:instrText>
          </w:r>
          <w:r>
            <w:fldChar w:fldCharType="separate"/>
          </w:r>
          <w:r>
            <w:rPr>
              <w:rStyle w:val="70"/>
              <w:rFonts w:ascii="Cambria" w:hAnsi="Cambria"/>
            </w:rPr>
            <w:t>7.3. Индустриялық аймақтың мемлекеттік жоспарлаудың нысаналы көрсеткіштеріне қосатын үлесі</w:t>
          </w:r>
          <w:r>
            <w:rPr>
              <w:rStyle w:val="70"/>
              <w:rFonts w:ascii="Cambria" w:hAnsi="Cambria"/>
            </w:rPr>
            <w:tab/>
          </w:r>
          <w:r>
            <w:rPr>
              <w:rStyle w:val="70"/>
              <w:rFonts w:ascii="Cambria" w:hAnsi="Cambria"/>
              <w:lang w:val="ru-RU"/>
            </w:rPr>
            <w:t>57</w:t>
          </w:r>
          <w:r>
            <w:rPr>
              <w:rStyle w:val="70"/>
              <w:rFonts w:ascii="Cambria" w:hAnsi="Cambria"/>
              <w:lang w:val="ru-RU"/>
            </w:rPr>
            <w:fldChar w:fldCharType="end"/>
          </w:r>
        </w:p>
        <w:p w14:paraId="20CA2055">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"__RefHeading___Toc9552_2617525462" \h </w:instrText>
          </w:r>
          <w:r>
            <w:fldChar w:fldCharType="separate"/>
          </w:r>
          <w:r>
            <w:rPr>
              <w:rStyle w:val="70"/>
              <w:rFonts w:ascii="Cambria" w:hAnsi="Cambria"/>
            </w:rPr>
            <w:t>8. ӘРБІР КОМПОНЕНТ БОЙЫНША ІС-ШАРАЛАРДЫ ІСКЕ АСЫРУҒА ҚАРЖЫЛАНДЫРУ КӨЛЕМІНІҢ ЕСЕПТЕРІ ЖӘНЕ ТІКЕЛЕЙ ӘРІ ТҮПКІЛІКТІ НӘТИЖЕЛЕРГЕ ҚОЛ ЖЕТКІЗУ МҮМКІНДІГІ</w:t>
          </w:r>
          <w:r>
            <w:rPr>
              <w:rStyle w:val="70"/>
              <w:rFonts w:ascii="Cambria" w:hAnsi="Cambria"/>
            </w:rPr>
            <w:tab/>
          </w:r>
          <w:r>
            <w:rPr>
              <w:rStyle w:val="70"/>
              <w:rFonts w:ascii="Cambria" w:hAnsi="Cambria"/>
              <w:lang w:val="ru-RU"/>
            </w:rPr>
            <w:t>59</w:t>
          </w:r>
          <w:r>
            <w:rPr>
              <w:rStyle w:val="70"/>
              <w:rFonts w:ascii="Cambria" w:hAnsi="Cambria"/>
              <w:lang w:val="ru-RU"/>
            </w:rPr>
            <w:fldChar w:fldCharType="end"/>
          </w:r>
        </w:p>
        <w:p w14:paraId="054732E7">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"__RefHeading___Toc9554_2617525462" \h </w:instrText>
          </w:r>
          <w:r>
            <w:fldChar w:fldCharType="separate"/>
          </w:r>
          <w:r>
            <w:rPr>
              <w:rStyle w:val="70"/>
              <w:rFonts w:ascii="Cambria" w:hAnsi="Cambria"/>
            </w:rPr>
            <w:t>8.1. Индустриялық аймақты құру жөніндегі іс-шаралардың құрамы мен сипаттамасы</w:t>
          </w:r>
          <w:r>
            <w:rPr>
              <w:rStyle w:val="70"/>
              <w:rFonts w:ascii="Cambria" w:hAnsi="Cambria"/>
            </w:rPr>
            <w:tab/>
          </w:r>
          <w:r>
            <w:rPr>
              <w:rStyle w:val="70"/>
              <w:rFonts w:ascii="Cambria" w:hAnsi="Cambria"/>
              <w:lang w:val="ru-RU"/>
            </w:rPr>
            <w:t>59</w:t>
          </w:r>
          <w:r>
            <w:rPr>
              <w:rStyle w:val="70"/>
              <w:rFonts w:ascii="Cambria" w:hAnsi="Cambria"/>
              <w:lang w:val="ru-RU"/>
            </w:rPr>
            <w:fldChar w:fldCharType="end"/>
          </w:r>
        </w:p>
        <w:p w14:paraId="1778691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"__RefHeading___Toc9556_2617525462" \h </w:instrText>
          </w:r>
          <w:r>
            <w:fldChar w:fldCharType="separate"/>
          </w:r>
          <w:r>
            <w:rPr>
              <w:rStyle w:val="70"/>
              <w:rFonts w:ascii="Cambria" w:hAnsi="Cambria"/>
            </w:rPr>
            <w:t>8.2. Инфрақұрылым құру құнын есептеу</w:t>
          </w:r>
          <w:r>
            <w:rPr>
              <w:rStyle w:val="70"/>
              <w:rFonts w:ascii="Cambria" w:hAnsi="Cambria"/>
            </w:rPr>
            <w:tab/>
          </w:r>
          <w:r>
            <w:rPr>
              <w:rStyle w:val="70"/>
              <w:rFonts w:ascii="Cambria" w:hAnsi="Cambria"/>
              <w:lang w:val="ru-RU"/>
            </w:rPr>
            <w:t>60</w:t>
          </w:r>
          <w:r>
            <w:rPr>
              <w:rStyle w:val="70"/>
              <w:rFonts w:ascii="Cambria" w:hAnsi="Cambria"/>
              <w:lang w:val="ru-RU"/>
            </w:rPr>
            <w:fldChar w:fldCharType="end"/>
          </w:r>
        </w:p>
        <w:p w14:paraId="016542EC">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"__RefHeading___Toc9558_2617525462" \h </w:instrText>
          </w:r>
          <w:r>
            <w:fldChar w:fldCharType="separate"/>
          </w:r>
          <w:r>
            <w:rPr>
              <w:rStyle w:val="70"/>
              <w:rFonts w:ascii="Cambria" w:hAnsi="Cambria"/>
            </w:rPr>
            <w:t>8.3. Өндірістік объектілерді құруға салынатын инвестицияларды есептеу</w:t>
          </w:r>
          <w:r>
            <w:rPr>
              <w:rStyle w:val="70"/>
              <w:rFonts w:ascii="Cambria" w:hAnsi="Cambria"/>
            </w:rPr>
            <w:tab/>
          </w:r>
          <w:r>
            <w:rPr>
              <w:rStyle w:val="70"/>
              <w:rFonts w:ascii="Cambria" w:hAnsi="Cambria"/>
              <w:lang w:val="ru-RU"/>
            </w:rPr>
            <w:t>61</w:t>
          </w:r>
          <w:r>
            <w:rPr>
              <w:rStyle w:val="70"/>
              <w:rFonts w:ascii="Cambria" w:hAnsi="Cambria"/>
              <w:lang w:val="ru-RU"/>
            </w:rPr>
            <w:fldChar w:fldCharType="end"/>
          </w:r>
        </w:p>
        <w:p w14:paraId="24C512DB">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"__RefHeading___Toc9560_2617525462" \h </w:instrText>
          </w:r>
          <w:r>
            <w:fldChar w:fldCharType="separate"/>
          </w:r>
          <w:r>
            <w:rPr>
              <w:rStyle w:val="70"/>
              <w:rFonts w:ascii="Cambria" w:hAnsi="Cambria"/>
            </w:rPr>
            <w:t>8.4. Іс-шараларды қаржыландыру көздері мен кестесі</w:t>
          </w:r>
          <w:r>
            <w:rPr>
              <w:rStyle w:val="70"/>
              <w:rFonts w:ascii="Cambria" w:hAnsi="Cambria"/>
            </w:rPr>
            <w:tab/>
          </w:r>
          <w:r>
            <w:rPr>
              <w:rStyle w:val="70"/>
              <w:rFonts w:ascii="Cambria" w:hAnsi="Cambria"/>
              <w:lang w:val="ru-RU"/>
            </w:rPr>
            <w:t>61</w:t>
          </w:r>
          <w:r>
            <w:rPr>
              <w:rStyle w:val="70"/>
              <w:rFonts w:ascii="Cambria" w:hAnsi="Cambria"/>
              <w:lang w:val="ru-RU"/>
            </w:rPr>
            <w:fldChar w:fldCharType="end"/>
          </w:r>
        </w:p>
        <w:p w14:paraId="37711B1A">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"__RefHeading___Toc9562_2617525462" \h </w:instrText>
          </w:r>
          <w:r>
            <w:fldChar w:fldCharType="separate"/>
          </w:r>
          <w:r>
            <w:rPr>
              <w:rStyle w:val="70"/>
              <w:rFonts w:ascii="Cambria" w:hAnsi="Cambria"/>
            </w:rPr>
            <w:t>8.5. Іс-шараларды іске асырудың тікелей және түпкілікті нәтижелері</w:t>
          </w:r>
          <w:r>
            <w:rPr>
              <w:rStyle w:val="70"/>
              <w:rFonts w:ascii="Cambria" w:hAnsi="Cambria"/>
            </w:rPr>
            <w:tab/>
          </w:r>
          <w:r>
            <w:rPr>
              <w:rStyle w:val="70"/>
              <w:rFonts w:ascii="Cambria" w:hAnsi="Cambria"/>
              <w:lang w:val="ru-RU"/>
            </w:rPr>
            <w:t>62</w:t>
          </w:r>
          <w:r>
            <w:rPr>
              <w:rStyle w:val="70"/>
              <w:rFonts w:ascii="Cambria" w:hAnsi="Cambria"/>
              <w:lang w:val="ru-RU"/>
            </w:rPr>
            <w:fldChar w:fldCharType="end"/>
          </w:r>
        </w:p>
        <w:p w14:paraId="092974A0">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"__RefHeading___Toc9564_2617525462" \h </w:instrText>
          </w:r>
          <w:r>
            <w:fldChar w:fldCharType="separate"/>
          </w:r>
          <w:r>
            <w:rPr>
              <w:rStyle w:val="70"/>
              <w:rFonts w:ascii="Cambria" w:hAnsi="Cambria"/>
            </w:rPr>
            <w:t>8.6. Шығындар тиімділігін және қосымша экономикалық әсерлерді талдау</w:t>
          </w:r>
          <w:r>
            <w:rPr>
              <w:rStyle w:val="70"/>
              <w:rFonts w:ascii="Cambria" w:hAnsi="Cambria"/>
            </w:rPr>
            <w:tab/>
          </w:r>
          <w:r>
            <w:rPr>
              <w:rStyle w:val="70"/>
              <w:rFonts w:ascii="Cambria" w:hAnsi="Cambria"/>
              <w:lang w:val="ru-RU"/>
            </w:rPr>
            <w:t>64</w:t>
          </w:r>
          <w:r>
            <w:rPr>
              <w:rStyle w:val="70"/>
              <w:rFonts w:ascii="Cambria" w:hAnsi="Cambria"/>
              <w:lang w:val="ru-RU"/>
            </w:rPr>
            <w:fldChar w:fldCharType="end"/>
          </w:r>
        </w:p>
        <w:p w14:paraId="166BD487">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"__RefHeading___Toc9566_2617525462" \h </w:instrText>
          </w:r>
          <w:r>
            <w:fldChar w:fldCharType="separate"/>
          </w:r>
          <w:r>
            <w:rPr>
              <w:rStyle w:val="70"/>
              <w:rFonts w:ascii="Cambria" w:hAnsi="Cambria"/>
            </w:rPr>
            <w:t>8.7. Жанама, сыртқы және өлшенбейтін әсерлерді бағалау</w:t>
          </w:r>
          <w:r>
            <w:rPr>
              <w:rStyle w:val="70"/>
              <w:rFonts w:ascii="Cambria" w:hAnsi="Cambria"/>
            </w:rPr>
            <w:tab/>
          </w:r>
          <w:r>
            <w:rPr>
              <w:rStyle w:val="70"/>
              <w:rFonts w:ascii="Cambria" w:hAnsi="Cambria"/>
              <w:lang w:val="ru-RU"/>
            </w:rPr>
            <w:t>65</w:t>
          </w:r>
          <w:r>
            <w:rPr>
              <w:rStyle w:val="70"/>
              <w:rFonts w:ascii="Cambria" w:hAnsi="Cambria"/>
              <w:lang w:val="ru-RU"/>
            </w:rPr>
            <w:fldChar w:fldCharType="end"/>
          </w:r>
        </w:p>
        <w:p w14:paraId="41C4ED93">
          <w:pPr>
            <w:pStyle w:val="24"/>
            <w:tabs>
              <w:tab w:val="right" w:leader="dot" w:pos="9298"/>
              <w:tab w:val="clear" w:pos="9299"/>
            </w:tabs>
            <w:spacing w:before="120" w:after="0" w:line="240" w:lineRule="auto"/>
            <w:rPr>
              <w:rFonts w:ascii="Cambria" w:hAnsi="Cambria"/>
            </w:rPr>
          </w:pPr>
          <w:r>
            <w:fldChar w:fldCharType="begin"/>
          </w:r>
          <w:r>
            <w:instrText xml:space="preserve"> HYPERLINK \l "__RefHeading___Toc9568_2617525462" \h </w:instrText>
          </w:r>
          <w:r>
            <w:fldChar w:fldCharType="separate"/>
          </w:r>
          <w:r>
            <w:rPr>
              <w:rStyle w:val="70"/>
              <w:rFonts w:ascii="Cambria" w:hAnsi="Cambria"/>
            </w:rPr>
            <w:t>9. ИНДУСТРИЯЛЫҚ АЙМАҚТЫ ЖӘНЕ ОНЫҢ ИНФРАҚҰРЫЛЫМЫН ДАМЫТУ ЖОСПАРЫНЫҢ ЖОБАСЫ</w:t>
          </w:r>
          <w:r>
            <w:rPr>
              <w:rStyle w:val="70"/>
              <w:rFonts w:ascii="Cambria" w:hAnsi="Cambria"/>
            </w:rPr>
            <w:tab/>
          </w:r>
          <w:r>
            <w:rPr>
              <w:rStyle w:val="70"/>
              <w:rFonts w:ascii="Cambria" w:hAnsi="Cambria"/>
              <w:lang w:val="ru-RU"/>
            </w:rPr>
            <w:t>66</w:t>
          </w:r>
          <w:r>
            <w:rPr>
              <w:rStyle w:val="70"/>
              <w:rFonts w:ascii="Cambria" w:hAnsi="Cambria"/>
              <w:lang w:val="ru-RU"/>
            </w:rPr>
            <w:fldChar w:fldCharType="end"/>
          </w:r>
        </w:p>
        <w:p w14:paraId="3ADAF286">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"__RefHeading___Toc9570_2617525462" \h </w:instrText>
          </w:r>
          <w:r>
            <w:fldChar w:fldCharType="separate"/>
          </w:r>
          <w:r>
            <w:rPr>
              <w:rStyle w:val="70"/>
              <w:rFonts w:ascii="Cambria" w:hAnsi="Cambria"/>
            </w:rPr>
            <w:t>9.1. Балама технологиялық және инфрақұрылымдық шешімдерді талдау</w:t>
          </w:r>
          <w:r>
            <w:rPr>
              <w:rStyle w:val="70"/>
              <w:rFonts w:ascii="Cambria" w:hAnsi="Cambria"/>
            </w:rPr>
            <w:tab/>
          </w:r>
          <w:r>
            <w:rPr>
              <w:rStyle w:val="70"/>
              <w:rFonts w:ascii="Cambria" w:hAnsi="Cambria"/>
              <w:lang w:val="ru-RU"/>
            </w:rPr>
            <w:t>66</w:t>
          </w:r>
          <w:r>
            <w:rPr>
              <w:rStyle w:val="70"/>
              <w:rFonts w:ascii="Cambria" w:hAnsi="Cambria"/>
              <w:lang w:val="ru-RU"/>
            </w:rPr>
            <w:fldChar w:fldCharType="end"/>
          </w:r>
        </w:p>
        <w:p w14:paraId="7C96DB83">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"__RefHeading___Toc9572_2617525462" \h </w:instrText>
          </w:r>
          <w:r>
            <w:fldChar w:fldCharType="separate"/>
          </w:r>
          <w:r>
            <w:rPr>
              <w:rStyle w:val="70"/>
              <w:rFonts w:ascii="Cambria" w:hAnsi="Cambria"/>
            </w:rPr>
            <w:t>9.2. Индустриялық аймақты дамытудың таңдалған нұсқасын негіздеу</w:t>
          </w:r>
          <w:r>
            <w:rPr>
              <w:rStyle w:val="70"/>
              <w:rFonts w:ascii="Cambria" w:hAnsi="Cambria"/>
            </w:rPr>
            <w:tab/>
          </w:r>
          <w:r>
            <w:rPr>
              <w:rStyle w:val="70"/>
              <w:rFonts w:ascii="Cambria" w:hAnsi="Cambria"/>
              <w:lang w:val="ru-RU"/>
            </w:rPr>
            <w:t>67</w:t>
          </w:r>
          <w:r>
            <w:rPr>
              <w:rStyle w:val="70"/>
              <w:rFonts w:ascii="Cambria" w:hAnsi="Cambria"/>
              <w:lang w:val="ru-RU"/>
            </w:rPr>
            <w:fldChar w:fldCharType="end"/>
          </w:r>
        </w:p>
        <w:p w14:paraId="427032D1">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"__RefHeading___Toc9574_2617525462" \h </w:instrText>
          </w:r>
          <w:r>
            <w:fldChar w:fldCharType="separate"/>
          </w:r>
          <w:r>
            <w:rPr>
              <w:rStyle w:val="70"/>
              <w:rFonts w:ascii="Cambria" w:hAnsi="Cambria"/>
            </w:rPr>
            <w:t>9.3. Индустриялық аймақтың ауқымы және өндірістік қуаттарды игеру серпіні</w:t>
          </w:r>
          <w:r>
            <w:rPr>
              <w:rStyle w:val="70"/>
              <w:rFonts w:ascii="Cambria" w:hAnsi="Cambria"/>
            </w:rPr>
            <w:tab/>
          </w:r>
          <w:r>
            <w:rPr>
              <w:rStyle w:val="70"/>
              <w:rFonts w:ascii="Cambria" w:hAnsi="Cambria"/>
              <w:lang w:val="ru-RU"/>
            </w:rPr>
            <w:t>68</w:t>
          </w:r>
          <w:r>
            <w:rPr>
              <w:rStyle w:val="70"/>
              <w:rFonts w:ascii="Cambria" w:hAnsi="Cambria"/>
              <w:lang w:val="ru-RU"/>
            </w:rPr>
            <w:fldChar w:fldCharType="end"/>
          </w:r>
        </w:p>
        <w:p w14:paraId="655A4A13">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"__RefHeading___Toc9576_2617525462" \h </w:instrText>
          </w:r>
          <w:r>
            <w:fldChar w:fldCharType="separate"/>
          </w:r>
          <w:r>
            <w:rPr>
              <w:rStyle w:val="70"/>
              <w:rFonts w:ascii="Cambria" w:hAnsi="Cambria"/>
            </w:rPr>
            <w:t>9.4. Аумақтың инженерлік және көлік инфрақұрылымымен қамтамасыз етілуі</w:t>
          </w:r>
          <w:r>
            <w:rPr>
              <w:rStyle w:val="70"/>
              <w:rFonts w:ascii="Cambria" w:hAnsi="Cambria"/>
            </w:rPr>
            <w:tab/>
          </w:r>
          <w:r>
            <w:rPr>
              <w:rStyle w:val="70"/>
              <w:rFonts w:ascii="Cambria" w:hAnsi="Cambria"/>
              <w:lang w:val="ru-RU"/>
            </w:rPr>
            <w:t>70</w:t>
          </w:r>
          <w:r>
            <w:rPr>
              <w:rStyle w:val="70"/>
              <w:rFonts w:ascii="Cambria" w:hAnsi="Cambria"/>
              <w:lang w:val="ru-RU"/>
            </w:rPr>
            <w:fldChar w:fldCharType="end"/>
          </w:r>
        </w:p>
        <w:p w14:paraId="53D8A60D">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"__RefHeading___Toc9578_2617525462" \h </w:instrText>
          </w:r>
          <w:r>
            <w:fldChar w:fldCharType="separate"/>
          </w:r>
          <w:r>
            <w:rPr>
              <w:rStyle w:val="70"/>
              <w:rFonts w:ascii="Cambria" w:hAnsi="Cambria"/>
            </w:rPr>
            <w:t>9.5. Индустриялық аймақты іске асырудың күнтізбелік жоспары</w:t>
          </w:r>
          <w:r>
            <w:rPr>
              <w:rStyle w:val="70"/>
              <w:rFonts w:ascii="Cambria" w:hAnsi="Cambria"/>
            </w:rPr>
            <w:tab/>
          </w:r>
          <w:r>
            <w:rPr>
              <w:rStyle w:val="70"/>
              <w:rFonts w:ascii="Cambria" w:hAnsi="Cambria"/>
              <w:lang w:val="ru-RU"/>
            </w:rPr>
            <w:t>71</w:t>
          </w:r>
          <w:r>
            <w:rPr>
              <w:rStyle w:val="70"/>
              <w:rFonts w:ascii="Cambria" w:hAnsi="Cambria"/>
              <w:lang w:val="ru-RU"/>
            </w:rPr>
            <w:fldChar w:fldCharType="end"/>
          </w:r>
        </w:p>
        <w:p w14:paraId="396710D2">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"__RefHeading___Toc9580_2617525462" \h </w:instrText>
          </w:r>
          <w:r>
            <w:fldChar w:fldCharType="separate"/>
          </w:r>
          <w:r>
            <w:rPr>
              <w:rStyle w:val="70"/>
              <w:rFonts w:ascii="Cambria" w:hAnsi="Cambria"/>
            </w:rPr>
            <w:t>9.6. Техникалық тәуекелдерді бағалау және оларды төмендету жөніндегі шаралар</w:t>
          </w:r>
          <w:r>
            <w:rPr>
              <w:rStyle w:val="70"/>
              <w:rFonts w:ascii="Cambria" w:hAnsi="Cambria"/>
            </w:rPr>
            <w:tab/>
          </w:r>
          <w:r>
            <w:rPr>
              <w:rStyle w:val="70"/>
              <w:rFonts w:ascii="Cambria" w:hAnsi="Cambria"/>
              <w:lang w:val="ru-RU"/>
            </w:rPr>
            <w:t>72</w:t>
          </w:r>
          <w:r>
            <w:rPr>
              <w:rStyle w:val="70"/>
              <w:rFonts w:ascii="Cambria" w:hAnsi="Cambria"/>
              <w:lang w:val="ru-RU"/>
            </w:rPr>
            <w:fldChar w:fldCharType="end"/>
          </w:r>
        </w:p>
        <w:p w14:paraId="41FD28CC">
          <w:pPr>
            <w:pStyle w:val="27"/>
            <w:tabs>
              <w:tab w:val="right" w:leader="dot" w:pos="9298"/>
              <w:tab w:val="clear" w:pos="9016"/>
            </w:tabs>
            <w:spacing w:before="120" w:after="0" w:line="240" w:lineRule="auto"/>
            <w:rPr>
              <w:rFonts w:ascii="Cambria" w:hAnsi="Cambria"/>
            </w:rPr>
          </w:pPr>
          <w:r>
            <w:fldChar w:fldCharType="begin"/>
          </w:r>
          <w:r>
            <w:instrText xml:space="preserve"> HYPERLINK \l "__RefHeading___Toc9582_2617525462" \h </w:instrText>
          </w:r>
          <w:r>
            <w:fldChar w:fldCharType="separate"/>
          </w:r>
          <w:r>
            <w:rPr>
              <w:rStyle w:val="70"/>
              <w:rFonts w:ascii="Cambria" w:hAnsi="Cambria"/>
            </w:rPr>
            <w:t>9.7. Дайын өндірістік үй-жайлар салу</w:t>
          </w:r>
          <w:r>
            <w:rPr>
              <w:rStyle w:val="70"/>
              <w:rFonts w:ascii="Cambria" w:hAnsi="Cambria"/>
            </w:rPr>
            <w:tab/>
          </w:r>
          <w:r>
            <w:rPr>
              <w:rStyle w:val="70"/>
              <w:rFonts w:ascii="Cambria" w:hAnsi="Cambria"/>
              <w:lang w:val="ru-RU"/>
            </w:rPr>
            <w:t>73</w:t>
          </w:r>
          <w:r>
            <w:rPr>
              <w:rStyle w:val="70"/>
              <w:rFonts w:ascii="Cambria" w:hAnsi="Cambria"/>
              <w:lang w:val="ru-RU"/>
            </w:rPr>
            <w:fldChar w:fldCharType="end"/>
          </w:r>
          <w:r>
            <w:rPr>
              <w:rStyle w:val="70"/>
              <w:rFonts w:ascii="Cambria" w:hAnsi="Cambria"/>
            </w:rPr>
            <w:fldChar w:fldCharType="end"/>
          </w:r>
        </w:p>
      </w:sdtContent>
    </w:sdt>
    <w:p w14:paraId="0FE6795D">
      <w:pPr>
        <w:spacing w:line="240" w:lineRule="auto"/>
        <w:rPr>
          <w:rFonts w:ascii="Cambria" w:hAnsi="Cambria"/>
        </w:rPr>
      </w:pPr>
    </w:p>
    <w:p w14:paraId="2812F227">
      <w:pPr>
        <w:spacing w:line="240" w:lineRule="auto"/>
        <w:rPr>
          <w:rFonts w:ascii="Cambria" w:hAnsi="Cambria"/>
          <w:lang w:val="ru-RU"/>
        </w:rPr>
      </w:pPr>
    </w:p>
    <w:p w14:paraId="79E0860D">
      <w:pPr>
        <w:pStyle w:val="2"/>
        <w:pageBreakBefore/>
        <w:spacing w:line="240" w:lineRule="auto"/>
        <w:rPr>
          <w:rFonts w:ascii="Cambria" w:hAnsi="Cambria"/>
          <w:lang w:val="ru-RU"/>
        </w:rPr>
      </w:pPr>
      <w:bookmarkStart w:id="0" w:name="__RefHeading___Toc9476_2617525462"/>
      <w:bookmarkEnd w:id="0"/>
      <w:r>
        <w:rPr>
          <w:rFonts w:ascii="Cambria" w:hAnsi="Cambria"/>
          <w:lang w:val="ru-RU"/>
        </w:rPr>
        <w:t>1. КІРІСПЕ</w:t>
      </w:r>
    </w:p>
    <w:p w14:paraId="3583904B">
      <w:pPr>
        <w:pStyle w:val="3"/>
        <w:spacing w:line="240" w:lineRule="auto"/>
        <w:rPr>
          <w:rFonts w:ascii="Cambria" w:hAnsi="Cambria"/>
          <w:lang w:val="ru-RU"/>
        </w:rPr>
      </w:pPr>
      <w:bookmarkStart w:id="1" w:name="__RefHeading___Toc9478_2617525462"/>
      <w:bookmarkEnd w:id="1"/>
      <w:r>
        <w:rPr>
          <w:rFonts w:ascii="Cambria" w:hAnsi="Cambria"/>
          <w:lang w:val="ru-RU"/>
        </w:rPr>
        <w:t>1.1. Құрылатын индустриялық аймақ туралы жалпы мәліметтер</w:t>
      </w:r>
    </w:p>
    <w:p w14:paraId="1343528F">
      <w:pPr>
        <w:spacing w:line="240" w:lineRule="auto"/>
        <w:rPr>
          <w:rFonts w:ascii="Cambria" w:hAnsi="Cambria"/>
          <w:lang w:val="ru-RU"/>
        </w:rPr>
      </w:pPr>
      <w:r>
        <w:rPr>
          <w:rFonts w:ascii="Cambria" w:hAnsi="Cambria"/>
          <w:lang w:val="ru-RU"/>
        </w:rPr>
        <w:t>Ақтөбе облысы Байғанин ауданындағы «Байғанин» индустриялық аймағын құрудың осы Тұжырымдамасы (бұдан әрі – Тұжырымдама, Индустриялық аймақ немесе ИА) Байғанин ауданында жаңа өнеркәсіптік алаң қалыптастырудың алғышарттарын, дамудың негізгі бағыттарын, орналастыру параметрлерін, инфрақұрылыммен қамтамасыз етілуін және күтілетін нәтижелерін айқындау мақсатында әзірленді.</w:t>
      </w:r>
    </w:p>
    <w:p w14:paraId="18C2EC1A">
      <w:pPr>
        <w:spacing w:line="240" w:lineRule="auto"/>
        <w:rPr>
          <w:rFonts w:ascii="Cambria" w:hAnsi="Cambria"/>
          <w:lang w:val="ru-RU"/>
        </w:rPr>
      </w:pPr>
      <w:r>
        <w:rPr>
          <w:rFonts w:ascii="Cambria" w:hAnsi="Cambria"/>
          <w:lang w:val="ru-RU"/>
        </w:rPr>
        <w:t>Индустриялық аймақ Байғанин ауданының өңдеу өнеркәсібін дамыту құралы ретінде қарастырылады: ИА аумағы тұтастай өңдеу өнеркәсібі жобаларын орналастыруға арналған. Алаңның тартымдылығын арттыратын маңызды фактор – «QazCement Industries» ЖШС салып жатқан цемент зауыты: негізгі шикізат көзіне жақын орналасуы құрама темірбетон конструкциялары мен кейінгі технологиялық кезеңдердегі құрылыс материалдарын шығаратын кәсіпорындарды орналастыруға, сондай-ақ қалыптастырылып жатқан көлік және инженерлік инфрақұрылымды бірлесіп пайдалануға мүмкіндік береді.</w:t>
      </w:r>
    </w:p>
    <w:p w14:paraId="65E39A09">
      <w:pPr>
        <w:spacing w:line="240" w:lineRule="auto"/>
        <w:rPr>
          <w:rFonts w:ascii="Cambria" w:hAnsi="Cambria"/>
          <w:lang w:val="ru-RU"/>
        </w:rPr>
      </w:pPr>
      <w:r>
        <w:rPr>
          <w:rFonts w:ascii="Cambria" w:hAnsi="Cambria"/>
          <w:lang w:val="ru-RU"/>
        </w:rPr>
        <w:t>Индустриялық аймақты цемент зауытының өнеркәсіптік алаңының екі жағында орналасқан, шамамен 122 және 78 гектар болатын екі бөлек алаңға орналастыру ұсынылады. ИА-ның жалпы ауданы 200 гектарды құрайды.</w:t>
      </w:r>
    </w:p>
    <w:p w14:paraId="7EBA9515">
      <w:pPr>
        <w:spacing w:line="240" w:lineRule="auto"/>
        <w:rPr>
          <w:rFonts w:ascii="Cambria" w:hAnsi="Cambria"/>
          <w:lang w:val="ru-RU"/>
        </w:rPr>
      </w:pPr>
      <w:r>
        <w:rPr>
          <w:rFonts w:ascii="Cambria" w:hAnsi="Cambria"/>
          <w:lang w:val="ru-RU"/>
        </w:rPr>
        <w:t>ИА-ның бүкіл аумағы құрылыс индустриясын дамытуға басымдық бере отырып, өңдеу өнеркәсібі жобаларын орналастыруға арналған. Атап айтқанда, темірбетон бұйымдарын (ТББ), құрылыс материалдарын, құрғақ құрылыс қоспаларын өндіретін кәсіпорындарды, сондай-ақ шикізатты өңдеп, цемент қолданылатын құрылыс материалдарын өндіруге арналған өнім шығаратын кәсіпорындарды орналастыру көзделеді. Басым бағыттарға ғимараттар, құрылыстар, автомобиль жолдары және басқа да инфрақұрылым объектілерінің құрылысына қолданылатын өнімдер мен бұйымдарды шығару жобалары да жатады.</w:t>
      </w:r>
    </w:p>
    <w:p w14:paraId="41334943">
      <w:pPr>
        <w:spacing w:line="240" w:lineRule="auto"/>
        <w:rPr>
          <w:rFonts w:ascii="Cambria" w:hAnsi="Cambria"/>
          <w:lang w:val="ru-RU"/>
        </w:rPr>
      </w:pPr>
      <w:r>
        <w:rPr>
          <w:rFonts w:ascii="Cambria" w:hAnsi="Cambria"/>
          <w:lang w:val="ru-RU"/>
        </w:rPr>
        <w:t>Сонымен бірге индустриялық аймақтың аумағын нарық сұранысы мен инвестициялық ұсыныстарды ескере отырып, өңдеу өнеркәсібінің басқа жобаларын орналастыру үшін пайдалануға болады. Облыс әкімдігі әлеуетті инвестициялық жобаларды пысықтап, индустриялық аймақ аумағын тиімді игеру үшін инвесторлар тартуды қамтамасыз етеді.</w:t>
      </w:r>
    </w:p>
    <w:p w14:paraId="40658E88">
      <w:pPr>
        <w:spacing w:line="240" w:lineRule="auto"/>
        <w:rPr>
          <w:rFonts w:ascii="Cambria" w:hAnsi="Cambria"/>
          <w:lang w:val="ru-RU"/>
        </w:rPr>
      </w:pPr>
      <w:r>
        <w:rPr>
          <w:rFonts w:ascii="Cambria" w:hAnsi="Cambria"/>
          <w:lang w:val="ru-RU"/>
        </w:rPr>
        <w:t>Көрсетілген аумақтық схема алдын ала әзірленген және жерге орналастыру жұмыстарының, шекараларды айқындаудың және инженерлік желілерге қосылуды келісудің нәтижелері бойынша нақтылануға тиіс.</w:t>
      </w:r>
    </w:p>
    <w:p w14:paraId="320FB80B">
      <w:pPr>
        <w:spacing w:line="240" w:lineRule="auto"/>
        <w:ind w:firstLine="0"/>
        <w:rPr>
          <w:rFonts w:ascii="Cambria" w:hAnsi="Cambria"/>
          <w:lang w:val="ru-RU"/>
        </w:rPr>
      </w:pPr>
      <w:r>
        <w:drawing>
          <wp:inline distT="0" distB="0" distL="114300" distR="114300">
            <wp:extent cx="5757545" cy="2718435"/>
            <wp:effectExtent l="0" t="0" r="146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tretch>
                      <a:fillRect/>
                    </a:stretch>
                  </pic:blipFill>
                  <pic:spPr>
                    <a:xfrm>
                      <a:off x="0" y="0"/>
                      <a:ext cx="5757545" cy="2718435"/>
                    </a:xfrm>
                    <a:prstGeom prst="rect">
                      <a:avLst/>
                    </a:prstGeom>
                  </pic:spPr>
                </pic:pic>
              </a:graphicData>
            </a:graphic>
          </wp:inline>
        </w:drawing>
      </w:r>
    </w:p>
    <w:p w14:paraId="01482B13">
      <w:pPr>
        <w:spacing w:line="240" w:lineRule="auto"/>
        <w:rPr>
          <w:rFonts w:ascii="Cambria" w:hAnsi="Cambria"/>
          <w:lang w:val="ru-RU"/>
        </w:rPr>
      </w:pPr>
      <w:r>
        <w:rPr>
          <w:rFonts w:ascii="Cambria" w:hAnsi="Cambria"/>
          <w:lang w:val="ru-RU"/>
        </w:rPr>
        <w:t>ИА құру үшін жер негізі ретінде Байғанин ауданының Қолтабан ауылдық округінде орналасқан (кадастрлық нөмірі 02-023-020-238), шаруа қожалығының «Қосбол» ұзақ мерзімді жер пайдалануындағы ауыл шаруашылығы мақсатындағы жерлерден жалпы ауданы 200 гектар болатын екі учаскені бөліп беру қарастырылуда. Бастапқы жер массивінің ауданы – 2 204 гектар.</w:t>
      </w:r>
    </w:p>
    <w:p w14:paraId="1BD84696">
      <w:pPr>
        <w:spacing w:line="240" w:lineRule="auto"/>
        <w:rPr>
          <w:rFonts w:ascii="Cambria" w:hAnsi="Cambria"/>
          <w:lang w:val="ru-RU"/>
        </w:rPr>
      </w:pPr>
      <w:r>
        <w:rPr>
          <w:rFonts w:ascii="Cambria" w:hAnsi="Cambria"/>
          <w:lang w:val="ru-RU"/>
        </w:rPr>
        <w:t>Қазіргі уақытта Байғанин ауданының әкімдігі жер пайдаланушымен жер учаскесінің бір бөлігін мемлекеттік меншікке қайтару немесе оның конфигурациясын өзгертіп, орнына басқа жерде көлемі ұқсас жер учаскесін беру мүмкіндігін пысықтап жатыр.</w:t>
      </w:r>
    </w:p>
    <w:p w14:paraId="3C38AC26">
      <w:pPr>
        <w:spacing w:line="240" w:lineRule="auto"/>
        <w:rPr>
          <w:rFonts w:ascii="Cambria" w:hAnsi="Cambria"/>
          <w:lang w:val="ru-RU"/>
        </w:rPr>
      </w:pPr>
      <w:r>
        <w:rPr>
          <w:rFonts w:ascii="Cambria" w:hAnsi="Cambria"/>
          <w:lang w:val="ru-RU"/>
        </w:rPr>
        <w:t>Бұл мәселе Ақтөбе облысының және Байғанин ауданының әкімдіктерінің ерекше бақылауында. Жер мәселесі бойынша түпкілікті шешім қолданыстағы заңнама талаптарын ескере отырып, жүргізіліп жатқан жұмыстың нәтижелері бойынша қабылданады.</w:t>
      </w:r>
    </w:p>
    <w:p w14:paraId="686E5B3C">
      <w:pPr>
        <w:spacing w:line="240" w:lineRule="auto"/>
        <w:rPr>
          <w:rFonts w:ascii="Cambria" w:hAnsi="Cambria"/>
          <w:lang w:val="ru-RU"/>
        </w:rPr>
      </w:pPr>
      <w:r>
        <w:rPr>
          <w:rFonts w:ascii="Cambria" w:hAnsi="Cambria"/>
          <w:lang w:val="ru-RU"/>
        </w:rPr>
        <w:t>Индустриялық аймақ өңдеу өнеркәсібі жобаларын орналастыруға бағдарланған. Қазіргі кезеңде бастамашылары цемент зауытымен сабақтас өндірістерді құруға мүдделі әлеуетті жобалардың тізбесі өзара байланысты төрт бағыт бойынша қалыптастырылды:</w:t>
      </w:r>
    </w:p>
    <w:p w14:paraId="12396EAF">
      <w:pPr>
        <w:pStyle w:val="73"/>
        <w:numPr>
          <w:ilvl w:val="0"/>
          <w:numId w:val="7"/>
        </w:numPr>
        <w:spacing w:line="240" w:lineRule="auto"/>
        <w:rPr>
          <w:rFonts w:ascii="Cambria" w:hAnsi="Cambria"/>
          <w:lang w:val="ru-RU"/>
        </w:rPr>
      </w:pPr>
      <w:r>
        <w:rPr>
          <w:rFonts w:ascii="Cambria" w:hAnsi="Cambria"/>
          <w:lang w:val="ru-RU"/>
        </w:rPr>
        <w:t>инфрақұрылым құрылысына арналған ТББ өндіру;</w:t>
      </w:r>
    </w:p>
    <w:p w14:paraId="1DE1341C">
      <w:pPr>
        <w:pStyle w:val="73"/>
        <w:numPr>
          <w:ilvl w:val="0"/>
          <w:numId w:val="7"/>
        </w:numPr>
        <w:spacing w:line="240" w:lineRule="auto"/>
        <w:rPr>
          <w:rFonts w:ascii="Cambria" w:hAnsi="Cambria"/>
          <w:lang w:val="ru-RU"/>
        </w:rPr>
      </w:pPr>
      <w:r>
        <w:rPr>
          <w:rFonts w:ascii="Cambria" w:hAnsi="Cambria"/>
          <w:lang w:val="ru-RU"/>
        </w:rPr>
        <w:t>тұрғын үй құрылысына арналған ТББ өндіру;</w:t>
      </w:r>
    </w:p>
    <w:p w14:paraId="0885A630">
      <w:pPr>
        <w:pStyle w:val="73"/>
        <w:numPr>
          <w:ilvl w:val="0"/>
          <w:numId w:val="7"/>
        </w:numPr>
        <w:spacing w:line="240" w:lineRule="auto"/>
        <w:rPr>
          <w:rFonts w:ascii="Cambria" w:hAnsi="Cambria"/>
          <w:lang w:val="ru-RU"/>
        </w:rPr>
      </w:pPr>
      <w:r>
        <w:rPr>
          <w:rFonts w:ascii="Cambria" w:hAnsi="Cambria"/>
          <w:lang w:val="ru-RU"/>
        </w:rPr>
        <w:t>цементті терең өңдеу арқылы құрылыс материалдарын шығару;</w:t>
      </w:r>
    </w:p>
    <w:p w14:paraId="7ACF90B1">
      <w:pPr>
        <w:pStyle w:val="73"/>
        <w:numPr>
          <w:ilvl w:val="0"/>
          <w:numId w:val="7"/>
        </w:numPr>
        <w:spacing w:line="240" w:lineRule="auto"/>
        <w:rPr>
          <w:rFonts w:ascii="Cambria" w:hAnsi="Cambria"/>
          <w:lang w:val="ru-RU"/>
        </w:rPr>
      </w:pPr>
      <w:r>
        <w:rPr>
          <w:rFonts w:ascii="Cambria" w:hAnsi="Cambria"/>
          <w:lang w:val="ru-RU"/>
        </w:rPr>
        <w:t>жол құрылысы мен абаттандыруға арналған бетон бұйымдарын өндіру.</w:t>
      </w:r>
    </w:p>
    <w:p w14:paraId="5E6ECE8D">
      <w:pPr>
        <w:spacing w:line="240" w:lineRule="auto"/>
        <w:rPr>
          <w:rFonts w:ascii="Cambria" w:hAnsi="Cambria"/>
          <w:lang w:val="ru-RU"/>
        </w:rPr>
      </w:pPr>
      <w:r>
        <w:rPr>
          <w:rFonts w:ascii="Cambria" w:hAnsi="Cambria"/>
          <w:lang w:val="ru-RU"/>
        </w:rPr>
        <w:t>Бұл ретте әлеуетті жобалар тізбесі ИА-ның салалық бейінін шектемейді: индустриялық аймақ аумағын нарық сұранысы мен инвестициялық ұсыныстарды ескере отырып, ең алдымен құрылыс индустриясындағы өңдеу өнеркәсібінің басқа жобаларын орналастыруға пайдалануға болады.</w:t>
      </w:r>
    </w:p>
    <w:p w14:paraId="295C648E">
      <w:pPr>
        <w:pStyle w:val="75"/>
        <w:spacing w:line="240" w:lineRule="auto"/>
        <w:ind w:firstLine="567"/>
        <w:jc w:val="both"/>
        <w:rPr>
          <w:rFonts w:ascii="Cambria" w:hAnsi="Cambria"/>
          <w:i w:val="0"/>
          <w:color w:val="181F2D"/>
          <w:sz w:val="24"/>
          <w:lang w:val="ru-RU"/>
        </w:rPr>
      </w:pPr>
      <w:r>
        <w:rPr>
          <w:rFonts w:ascii="Cambria" w:hAnsi="Cambria"/>
          <w:i w:val="0"/>
          <w:color w:val="181F2D"/>
          <w:sz w:val="24"/>
          <w:lang w:val="ru-RU"/>
        </w:rPr>
        <w:t>Өнеркәсіптік жобаларды іске асыру тәжірибесін, құрылыс материалдары өндірісін дамытудың перспективалық бағыттарын талдау, сондай-ақ әлеуетті инвесторлармен алдын ала келіссөздер негізінде бастамашылары Индустриялық аймақ аумағына орналастыруға алдын ала қызығушылық білдірген жеті әлеуетті инвестициялық жобаның тізбесі қалыптастырылды. Олардың өндірістік қуаттары, жер учаскелеріне қажеттілігі, инвестиция көлемі және күтілетін жұмыспен қамту көрсеткіштері алдын ала айқындалды. Жобаларды іске асыру қажетті инфрақұрылымның дайын болуына және инвесторлармен қол жеткізілген уағдаластықтарға қарай кезең-кезеңімен көзделеді.</w:t>
      </w:r>
    </w:p>
    <w:p w14:paraId="2B624F13">
      <w:pPr>
        <w:pStyle w:val="75"/>
        <w:spacing w:line="240" w:lineRule="auto"/>
        <w:rPr>
          <w:rFonts w:ascii="Cambria" w:hAnsi="Cambria"/>
          <w:lang w:val="ru-RU"/>
        </w:rPr>
      </w:pPr>
      <w:r>
        <w:rPr>
          <w:rFonts w:ascii="Cambria" w:hAnsi="Cambria"/>
          <w:lang w:val="ru-RU"/>
        </w:rPr>
        <w:t>1.1-кесте – Құрылатын индустриялық аймақтың бастапқы алдын ала параметрлері</w:t>
      </w:r>
    </w:p>
    <w:tbl>
      <w:tblPr>
        <w:tblStyle w:val="43"/>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2"/>
        <w:gridCol w:w="5726"/>
      </w:tblGrid>
      <w:tr w14:paraId="5E6D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72" w:type="dxa"/>
            <w:shd w:val="clear" w:color="auto" w:fill="23486F"/>
            <w:vAlign w:val="center"/>
          </w:tcPr>
          <w:p w14:paraId="75805747">
            <w:pPr>
              <w:spacing w:line="240" w:lineRule="auto"/>
              <w:ind w:firstLine="0"/>
              <w:jc w:val="center"/>
              <w:rPr>
                <w:rFonts w:ascii="Cambria" w:hAnsi="Cambria"/>
              </w:rPr>
            </w:pPr>
            <w:r>
              <w:rPr>
                <w:rFonts w:ascii="Cambria" w:hAnsi="Cambria"/>
                <w:b/>
                <w:color w:val="FFFFFF"/>
                <w:sz w:val="20"/>
              </w:rPr>
              <w:t>Параметр</w:t>
            </w:r>
          </w:p>
        </w:tc>
        <w:tc>
          <w:tcPr>
            <w:tcW w:w="5725" w:type="dxa"/>
            <w:shd w:val="clear" w:color="auto" w:fill="23486F"/>
            <w:vAlign w:val="center"/>
          </w:tcPr>
          <w:p w14:paraId="57A134A7">
            <w:pPr>
              <w:spacing w:line="240" w:lineRule="auto"/>
              <w:ind w:firstLine="0"/>
              <w:jc w:val="center"/>
              <w:rPr>
                <w:rFonts w:ascii="Cambria" w:hAnsi="Cambria"/>
              </w:rPr>
            </w:pPr>
            <w:r>
              <w:rPr>
                <w:rFonts w:ascii="Cambria" w:hAnsi="Cambria"/>
                <w:b/>
                <w:color w:val="FFFFFF"/>
                <w:sz w:val="20"/>
              </w:rPr>
              <w:t>Қабылданған мән</w:t>
            </w:r>
          </w:p>
        </w:tc>
      </w:tr>
      <w:tr w14:paraId="4349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vAlign w:val="center"/>
          </w:tcPr>
          <w:p w14:paraId="3840110C">
            <w:pPr>
              <w:spacing w:after="0" w:line="240" w:lineRule="auto"/>
              <w:ind w:firstLine="0"/>
              <w:jc w:val="left"/>
              <w:rPr>
                <w:rFonts w:ascii="Cambria" w:hAnsi="Cambria"/>
              </w:rPr>
            </w:pPr>
            <w:r>
              <w:rPr>
                <w:rFonts w:ascii="Cambria" w:hAnsi="Cambria"/>
                <w:sz w:val="19"/>
              </w:rPr>
              <w:t>Орналасқан жері</w:t>
            </w:r>
          </w:p>
        </w:tc>
        <w:tc>
          <w:tcPr>
            <w:tcW w:w="5725" w:type="dxa"/>
            <w:vAlign w:val="center"/>
          </w:tcPr>
          <w:p w14:paraId="0CDADC7E">
            <w:pPr>
              <w:spacing w:after="0" w:line="240" w:lineRule="auto"/>
              <w:ind w:firstLine="0"/>
              <w:jc w:val="left"/>
              <w:rPr>
                <w:rFonts w:ascii="Cambria" w:hAnsi="Cambria"/>
                <w:lang w:val="ru-RU"/>
              </w:rPr>
            </w:pPr>
            <w:r>
              <w:rPr>
                <w:rFonts w:ascii="Cambria" w:hAnsi="Cambria"/>
                <w:sz w:val="19"/>
                <w:lang w:val="ru-RU"/>
              </w:rPr>
              <w:t>Ақтөбе облысы, Байғанин ауданы, Қолтабан ауылдық округі</w:t>
            </w:r>
          </w:p>
        </w:tc>
      </w:tr>
      <w:tr w14:paraId="27BC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shd w:val="clear" w:color="auto" w:fill="F2F6FA"/>
            <w:vAlign w:val="center"/>
          </w:tcPr>
          <w:p w14:paraId="77B9515B">
            <w:pPr>
              <w:spacing w:after="0" w:line="240" w:lineRule="auto"/>
              <w:ind w:firstLine="0"/>
              <w:jc w:val="left"/>
              <w:rPr>
                <w:rFonts w:ascii="Cambria" w:hAnsi="Cambria"/>
              </w:rPr>
            </w:pPr>
            <w:r>
              <w:rPr>
                <w:rFonts w:ascii="Cambria" w:hAnsi="Cambria"/>
                <w:sz w:val="19"/>
              </w:rPr>
              <w:t>ИА санаты мен түрі</w:t>
            </w:r>
          </w:p>
        </w:tc>
        <w:tc>
          <w:tcPr>
            <w:tcW w:w="5725" w:type="dxa"/>
            <w:shd w:val="clear" w:color="auto" w:fill="F2F6FA"/>
            <w:vAlign w:val="center"/>
          </w:tcPr>
          <w:p w14:paraId="1B730CBE">
            <w:pPr>
              <w:spacing w:after="0" w:line="240" w:lineRule="auto"/>
              <w:ind w:firstLine="0"/>
              <w:jc w:val="left"/>
              <w:rPr>
                <w:rFonts w:ascii="Cambria" w:hAnsi="Cambria"/>
              </w:rPr>
            </w:pPr>
            <w:r>
              <w:rPr>
                <w:rFonts w:ascii="Cambria" w:hAnsi="Cambria"/>
                <w:sz w:val="19"/>
              </w:rPr>
              <w:t>Өңірлік маңызы бар индустриялық аймақ</w:t>
            </w:r>
          </w:p>
        </w:tc>
      </w:tr>
      <w:tr w14:paraId="0F28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vAlign w:val="center"/>
          </w:tcPr>
          <w:p w14:paraId="083D579F">
            <w:pPr>
              <w:spacing w:after="0" w:line="240" w:lineRule="auto"/>
              <w:ind w:firstLine="0"/>
              <w:jc w:val="left"/>
              <w:rPr>
                <w:rFonts w:ascii="Cambria" w:hAnsi="Cambria"/>
              </w:rPr>
            </w:pPr>
            <w:r>
              <w:rPr>
                <w:rFonts w:ascii="Cambria" w:hAnsi="Cambria"/>
                <w:sz w:val="19"/>
              </w:rPr>
              <w:t>Жоспарланған жалпы ауданы</w:t>
            </w:r>
          </w:p>
        </w:tc>
        <w:tc>
          <w:tcPr>
            <w:tcW w:w="5725" w:type="dxa"/>
            <w:vAlign w:val="center"/>
          </w:tcPr>
          <w:p w14:paraId="34572B61">
            <w:pPr>
              <w:spacing w:after="0" w:line="240" w:lineRule="auto"/>
              <w:ind w:firstLine="0"/>
              <w:jc w:val="left"/>
              <w:rPr>
                <w:rFonts w:ascii="Cambria" w:hAnsi="Cambria"/>
                <w:lang w:val="ru-RU"/>
              </w:rPr>
            </w:pPr>
            <w:r>
              <w:rPr>
                <w:rFonts w:ascii="Cambria" w:hAnsi="Cambria"/>
                <w:sz w:val="19"/>
                <w:lang w:val="ru-RU"/>
              </w:rPr>
              <w:t>200 га: № 1 алаң – 122 га, № 2 алаң – 78 га</w:t>
            </w:r>
          </w:p>
        </w:tc>
      </w:tr>
      <w:tr w14:paraId="3104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shd w:val="clear" w:color="auto" w:fill="F2F6FA"/>
            <w:vAlign w:val="center"/>
          </w:tcPr>
          <w:p w14:paraId="0C96EE6F">
            <w:pPr>
              <w:spacing w:after="0" w:line="240" w:lineRule="auto"/>
              <w:ind w:firstLine="0"/>
              <w:jc w:val="left"/>
              <w:rPr>
                <w:rFonts w:ascii="Cambria" w:hAnsi="Cambria"/>
              </w:rPr>
            </w:pPr>
            <w:r>
              <w:rPr>
                <w:rFonts w:ascii="Cambria" w:hAnsi="Cambria"/>
                <w:sz w:val="19"/>
              </w:rPr>
              <w:t>Салалық бағыты</w:t>
            </w:r>
          </w:p>
        </w:tc>
        <w:tc>
          <w:tcPr>
            <w:tcW w:w="5725" w:type="dxa"/>
            <w:shd w:val="clear" w:color="auto" w:fill="F2F6FA"/>
            <w:vAlign w:val="center"/>
          </w:tcPr>
          <w:p w14:paraId="1545C788">
            <w:pPr>
              <w:spacing w:after="0" w:line="240" w:lineRule="auto"/>
              <w:ind w:firstLine="0"/>
              <w:jc w:val="left"/>
              <w:rPr>
                <w:rFonts w:ascii="Cambria" w:hAnsi="Cambria"/>
                <w:lang w:val="ru-RU"/>
              </w:rPr>
            </w:pPr>
            <w:r>
              <w:rPr>
                <w:rFonts w:ascii="Cambria" w:hAnsi="Cambria"/>
                <w:sz w:val="19"/>
                <w:lang w:val="ru-RU"/>
              </w:rPr>
              <w:t>Өңдеу өнеркәсібі</w:t>
            </w:r>
          </w:p>
        </w:tc>
      </w:tr>
      <w:tr w14:paraId="319F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vAlign w:val="center"/>
          </w:tcPr>
          <w:p w14:paraId="125D5611">
            <w:pPr>
              <w:spacing w:after="0" w:line="240" w:lineRule="auto"/>
              <w:ind w:firstLine="0"/>
              <w:jc w:val="left"/>
              <w:rPr>
                <w:rFonts w:ascii="Cambria" w:hAnsi="Cambria"/>
              </w:rPr>
            </w:pPr>
            <w:r>
              <w:rPr>
                <w:rFonts w:ascii="Cambria" w:hAnsi="Cambria"/>
                <w:sz w:val="19"/>
              </w:rPr>
              <w:t>Сыртқы якорлық өнеркәсіп объектісі</w:t>
            </w:r>
          </w:p>
        </w:tc>
        <w:tc>
          <w:tcPr>
            <w:tcW w:w="5725" w:type="dxa"/>
            <w:vAlign w:val="center"/>
          </w:tcPr>
          <w:p w14:paraId="21BB830C">
            <w:pPr>
              <w:spacing w:after="0" w:line="240" w:lineRule="auto"/>
              <w:ind w:firstLine="0"/>
              <w:jc w:val="left"/>
              <w:rPr>
                <w:rFonts w:ascii="Cambria" w:hAnsi="Cambria"/>
                <w:lang w:val="ru-RU"/>
              </w:rPr>
            </w:pPr>
            <w:r>
              <w:rPr>
                <w:rFonts w:ascii="Cambria" w:hAnsi="Cambria"/>
                <w:sz w:val="19"/>
                <w:lang w:val="ru-RU"/>
              </w:rPr>
              <w:t>«QazCement Industries» ЖШС салып жатқан цемент зауыты (ИА периметрінен тыс)</w:t>
            </w:r>
          </w:p>
        </w:tc>
      </w:tr>
      <w:tr w14:paraId="2790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shd w:val="clear" w:color="auto" w:fill="F2F6FA"/>
            <w:vAlign w:val="center"/>
          </w:tcPr>
          <w:p w14:paraId="4435481F">
            <w:pPr>
              <w:spacing w:after="0" w:line="240" w:lineRule="auto"/>
              <w:ind w:firstLine="0"/>
              <w:jc w:val="left"/>
              <w:rPr>
                <w:rFonts w:ascii="Cambria" w:hAnsi="Cambria"/>
              </w:rPr>
            </w:pPr>
            <w:r>
              <w:rPr>
                <w:rFonts w:ascii="Cambria" w:hAnsi="Cambria"/>
                <w:sz w:val="19"/>
              </w:rPr>
              <w:t>Жоспарланған өндірістер</w:t>
            </w:r>
          </w:p>
        </w:tc>
        <w:tc>
          <w:tcPr>
            <w:tcW w:w="5725" w:type="dxa"/>
            <w:shd w:val="clear" w:color="auto" w:fill="F2F6FA"/>
            <w:vAlign w:val="center"/>
          </w:tcPr>
          <w:p w14:paraId="4B1CB676">
            <w:pPr>
              <w:spacing w:after="0" w:line="240" w:lineRule="auto"/>
              <w:ind w:firstLine="0"/>
              <w:jc w:val="left"/>
              <w:rPr>
                <w:rFonts w:ascii="Cambria" w:hAnsi="Cambria"/>
                <w:lang w:val="ru-RU"/>
              </w:rPr>
            </w:pPr>
            <w:r>
              <w:rPr>
                <w:rFonts w:ascii="Cambria" w:hAnsi="Cambria"/>
                <w:sz w:val="19"/>
                <w:lang w:val="ru-RU"/>
              </w:rPr>
              <w:t>Төрт бағыт бойынша жеті әлеуетті жоба; бос алаңдар өңдеу өнеркәсібінің өзге жобаларына арналған</w:t>
            </w:r>
          </w:p>
        </w:tc>
      </w:tr>
      <w:tr w14:paraId="2900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vAlign w:val="center"/>
          </w:tcPr>
          <w:p w14:paraId="737ABDDF">
            <w:pPr>
              <w:spacing w:after="0" w:line="240" w:lineRule="auto"/>
              <w:ind w:firstLine="0"/>
              <w:jc w:val="left"/>
              <w:rPr>
                <w:rFonts w:ascii="Cambria" w:hAnsi="Cambria"/>
              </w:rPr>
            </w:pPr>
            <w:r>
              <w:rPr>
                <w:rFonts w:ascii="Cambria" w:hAnsi="Cambria"/>
                <w:sz w:val="19"/>
              </w:rPr>
              <w:t>Жеке инвестициялардың бағдарлық көлемі</w:t>
            </w:r>
          </w:p>
        </w:tc>
        <w:tc>
          <w:tcPr>
            <w:tcW w:w="5725" w:type="dxa"/>
            <w:vAlign w:val="center"/>
          </w:tcPr>
          <w:p w14:paraId="46D308AD">
            <w:pPr>
              <w:spacing w:after="0" w:line="240" w:lineRule="auto"/>
              <w:ind w:firstLine="0"/>
              <w:jc w:val="left"/>
              <w:rPr>
                <w:rFonts w:ascii="Cambria" w:hAnsi="Cambria"/>
              </w:rPr>
            </w:pPr>
            <w:r>
              <w:rPr>
                <w:rFonts w:ascii="Cambria" w:hAnsi="Cambria"/>
                <w:sz w:val="19"/>
              </w:rPr>
              <w:t>38,7 млрд теңге</w:t>
            </w:r>
          </w:p>
        </w:tc>
      </w:tr>
      <w:tr w14:paraId="30B4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shd w:val="clear" w:color="auto" w:fill="F2F6FA"/>
            <w:vAlign w:val="center"/>
          </w:tcPr>
          <w:p w14:paraId="192C33C5">
            <w:pPr>
              <w:spacing w:after="0" w:line="240" w:lineRule="auto"/>
              <w:ind w:firstLine="0"/>
              <w:jc w:val="left"/>
              <w:rPr>
                <w:rFonts w:ascii="Cambria" w:hAnsi="Cambria"/>
              </w:rPr>
            </w:pPr>
            <w:r>
              <w:rPr>
                <w:rFonts w:ascii="Cambria" w:hAnsi="Cambria"/>
                <w:sz w:val="19"/>
              </w:rPr>
              <w:t>ИА инфрақұрылымының алдын ала құны</w:t>
            </w:r>
          </w:p>
        </w:tc>
        <w:tc>
          <w:tcPr>
            <w:tcW w:w="5725" w:type="dxa"/>
            <w:shd w:val="clear" w:color="auto" w:fill="F2F6FA"/>
            <w:vAlign w:val="center"/>
          </w:tcPr>
          <w:p w14:paraId="4FCAC357">
            <w:pPr>
              <w:spacing w:after="0" w:line="240" w:lineRule="auto"/>
              <w:ind w:firstLine="0"/>
              <w:jc w:val="left"/>
              <w:rPr>
                <w:rFonts w:ascii="Cambria" w:hAnsi="Cambria"/>
              </w:rPr>
            </w:pPr>
            <w:r>
              <w:rPr>
                <w:rFonts w:ascii="Cambria" w:hAnsi="Cambria"/>
                <w:sz w:val="19"/>
                <w:lang w:val="ru-RU"/>
              </w:rPr>
              <w:t>12,0 млрд теңге</w:t>
            </w:r>
          </w:p>
        </w:tc>
      </w:tr>
      <w:tr w14:paraId="0AA4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vAlign w:val="center"/>
          </w:tcPr>
          <w:p w14:paraId="1F1CA7B4">
            <w:pPr>
              <w:spacing w:after="0" w:line="240" w:lineRule="auto"/>
              <w:ind w:firstLine="0"/>
              <w:jc w:val="left"/>
              <w:rPr>
                <w:rFonts w:ascii="Cambria" w:hAnsi="Cambria"/>
              </w:rPr>
            </w:pPr>
            <w:r>
              <w:rPr>
                <w:rFonts w:ascii="Cambria" w:hAnsi="Cambria"/>
                <w:sz w:val="19"/>
              </w:rPr>
              <w:t>Күтілетін тұрақты жұмыспен қамту</w:t>
            </w:r>
          </w:p>
        </w:tc>
        <w:tc>
          <w:tcPr>
            <w:tcW w:w="5725" w:type="dxa"/>
            <w:vAlign w:val="center"/>
          </w:tcPr>
          <w:p w14:paraId="295A5CBD">
            <w:pPr>
              <w:spacing w:after="0" w:line="240" w:lineRule="auto"/>
              <w:ind w:firstLine="0"/>
              <w:jc w:val="left"/>
              <w:rPr>
                <w:rFonts w:ascii="Cambria" w:hAnsi="Cambria"/>
                <w:lang w:val="ru-RU"/>
              </w:rPr>
            </w:pPr>
            <w:r>
              <w:rPr>
                <w:rFonts w:ascii="Cambria" w:hAnsi="Cambria"/>
                <w:sz w:val="19"/>
                <w:lang w:val="ru-RU"/>
              </w:rPr>
              <w:t>Барлық жобалар іске асырылғанда 605 жұмыс орны</w:t>
            </w:r>
          </w:p>
        </w:tc>
      </w:tr>
      <w:tr w14:paraId="2607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72" w:type="dxa"/>
            <w:shd w:val="clear" w:color="auto" w:fill="F2F6FA"/>
            <w:vAlign w:val="center"/>
          </w:tcPr>
          <w:p w14:paraId="65255312">
            <w:pPr>
              <w:spacing w:after="0" w:line="240" w:lineRule="auto"/>
              <w:ind w:firstLine="0"/>
              <w:jc w:val="left"/>
              <w:rPr>
                <w:rFonts w:ascii="Cambria" w:hAnsi="Cambria"/>
                <w:lang w:val="ru-RU"/>
              </w:rPr>
            </w:pPr>
            <w:r>
              <w:rPr>
                <w:rFonts w:ascii="Cambria" w:hAnsi="Cambria"/>
                <w:sz w:val="19"/>
                <w:lang w:val="ru-RU"/>
              </w:rPr>
              <w:t>ИА-ның электр қуатына қажеттілігі</w:t>
            </w:r>
          </w:p>
        </w:tc>
        <w:tc>
          <w:tcPr>
            <w:tcW w:w="5725" w:type="dxa"/>
            <w:shd w:val="clear" w:color="auto" w:fill="F2F6FA"/>
            <w:vAlign w:val="center"/>
          </w:tcPr>
          <w:p w14:paraId="63F0C01D">
            <w:pPr>
              <w:spacing w:after="0" w:line="240" w:lineRule="auto"/>
              <w:ind w:firstLine="0"/>
              <w:jc w:val="left"/>
              <w:rPr>
                <w:rFonts w:ascii="Cambria" w:hAnsi="Cambria"/>
                <w:lang w:val="ru-RU"/>
              </w:rPr>
            </w:pPr>
            <w:r>
              <w:rPr>
                <w:rFonts w:ascii="Cambria" w:hAnsi="Cambria"/>
                <w:sz w:val="19"/>
                <w:lang w:val="ru-RU"/>
              </w:rPr>
              <w:t>10 МВт – цемент зауыты инфрақұрылымындағы резервке негізделген есептік қажеттілік</w:t>
            </w:r>
          </w:p>
        </w:tc>
      </w:tr>
    </w:tbl>
    <w:p w14:paraId="2B71CCC5">
      <w:pPr>
        <w:spacing w:line="240" w:lineRule="auto"/>
        <w:rPr>
          <w:rFonts w:ascii="Cambria" w:hAnsi="Cambria"/>
          <w:lang w:val="ru-RU"/>
        </w:rPr>
      </w:pPr>
      <w:r>
        <w:rPr>
          <w:rFonts w:ascii="Cambria" w:hAnsi="Cambria"/>
          <w:lang w:val="ru-RU"/>
        </w:rPr>
        <w:t>ИА шекарасынан тыс іске асырылатын «QazCement Industries» ЖШС цемент зауытына салынатын инвестициялар Индустриялық аймақтың инвестициялық портфелінің көрсеткіштеріне енгізілмейді. Сонымен бірге зауыттың құрылуы болашақ резиденттерге цементке қол жеткізуді және көлік пен инженерлік инфрақұрылымға қосылу мүмкіндігін қамтамасыз ететін өнеркәсіптік кооперацияның негізгі сыртқы алғышарты болып табылады.</w:t>
      </w:r>
    </w:p>
    <w:p w14:paraId="47C96FB7">
      <w:pPr>
        <w:pStyle w:val="3"/>
        <w:spacing w:line="240" w:lineRule="auto"/>
        <w:rPr>
          <w:rFonts w:ascii="Cambria" w:hAnsi="Cambria"/>
          <w:lang w:val="ru-RU"/>
        </w:rPr>
      </w:pPr>
      <w:bookmarkStart w:id="2" w:name="__RefHeading___Toc9480_2617525462"/>
      <w:bookmarkEnd w:id="2"/>
      <w:r>
        <w:rPr>
          <w:rFonts w:ascii="Cambria" w:hAnsi="Cambria"/>
          <w:lang w:val="ru-RU"/>
        </w:rPr>
        <w:t>1.2. Индустриялық аймақты құрудың негіздері мен алғышарттары</w:t>
      </w:r>
    </w:p>
    <w:p w14:paraId="15CFAAA1">
      <w:pPr>
        <w:keepNext/>
        <w:keepLines/>
        <w:spacing w:line="240" w:lineRule="auto"/>
        <w:rPr>
          <w:rFonts w:ascii="Cambria" w:hAnsi="Cambria"/>
          <w:lang w:val="ru-RU"/>
        </w:rPr>
      </w:pPr>
      <w:r>
        <w:rPr>
          <w:rFonts w:ascii="Cambria" w:hAnsi="Cambria"/>
          <w:lang w:val="ru-RU"/>
        </w:rPr>
        <w:t>Тұжырымдаманы әзірлеудің құқықтық негізі – Қазақстан Республикасының 2019 жылғы 3 сәуірдегі № 242-VI «Арнайы экономикалық және индустриялық аймақтар туралы» Заңы, сондай-ақ Қазақстан Республикасы Индустрия және инфрақұрылымдық даму министрінің 2019 жылғы 30 шілдедегі № 571 бұйрығымен бекітілген индустриялық аймақтарды құру тұжырымдамаларына қойылатын талаптар. Өңірлік маңызы бар ИА құру және жер учаскелерін беру, басқарушы компанияны айқындау әрі жобаларды іріктеу жөніндегі кейінгі рәсімдерді қолданылатын нормативтік құқықтық актілерге сәйкес жүзеге асыру көзделеді.</w:t>
      </w:r>
    </w:p>
    <w:p w14:paraId="5AD1B296">
      <w:pPr>
        <w:spacing w:line="240" w:lineRule="auto"/>
        <w:rPr>
          <w:rFonts w:ascii="Cambria" w:hAnsi="Cambria"/>
          <w:lang w:val="ru-RU"/>
        </w:rPr>
      </w:pPr>
      <w:r>
        <w:rPr>
          <w:rFonts w:ascii="Cambria" w:hAnsi="Cambria"/>
          <w:lang w:val="ru-RU"/>
        </w:rPr>
        <w:t>Жобаны пысықтаудың тікелей ұйымдастырушылық негізі – 2026 жылғы 2 қазанда Байғанин ауданында Ақтөбе облысы әкімінің орынбасарының төрағалығымен өткен көшпелі кеңестің хаттамасы. Кеңесте цемент зауытын іске асыру, онымен байланысты өндірістерді орналастыруға жағдай жасау және өңірлік маңызы бар индустриялық аймаққа жер бөлу мәселелері қаралды. Хаттамада алаңның параметрлерін, инфрақұрылымға қажеттілігін, құқықтық мәртебесін және ИА құру жөніндегі ұйымдастырушылық шараларды пысықтау көзделген.</w:t>
      </w:r>
    </w:p>
    <w:p w14:paraId="780D17C7">
      <w:pPr>
        <w:spacing w:line="240" w:lineRule="auto"/>
        <w:rPr>
          <w:rFonts w:ascii="Cambria" w:hAnsi="Cambria"/>
          <w:lang w:val="ru-RU"/>
        </w:rPr>
      </w:pPr>
      <w:r>
        <w:rPr>
          <w:rFonts w:ascii="Cambria" w:hAnsi="Cambria"/>
          <w:lang w:val="ru-RU"/>
        </w:rPr>
        <w:t>Индустриялық аймақты құрудың негізгі экономикалық алғышарты – «QazCement Industries» ЖШС-нің жылына шамамен 1,3 млн тонна цемент (тәулігіне шамамен 3 500 тонна клинкер) өндіретін цемент зауытын салу жөніндегі ірі инвестициялық жобасын іске асыру. Жобаға салынатын инвестиция көлемі 80 млрд теңгеден асады. Бұл жоба Байғанин ауданында өңдеу өндірістерін, соның ішінде цемент өнімдерін кейінгі өңдеу кәсіпорындарын дамытуға негіз қалайды. Индустриялық аймақты цемент зауытына жақын орналастыру тұрақты өндірістік-кооперациялық байланыстар қалыптастыруға, негізгі шикізатты тасымалдау шығындарын азайтуға және инженерлік-коммуникациялық әрі көлік инфрақұрылымын бірлесіп пайдалануға алғышарт жасауға мүмкіндік береді.</w:t>
      </w:r>
    </w:p>
    <w:p w14:paraId="2375A90B">
      <w:pPr>
        <w:spacing w:line="240" w:lineRule="auto"/>
        <w:rPr>
          <w:rFonts w:ascii="Cambria" w:hAnsi="Cambria"/>
          <w:lang w:val="ru-RU"/>
        </w:rPr>
      </w:pPr>
      <w:r>
        <w:rPr>
          <w:rFonts w:ascii="Cambria" w:hAnsi="Cambria"/>
          <w:lang w:val="ru-RU"/>
        </w:rPr>
        <w:t>ИА құрудың өнеркәсіптік логикасындағы бағыттардың бірі – цемент зауыты маңында дайын цементті өнімнің негізгі құрамдастарының бірі ретінде пайдаланатын кәсіпорындарды дамыту. Аумақты осылай ұйымдастыру цемент жеткізу қашықтығын қысқартуға, өндірістерді жабдықтауды жеңілдетуге және өңірдің өзінде қосылған құны бар өнім шығара отырып, шикізатты кейінгі өңдеуге негіз қалыптастыруға мүмкіндік береді. Әрбір кәсіпорын үшін дербес инфрақұрылым салуға негізделген модельдің орнына цемент зауыты үшін салынып жатқан сыртқы желілер мен кірме коммуникацияларды барынша пайдалану ұсынылады.</w:t>
      </w:r>
    </w:p>
    <w:p w14:paraId="73E2CEE1">
      <w:pPr>
        <w:spacing w:line="240" w:lineRule="auto"/>
        <w:rPr>
          <w:rFonts w:ascii="Cambria" w:hAnsi="Cambria"/>
          <w:lang w:val="ru-RU"/>
        </w:rPr>
      </w:pPr>
      <w:r>
        <w:rPr>
          <w:rFonts w:ascii="Cambria" w:hAnsi="Cambria"/>
          <w:lang w:val="ru-RU"/>
        </w:rPr>
        <w:t>Қарастырылып отырған аумақта цемент зауытының автомобиль және теміржол қатынасын, электрмен және сумен жабдықтау жүйелерін қалыптастыру жоспарлануда. Тиісті инфрақұрылым ИА-ның екі алаңына техникалық тұрғыдан қолжетімді жерде орналасып, оның жобалық өткізу қабілеті болашақ резиденттерді қосуға мүмкіндік береді. Қуат резервінің жеткіліктілігі, пайдалану жауапкершілігінің шекаралары, қосылу нүктелері және қажетті техникалық шарттар өндірістік объектілердің жобалық құжаттамасын әзірлеу кезінде нақтыланып, инфрақұрылым иелерімен және операторларымен келісілуге тиіс.</w:t>
      </w:r>
    </w:p>
    <w:p w14:paraId="5F277D4E">
      <w:pPr>
        <w:spacing w:line="240" w:lineRule="auto"/>
        <w:rPr>
          <w:rFonts w:ascii="Cambria" w:hAnsi="Cambria"/>
          <w:lang w:val="ru-RU"/>
        </w:rPr>
      </w:pPr>
      <w:r>
        <w:rPr>
          <w:rFonts w:ascii="Cambria" w:hAnsi="Cambria"/>
          <w:lang w:val="ru-RU"/>
        </w:rPr>
        <w:t>Жобаны іске асырудың жеке шарты – қолданыстағы ауыл шаруашылығы жер массивінен екі учаске қалыптастыруға байланысты жер-құқықтық мәселелерді реттеу. Байғанин ауданының әкімдігі жер пайдаланушымен жер учаскесінің бір бөлігін мемлекеттік меншікке қайтару немесе оның конфигурациясын өзгертіп, орнына басқа жерде көлемі ұқсас жер учаскесін беру мүмкіндігін пысықтап жатыр. Түпкілікті шешім қабылданғанға дейін Тұжырымдама жер мәселесін аяқталған деп қарастырмайды және құқықтық негіздерді растау, жерге орналастыру рәсімдерін жүргізу және бөлінетін аумақтарға құқықтарды рәсімдеу қажеттігін негізге алады.</w:t>
      </w:r>
    </w:p>
    <w:p w14:paraId="08FF0503">
      <w:pPr>
        <w:spacing w:line="240" w:lineRule="auto"/>
        <w:rPr>
          <w:rFonts w:ascii="Cambria" w:hAnsi="Cambria"/>
          <w:lang w:val="ru-RU"/>
        </w:rPr>
      </w:pPr>
      <w:r>
        <w:rPr>
          <w:rFonts w:ascii="Cambria" w:hAnsi="Cambria"/>
          <w:lang w:val="ru-RU"/>
        </w:rPr>
        <w:t>Осылайша, Байғанин ауданындағы Индустриялық аймақты бос жатқан жерлерді игерудің оқшау жобасы ретінде емес, игерілуі цемент зауытымен өзара байланысты дайын құрылыс материалдарын өндіретін кәсіпорындарды орналастырудан басталып, кейін бос алаңдарға өңдеу өнеркәсібінің басқа жобаларын тартуды көздейтін жаңа өңдеу өнеркәсібі алаңы ретінде қарастыру ұсынылады.</w:t>
      </w:r>
    </w:p>
    <w:p w14:paraId="3A6FF83E">
      <w:pPr>
        <w:pStyle w:val="2"/>
        <w:pageBreakBefore/>
        <w:spacing w:line="240" w:lineRule="auto"/>
        <w:rPr>
          <w:rFonts w:ascii="Cambria" w:hAnsi="Cambria"/>
          <w:lang w:val="ru-RU"/>
        </w:rPr>
      </w:pPr>
      <w:bookmarkStart w:id="3" w:name="__RefHeading___Toc9482_2617525462"/>
      <w:bookmarkEnd w:id="3"/>
      <w:r>
        <w:rPr>
          <w:rFonts w:ascii="Cambria" w:hAnsi="Cambria"/>
          <w:lang w:val="ru-RU"/>
        </w:rPr>
        <w:t>2. ИНДУСТРИЯЛЫҚ АЙМАҚТЫ ҚҰРУ МАҚСАТТАРЫ</w:t>
      </w:r>
    </w:p>
    <w:p w14:paraId="7493262E">
      <w:pPr>
        <w:pStyle w:val="3"/>
        <w:spacing w:line="240" w:lineRule="auto"/>
        <w:rPr>
          <w:rFonts w:ascii="Cambria" w:hAnsi="Cambria"/>
          <w:lang w:val="ru-RU"/>
        </w:rPr>
      </w:pPr>
      <w:bookmarkStart w:id="4" w:name="__RefHeading___Toc9484_2617525462"/>
      <w:bookmarkEnd w:id="4"/>
      <w:r>
        <w:rPr>
          <w:rFonts w:ascii="Cambria" w:hAnsi="Cambria"/>
          <w:lang w:val="ru-RU"/>
        </w:rPr>
        <w:t>2.1. Индустриялық аймақты құру мақсаты мен негізгі міндеттері</w:t>
      </w:r>
    </w:p>
    <w:p w14:paraId="4C2CB3BD">
      <w:pPr>
        <w:spacing w:line="240" w:lineRule="auto"/>
        <w:rPr>
          <w:rFonts w:ascii="Cambria" w:hAnsi="Cambria"/>
          <w:lang w:val="ru-RU"/>
        </w:rPr>
      </w:pPr>
      <w:r>
        <w:rPr>
          <w:rFonts w:ascii="Cambria" w:hAnsi="Cambria"/>
          <w:lang w:val="ru-RU"/>
        </w:rPr>
        <w:t>Өңірлік маңызы бар индустриялық аймақты құрудың негізгі мақсаты – Байғанин ауданында цемент негізіндегі құрылыс материалдары мен темірбетон бұйымдарын өндіруді қоса алғанда, өңдеу өнеркәсібі жобаларын орналастыруға арналған, инфрақұрылыммен қамтамасыз етілген алаң қалыптастыру. Бұл цемент зауыты өнімдерін өңдеу тереңдігін арттыруға, жаңа жеке инвестициялар тартуға, Байғанин ауданы экономикасын әртараптандыруға және Ақтөбе облысының өңдеу өнеркәсібін дамытуға бағытталған.</w:t>
      </w:r>
    </w:p>
    <w:p w14:paraId="6254485B">
      <w:pPr>
        <w:spacing w:line="240" w:lineRule="auto"/>
        <w:rPr>
          <w:rFonts w:ascii="Cambria" w:hAnsi="Cambria"/>
          <w:lang w:val="ru-RU"/>
        </w:rPr>
      </w:pPr>
      <w:r>
        <w:rPr>
          <w:rFonts w:ascii="Cambria" w:hAnsi="Cambria"/>
          <w:lang w:val="ru-RU"/>
        </w:rPr>
        <w:t>Көрсетілген мақсатқа қол жеткізу өзара байланысты мынадай міндеттерді кезең-кезеңімен шешуді көздейді:</w:t>
      </w:r>
    </w:p>
    <w:p w14:paraId="0C7E8433">
      <w:pPr>
        <w:pStyle w:val="73"/>
        <w:numPr>
          <w:ilvl w:val="0"/>
          <w:numId w:val="8"/>
        </w:numPr>
        <w:spacing w:line="240" w:lineRule="auto"/>
        <w:ind w:left="851"/>
        <w:rPr>
          <w:rFonts w:ascii="Cambria" w:hAnsi="Cambria"/>
          <w:lang w:val="ru-RU"/>
        </w:rPr>
      </w:pPr>
      <w:r>
        <w:rPr>
          <w:rFonts w:ascii="Cambria" w:hAnsi="Cambria"/>
          <w:lang w:val="ru-RU"/>
        </w:rPr>
        <w:t>кәсіпорындарды орналастыру үшін аумақтық және ұйымдастырушылық жағдайлар жасау;</w:t>
      </w:r>
    </w:p>
    <w:p w14:paraId="27144D84">
      <w:pPr>
        <w:pStyle w:val="73"/>
        <w:numPr>
          <w:ilvl w:val="0"/>
          <w:numId w:val="8"/>
        </w:numPr>
        <w:spacing w:line="240" w:lineRule="auto"/>
        <w:ind w:left="851"/>
        <w:rPr>
          <w:rFonts w:ascii="Cambria" w:hAnsi="Cambria"/>
          <w:lang w:val="ru-RU"/>
        </w:rPr>
      </w:pPr>
      <w:r>
        <w:rPr>
          <w:rFonts w:ascii="Cambria" w:hAnsi="Cambria"/>
          <w:lang w:val="ru-RU"/>
        </w:rPr>
        <w:t>инженерлік және көлік коммуникацияларына экономикалық тұрғыдан негізделген қосылуды қамтамасыз ету;</w:t>
      </w:r>
    </w:p>
    <w:p w14:paraId="67D5A78B">
      <w:pPr>
        <w:pStyle w:val="73"/>
        <w:numPr>
          <w:ilvl w:val="0"/>
          <w:numId w:val="8"/>
        </w:numPr>
        <w:spacing w:line="240" w:lineRule="auto"/>
        <w:ind w:left="851"/>
        <w:rPr>
          <w:rFonts w:ascii="Cambria" w:hAnsi="Cambria"/>
          <w:lang w:val="ru-RU"/>
        </w:rPr>
      </w:pPr>
      <w:r>
        <w:rPr>
          <w:rFonts w:ascii="Cambria" w:hAnsi="Cambria"/>
          <w:lang w:val="ru-RU"/>
        </w:rPr>
        <w:t>өндірістік кооперацияны, оның ішінде цемент зауытымен кооперацияны дамыту;</w:t>
      </w:r>
    </w:p>
    <w:p w14:paraId="55B5E190">
      <w:pPr>
        <w:pStyle w:val="73"/>
        <w:numPr>
          <w:ilvl w:val="0"/>
          <w:numId w:val="8"/>
        </w:numPr>
        <w:spacing w:line="240" w:lineRule="auto"/>
        <w:ind w:left="851"/>
        <w:rPr>
          <w:rFonts w:ascii="Cambria" w:hAnsi="Cambria"/>
          <w:lang w:val="ru-RU"/>
        </w:rPr>
      </w:pPr>
      <w:r>
        <w:rPr>
          <w:rFonts w:ascii="Cambria" w:hAnsi="Cambria"/>
          <w:lang w:val="ru-RU"/>
        </w:rPr>
        <w:t>өңірлік және өңіраралық нарықтарда сұранысқа ие өнім шығаратын жобаларға инвесторлар тарту;</w:t>
      </w:r>
    </w:p>
    <w:p w14:paraId="69F82B68">
      <w:pPr>
        <w:pStyle w:val="73"/>
        <w:numPr>
          <w:ilvl w:val="0"/>
          <w:numId w:val="8"/>
        </w:numPr>
        <w:spacing w:line="240" w:lineRule="auto"/>
        <w:ind w:left="851"/>
        <w:rPr>
          <w:rFonts w:ascii="Cambria" w:hAnsi="Cambria"/>
          <w:lang w:val="ru-RU"/>
        </w:rPr>
      </w:pPr>
      <w:r>
        <w:rPr>
          <w:rFonts w:ascii="Cambria" w:hAnsi="Cambria"/>
          <w:lang w:val="ru-RU"/>
        </w:rPr>
        <w:t>жаңа жұмыс орындарын құру және өнеркәсіптік салық базасын кеңейту.</w:t>
      </w:r>
    </w:p>
    <w:p w14:paraId="04368A19">
      <w:pPr>
        <w:spacing w:line="240" w:lineRule="auto"/>
        <w:ind w:firstLine="0"/>
        <w:rPr>
          <w:rFonts w:ascii="Cambria" w:hAnsi="Cambria"/>
          <w:lang w:val="ru-RU"/>
        </w:rPr>
      </w:pPr>
      <w:r>
        <w:drawing>
          <wp:inline distT="0" distB="0" distL="114300" distR="114300">
            <wp:extent cx="6195060" cy="4888865"/>
            <wp:effectExtent l="0" t="0" r="152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stretch>
                      <a:fillRect/>
                    </a:stretch>
                  </pic:blipFill>
                  <pic:spPr>
                    <a:xfrm>
                      <a:off x="0" y="0"/>
                      <a:ext cx="6195060" cy="4888865"/>
                    </a:xfrm>
                    <a:prstGeom prst="rect">
                      <a:avLst/>
                    </a:prstGeom>
                  </pic:spPr>
                </pic:pic>
              </a:graphicData>
            </a:graphic>
          </wp:inline>
        </w:drawing>
      </w:r>
    </w:p>
    <w:p w14:paraId="27245B0A">
      <w:pPr>
        <w:spacing w:line="240" w:lineRule="auto"/>
        <w:rPr>
          <w:rFonts w:ascii="Cambria" w:hAnsi="Cambria"/>
          <w:lang w:val="ru-RU"/>
        </w:rPr>
      </w:pPr>
      <w:r>
        <w:rPr>
          <w:rFonts w:ascii="Cambria" w:hAnsi="Cambria"/>
          <w:lang w:val="ru-RU"/>
        </w:rPr>
        <w:t>Алдын ала қызығушылық білдірген әлеуетті инвесторлардың жобалары төрт бағыт пен екі аумақтық алаң бойынша топтастырылды. № 1 алаңда (122 га, оның 25 гектарын әлеуетті инвесторлардың жобалары алуы көзделеді, 97 га – бос алаңдар) инфрақұрылымдық және тұрғын үй құрылысына арналған темірбетон конструкцияларын өндіретін кәсіпорындарды орналастыру жоспарлануда. № 2 алаңда (78 га, оның 28 гектары әлеуетті инвесторлардың жобаларына арналған, 50 га – бос алаңдар) құрғақ құрылыс қоспаларын, фиброцемент бұйымдарын және жол құрылысы мен абаттандыруға арналған бетон өнімдерін өндіру көзделеді. Екі алаңдағы бос жерлер өңдеу өнеркәсібінің өзге жобаларын орналастыруға арналған.</w:t>
      </w:r>
    </w:p>
    <w:p w14:paraId="2E85D02F">
      <w:pPr>
        <w:spacing w:line="240" w:lineRule="auto"/>
        <w:rPr>
          <w:rFonts w:ascii="Cambria" w:hAnsi="Cambria"/>
          <w:lang w:val="ru-RU"/>
        </w:rPr>
      </w:pPr>
      <w:r>
        <w:rPr>
          <w:rFonts w:ascii="Cambria" w:hAnsi="Cambria"/>
          <w:lang w:val="ru-RU"/>
        </w:rPr>
        <w:t>Аталған құрылымды таңдау Байғанин ауданының ірі тұтыну орталықтарынан шалғай орналасуын ескерудің қажеттігіне байланысты. Әлеуетті жобалар тізбесіне негізінен зауытта дайындалған, ашық алаңдарда да сақтауға болатын және орташа не ұзақ қашықтыққа теміржол немесе автомобиль көлігімен тасымалдауға жарамды бұйымдар енгізілген. Құрылыс алаңына жедел жеткізуді қажет ететін тауарлық бетон қоспаларын өндіру экономикалық тұрғыдан тиімді тасымалдау радиусының шектеулілігіне байланысты ИА-ның басым жобалары қатарына жатқызылмайды.</w:t>
      </w:r>
    </w:p>
    <w:p w14:paraId="5E906746">
      <w:pPr>
        <w:spacing w:line="240" w:lineRule="auto"/>
        <w:rPr>
          <w:rFonts w:ascii="Cambria" w:hAnsi="Cambria"/>
          <w:lang w:val="ru-RU"/>
        </w:rPr>
      </w:pPr>
      <w:r>
        <w:rPr>
          <w:rFonts w:ascii="Cambria" w:hAnsi="Cambria"/>
          <w:lang w:val="ru-RU"/>
        </w:rPr>
        <w:t>ИА құру жер учаскесін игерумен ғана шектелмей, тұрақты өндірістік тізбекті қалыптастыруға бағытталады: цемент жеткізу — құрылыс бұйымдарын өндіру — өнімді сақтау және жөнелтуге дайындау — тапсырыс берушілерге тасымалдау. Бұл ретте цемент жеткізу мен инфрақұрылымды пайдалану шарттары мүдделі тараптардың жеке уағдаластықтарымен айқындалуға тиіс.</w:t>
      </w:r>
    </w:p>
    <w:p w14:paraId="64D6DE37">
      <w:pPr>
        <w:pStyle w:val="3"/>
        <w:spacing w:line="240" w:lineRule="auto"/>
        <w:rPr>
          <w:rFonts w:ascii="Cambria" w:hAnsi="Cambria"/>
          <w:lang w:val="ru-RU"/>
        </w:rPr>
      </w:pPr>
      <w:bookmarkStart w:id="5" w:name="__RefHeading___Toc9486_2617525462"/>
      <w:bookmarkEnd w:id="5"/>
      <w:r>
        <w:rPr>
          <w:rFonts w:ascii="Cambria" w:hAnsi="Cambria"/>
          <w:lang w:val="ru-RU"/>
        </w:rPr>
        <w:t>2.2. Географиялық орналасуы және аумақтық алғышарттары</w:t>
      </w:r>
    </w:p>
    <w:p w14:paraId="2217D280">
      <w:pPr>
        <w:spacing w:line="240" w:lineRule="auto"/>
        <w:rPr>
          <w:rFonts w:ascii="Cambria" w:hAnsi="Cambria"/>
          <w:lang w:val="ru-RU"/>
        </w:rPr>
      </w:pPr>
      <w:r>
        <w:rPr>
          <w:rFonts w:ascii="Cambria" w:hAnsi="Cambria"/>
          <w:lang w:val="ru-RU"/>
        </w:rPr>
        <w:t>Индустриялық аймақты Ақтөбе облысының Байғанин ауданындағы Қолтабан ауылдық округі аумағында, «QazCement Industries» ЖШС салып жатқан цемент зауытына тікелей жақын жерде орналастыру жоспарлануда. Алдын ала жоспарлау схемасына сәйкес ИА зауыттың өнеркәсіптік алаңының екі жағында орналасқан, ауданы 122 және 78 гектар екі учаскеден тұрады және қалыптастырылып жатқан көлік әрі инженерлік коммуникацияларға қосылу мүмкіндігі болады.</w:t>
      </w:r>
    </w:p>
    <w:p w14:paraId="06F34F45">
      <w:pPr>
        <w:spacing w:line="240" w:lineRule="auto"/>
        <w:rPr>
          <w:rFonts w:ascii="Cambria" w:hAnsi="Cambria"/>
          <w:lang w:val="ru-RU"/>
        </w:rPr>
      </w:pPr>
      <w:r>
        <w:rPr>
          <w:rFonts w:ascii="Cambria" w:hAnsi="Cambria"/>
          <w:lang w:val="ru-RU"/>
        </w:rPr>
        <w:t>Болашақ ИА-ның аумақтық орналасуы цементті көп қажет ететін өндірістерді шикізатпен қамтамасыз етуде айқын артықшылық береді, алайда түпкілікті тұтынушыларға жақындық тұрғысынан шектеулер де туғызады. Сондықтан тұжырымдамалық модель тек жергілікті құрылыс нарығына бағдарланбайды, өйткені оның көлемі жеті өндіріс кәсіпорнының жүктемесін қамтамасыз етуге жеткіліксіз болуы мүмкін. Өнімді өткізудің негізгі бағыттары жеткізу құны бәсекеге қабілетті болған жағдайда Ақтөбе облысы мен өзге өңірлердің инфрақұрылымдық жобалары және құрылыс өнімі нарықтары болуға тиіс.</w:t>
      </w:r>
    </w:p>
    <w:p w14:paraId="2C4F4921">
      <w:pPr>
        <w:spacing w:line="240" w:lineRule="auto"/>
        <w:rPr>
          <w:rFonts w:ascii="Cambria" w:hAnsi="Cambria"/>
          <w:lang w:val="ru-RU"/>
        </w:rPr>
      </w:pPr>
      <w:r>
        <w:rPr>
          <w:rFonts w:ascii="Cambria" w:hAnsi="Cambria"/>
          <w:lang w:val="ru-RU"/>
        </w:rPr>
        <w:t>Өндірістерді орналастыруды бағалау кезінде бір-біріне қарама-қарсы екі фактор ескеріледі. Бір жағынан, цемент зауытына жақын орналасу жоспарланған өндірістердің көпшілігі үшін негізгі байланыстырушы материал болып табылатын цементтің кіріс жүк ағыны бойынша шығындарды ықтимал азайтуға мүмкіндік береді. Екінші жағынан, темірбетон бұйымдарының салмағы едәуір болғандықтан, дайын өнімді тасымалдау оның түпкілікті өзіндік құнына айтарлықтай әсер етуі мүмкін. Осыған байланысты теміржол қатынасына басымдық беру, сондай-ақ жекелеген жобалардың өткізу нарықтары мен көлік экономикасын кейіннен растау қажет.</w:t>
      </w:r>
    </w:p>
    <w:p w14:paraId="13A7114E">
      <w:pPr>
        <w:spacing w:line="240" w:lineRule="auto"/>
        <w:ind w:firstLine="0"/>
        <w:rPr>
          <w:rFonts w:ascii="Cambria" w:hAnsi="Cambria"/>
          <w:lang w:val="ru-RU"/>
        </w:rPr>
      </w:pPr>
      <w:r>
        <w:drawing>
          <wp:inline distT="0" distB="0" distL="114300" distR="114300">
            <wp:extent cx="5835650" cy="3095625"/>
            <wp:effectExtent l="0" t="0" r="12700"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stretch>
                      <a:fillRect/>
                    </a:stretch>
                  </pic:blipFill>
                  <pic:spPr>
                    <a:xfrm>
                      <a:off x="0" y="0"/>
                      <a:ext cx="5835650" cy="3095625"/>
                    </a:xfrm>
                    <a:prstGeom prst="rect">
                      <a:avLst/>
                    </a:prstGeom>
                  </pic:spPr>
                </pic:pic>
              </a:graphicData>
            </a:graphic>
          </wp:inline>
        </w:drawing>
      </w:r>
    </w:p>
    <w:p w14:paraId="674C78AA">
      <w:pPr>
        <w:spacing w:line="240" w:lineRule="auto"/>
        <w:rPr>
          <w:rFonts w:ascii="Cambria" w:hAnsi="Cambria"/>
          <w:lang w:val="ru-RU"/>
        </w:rPr>
      </w:pPr>
      <w:r>
        <w:rPr>
          <w:rFonts w:ascii="Cambria" w:hAnsi="Cambria"/>
          <w:lang w:val="ru-RU"/>
        </w:rPr>
        <w:t>ИА-ның 200 гектар ауданы (122 және 78 гектарлық алаңдар) әлеуетті инвесторлармен алдын ала келіссөздер қорытындысында айқындалған жеті әлеуетті жобаның қажеттілігін және өңдеу өнеркәсібінің өзге жобаларын орналастыруға аумақ қалдыру қажеттігін ескере отырып белгіленді. Жеті жобаға арналған алаңдарды бөлу кезінде тиісті учаскелердің шекарасына ғимараттар, өндірістік алаңдар, ішкі технологиялық жолдар, дайын өнімді сақтау алаңдары және қажетті инженерлік элементтер енгізіледі. Ортақ кірме жолдар мен коммуникациялардың қиылысуына қатысты шешімдер екі алаңның түпкілікті шекаралары айқындалғаннан кейін нақтыланады.</w:t>
      </w:r>
    </w:p>
    <w:p w14:paraId="7BBDF6FC">
      <w:pPr>
        <w:pStyle w:val="3"/>
        <w:spacing w:line="240" w:lineRule="auto"/>
        <w:rPr>
          <w:rFonts w:ascii="Cambria" w:hAnsi="Cambria"/>
          <w:lang w:val="ru-RU"/>
        </w:rPr>
      </w:pPr>
      <w:bookmarkStart w:id="6" w:name="__RefHeading___Toc9488_2617525462"/>
      <w:bookmarkEnd w:id="6"/>
      <w:r>
        <w:rPr>
          <w:rFonts w:ascii="Cambria" w:hAnsi="Cambria"/>
          <w:lang w:val="ru-RU"/>
        </w:rPr>
        <w:t>2.3. Өңірдің табиғи ресурстық және өнеркәсіптік әлеуеті</w:t>
      </w:r>
    </w:p>
    <w:p w14:paraId="41B90A99">
      <w:pPr>
        <w:spacing w:line="240" w:lineRule="auto"/>
        <w:rPr>
          <w:rFonts w:ascii="Cambria" w:hAnsi="Cambria"/>
          <w:lang w:val="ru-RU"/>
        </w:rPr>
      </w:pPr>
      <w:r>
        <w:rPr>
          <w:rFonts w:ascii="Cambria" w:hAnsi="Cambria"/>
          <w:lang w:val="ru-RU"/>
        </w:rPr>
        <w:t>Байғанин ауданында өнеркәсіптің, ең алдымен көмірсутек шикізатын өндірудің қалыптасқан шикізаттық бағыты бар. 2026 жылғы қаңтар–тамызда ауданның өнеркәсіптік өндіріс көлемі 147,8 млрд теңгені немесе Ақтөбе облысы бойынша тиісті көрсеткіштің 7,1%-ын құрады. Оның ішінде тау-кен өнеркәсібіне 142,4 млрд теңге тиесілі болса, өңдеу өнеркәсібіндегі өндіріс көлемі 4,1 млрд теңгені құрады.</w:t>
      </w:r>
    </w:p>
    <w:p w14:paraId="72D85C88">
      <w:pPr>
        <w:spacing w:line="240" w:lineRule="auto"/>
        <w:rPr>
          <w:rFonts w:ascii="Cambria" w:hAnsi="Cambria"/>
          <w:lang w:val="ru-RU"/>
        </w:rPr>
      </w:pPr>
      <w:r>
        <w:rPr>
          <w:rFonts w:ascii="Cambria" w:hAnsi="Cambria"/>
          <w:lang w:val="ru-RU"/>
        </w:rPr>
        <w:t>Бұл арақатынас өнеркәсіптік белсенділіктің өндіруші сегментте жоғары шоғырланғанын сипаттайды және сонымен бірге кейінгі өндірістік кезеңдердің шектеулі деңгейде дамығанын көрсетеді. Қарастырылып отырған кезеңде тау-кен өндірісінің нақты көлем индексі 103,1%, ал өңдеу өнеркәсібінікі 114,2% болды. Соңғысы оң серпін көрсеткенімен, өңдеу секторының бастапқы базасы салыстырмалы түрде шағын болып қалуда. Осыған байланысты жаңа құрылыс материалдары кәсіпорындарын орналастыру аудан экономикасын салалық әртараптандыру құралдарының бірі бола алады.</w:t>
      </w:r>
    </w:p>
    <w:p w14:paraId="73D8E9A0">
      <w:pPr>
        <w:spacing w:line="240" w:lineRule="auto"/>
        <w:rPr>
          <w:rFonts w:ascii="Cambria" w:hAnsi="Cambria"/>
          <w:lang w:val="ru-RU"/>
        </w:rPr>
      </w:pPr>
      <w:r>
        <w:rPr>
          <w:rFonts w:ascii="Cambria" w:hAnsi="Cambria"/>
          <w:lang w:val="ru-RU"/>
        </w:rPr>
        <w:t>Әлеуетті жобалар тізбесін қалыптастырудың негізгі факторы – «QazCement Industries» ЖШС цемент зауыты жобасын іске асыру. Кәсіпорын жылына шамамен 1,3 млн тонна цемент өндіруді көздейді. Осындай көлемдегі негізгі материалдың болуы оны дайындық деңгейі әртүрлі өнім құрамында пайдаланатын кәсіпорындар құруға алғышарт жасайды: құрама темірбетон конструкцияларынан бастап құрғақ құрылыс қоспалары мен фиброцемент бұйымдарына дейін.</w:t>
      </w:r>
    </w:p>
    <w:p w14:paraId="638787A6">
      <w:pPr>
        <w:spacing w:line="240" w:lineRule="auto"/>
        <w:rPr>
          <w:rFonts w:ascii="Cambria" w:hAnsi="Cambria"/>
          <w:lang w:val="ru-RU"/>
        </w:rPr>
      </w:pPr>
      <w:r>
        <w:rPr>
          <w:rFonts w:ascii="Cambria" w:hAnsi="Cambria"/>
          <w:lang w:val="ru-RU"/>
        </w:rPr>
        <w:t>Әлеуетті жобалар тізбесі өнімнің төрт бағытын қамтиды. Инфрақұрылым құрылысына арналған темірбетон бұйымдары өндірісі жол плиталарына, көлік инфрақұрылымының элементтеріне, темірбетон шпалдар мен электр беру желілерінің тіректеріне; тұрғын үй құрылысына арналған өндіріс – жабын плиталарына, баспалдақ марштарына және басқа құрама элементтерге; цементті терең өңдеу – құрғақ құрылыс қоспалары мен фиброцемент панельдеріне; ал абаттандыру өнімдері – тротуар жабындарына, жиектастарға және осыған ұқсас бұйымдарға бағдарланады.</w:t>
      </w:r>
    </w:p>
    <w:p w14:paraId="3C54FF21">
      <w:pPr>
        <w:spacing w:line="240" w:lineRule="auto"/>
        <w:rPr>
          <w:rFonts w:ascii="Cambria" w:hAnsi="Cambria"/>
          <w:lang w:val="ru-RU"/>
        </w:rPr>
      </w:pPr>
      <w:r>
        <w:rPr>
          <w:rFonts w:ascii="Cambria" w:hAnsi="Cambria"/>
          <w:lang w:val="ru-RU"/>
        </w:rPr>
        <w:t>Цементтен басқа, жоспарланған өндірістердің жұмысы құм, қиыршықтас, металл прокаты, арматуралық элементтер, технологиялық қоспалар мен қаптама материалдарын қоса алғанда, ілеспе шикізат пен материалдардың кең ауқымын пайдалануды, сондай-ақ қажетті энергетикалық және су ресурстарымен қамтамасыз етуді көздейді. Индустриялық аймақты орналастырудың елеулі артықшылығы – жақын жерде қолданыстағы теміржол магистралінің болуы. Ол шикізатты орталықтан жеткізуге және дайын өнімді өңірлік әрі өңіраралық нарықтарға жөнелтуге қолайлы жағдай туғызады. Бұл цемент зауытына жақындықпен және кірме инфрақұрылымды дамыту жоспарымен ұштасып, көлік-логистикалық шығындарды оңтайландыруға, өндірістік тізбектердің орнықтылығын арттыруға және Индустриялық аймақ резиденттеріне қосымша бәсекелік артықшылық беруге мүмкіндік береді.</w:t>
      </w:r>
    </w:p>
    <w:p w14:paraId="00B5D441">
      <w:pPr>
        <w:spacing w:line="240" w:lineRule="auto"/>
        <w:rPr>
          <w:rFonts w:ascii="Cambria" w:hAnsi="Cambria"/>
          <w:lang w:val="ru-RU"/>
        </w:rPr>
      </w:pPr>
      <w:r>
        <w:rPr>
          <w:rFonts w:ascii="Cambria" w:hAnsi="Cambria"/>
          <w:lang w:val="ru-RU"/>
        </w:rPr>
        <w:t>Болжанатын өнеркәсіптік кооперация ауданда шығарылатын өнім ассортиментін кеңейтіп, түпкілікті құрылыс тұтынушысына бағдарланған өндірістік тізбектің қосымша буындарын қалыптастыруға мүмкіндік береді. Бұл ретте «QazCement Industries» зауыты ИА аумағынан тыс орналасқан дербес кәсіпорын болып қалады; құрылатын аймақ оның өнімімен технологиялық тұрғыдан байланысты жеке резиденттерді тартуға арналған алаң ретінде қарастырылады.</w:t>
      </w:r>
    </w:p>
    <w:p w14:paraId="5A9C620E">
      <w:pPr>
        <w:pStyle w:val="3"/>
        <w:spacing w:line="240" w:lineRule="auto"/>
        <w:rPr>
          <w:rFonts w:ascii="Cambria" w:hAnsi="Cambria"/>
          <w:lang w:val="ru-RU"/>
        </w:rPr>
      </w:pPr>
      <w:bookmarkStart w:id="7" w:name="__RefHeading___Toc9490_2617525462"/>
      <w:bookmarkEnd w:id="7"/>
      <w:r>
        <w:rPr>
          <w:rFonts w:ascii="Cambria" w:hAnsi="Cambria"/>
          <w:lang w:val="ru-RU"/>
        </w:rPr>
        <w:t>2.4. Еңбек ресурстары және әлеуметтік-экономикалық алғышарттар</w:t>
      </w:r>
    </w:p>
    <w:p w14:paraId="0379E6E8">
      <w:pPr>
        <w:spacing w:line="240" w:lineRule="auto"/>
        <w:rPr>
          <w:rFonts w:ascii="Cambria" w:hAnsi="Cambria"/>
          <w:lang w:val="ru-RU"/>
        </w:rPr>
      </w:pPr>
      <w:r>
        <w:rPr>
          <w:rFonts w:ascii="Cambria" w:hAnsi="Cambria"/>
          <w:lang w:val="ru-RU"/>
        </w:rPr>
        <w:t>Ақтөбе облысы Байғанин ауданында «Байғанин» Индустриялық аймағын құруға қолайлы факторлардың бірі – жергілікті еңбек ресурстарының болуы. Ең алдымен бұл Байғанин ауданының әкімшілік орталығы – халқы 11 мыңнан асатын Қарауылкелді ауылына қатысты. Елді мекеннің жоспарланып отырған өнеркәсіптік алаңға жақын орналасуы жаңа кәсіпорындарға жергілікті тұрғындарды басым тәртіппен жұмысқа тартуға және вахталық әдісті ұйымдастыру мен басқа өңірлерден персонал тарту қажеттілігін азайтуға мүмкіндік береді.</w:t>
      </w:r>
    </w:p>
    <w:p w14:paraId="588D6C8E">
      <w:pPr>
        <w:spacing w:line="240" w:lineRule="auto"/>
        <w:rPr>
          <w:rFonts w:ascii="Cambria" w:hAnsi="Cambria"/>
          <w:lang w:val="ru-RU"/>
        </w:rPr>
      </w:pPr>
      <w:r>
        <w:rPr>
          <w:rFonts w:ascii="Cambria" w:hAnsi="Cambria"/>
          <w:lang w:val="ru-RU"/>
        </w:rPr>
        <w:t>Тұжырымдамада көзделген жеті инвестициялық жобаны іске асыру 605 тұрақты жұмыс орнын құруды қамтамасыз етеді, оның ішінде № 1 алаңда – 370, № 2 алаңда – 235 жұмыс орны болады. Өндірістік объектілерді салу кезеңінде құрылыс-монтаждау жұмыстарының әртүрлі кезеңдерін ескере отырып, барлық жобалар бойынша жиынтығында шамамен 840 жұмыскер тарту көзделеді.</w:t>
      </w:r>
    </w:p>
    <w:p w14:paraId="0DAD1390">
      <w:pPr>
        <w:spacing w:line="240" w:lineRule="auto"/>
        <w:rPr>
          <w:rFonts w:ascii="Cambria" w:hAnsi="Cambria"/>
          <w:lang w:val="ru-RU"/>
        </w:rPr>
      </w:pPr>
      <w:r>
        <w:rPr>
          <w:rFonts w:ascii="Cambria" w:hAnsi="Cambria"/>
          <w:lang w:val="ru-RU"/>
        </w:rPr>
        <w:t>Жоспарланған темірбетон бұйымдары, құрғақ құрылыс қоспалары, фиброцемент панельдері және абаттандыруға арналған бетон өнімдері өндірістерінің ерекшелігі – жұмысшы және техникалық кадрларға басым қажеттілік. Персоналдың негізгі бөлігін технологиялық желі операторлары, қалыптаушылар, арматурашылар, өндірістік және көтергіш-көлік жабдығының машинистері, электрмонтерлер, слесарьлар, механиктер, зертханашылар және қойма қызметкерлері құрайды. Көрсетілген мамандықтардың көпшілігі бойынша техникалық және кәсіптік білім негізінде өндірістің өзінде кейінгі кәсіптік даярлықтан өту жеткілікті.</w:t>
      </w:r>
    </w:p>
    <w:p w14:paraId="3EE2C3BE">
      <w:pPr>
        <w:spacing w:line="240" w:lineRule="auto"/>
        <w:rPr>
          <w:rFonts w:ascii="Cambria" w:hAnsi="Cambria"/>
          <w:lang w:val="ru-RU"/>
        </w:rPr>
      </w:pPr>
      <w:r>
        <w:rPr>
          <w:rFonts w:ascii="Cambria" w:hAnsi="Cambria"/>
          <w:lang w:val="ru-RU"/>
        </w:rPr>
        <w:t>Заманауи автоматтандырылған және механикаландырылған өндірістік желілерді пайдалану жоғары мамандандырылған кадрлардың едәуір санын тартпай-ақ технологиялық процестерді тиімді ұйымдастыруға мүмкіндік береді. Жекелеген инженерлік-техникалық, технологиялық және басқарушылық лауазымдарға тиісті жұмыс тәжірибесі бар білікті мамандарды тарту көзделеді.</w:t>
      </w:r>
    </w:p>
    <w:p w14:paraId="63D48425">
      <w:pPr>
        <w:spacing w:line="240" w:lineRule="auto"/>
        <w:rPr>
          <w:rFonts w:ascii="Cambria" w:hAnsi="Cambria"/>
          <w:lang w:val="ru-RU"/>
        </w:rPr>
      </w:pPr>
      <w:r>
        <w:rPr>
          <w:rFonts w:ascii="Cambria" w:hAnsi="Cambria"/>
          <w:lang w:val="ru-RU"/>
        </w:rPr>
        <w:t>Аудан аумағында жергілікті халықты кәсіптік даярлау, қайта даярлау және біліктілігін арттыру арқылы кадрлық әлеуетті қалыптастыру мүмкіндігі де қосымша артықшылық болып табылады. Кәсіпорындардың техникалық және кәсіптік білім беру ұйымдарымен өзара іс-қимылы, сондай-ақ өндірістік алаңдарда практикалық оқытуды ұйымдастыру кәсіпорындар пайдалануға берілген сайын қажетті кадр құрамын біртіндеп қалыптастыруға мүмкіндік береді.</w:t>
      </w:r>
    </w:p>
    <w:p w14:paraId="6F366F46">
      <w:pPr>
        <w:spacing w:line="240" w:lineRule="auto"/>
        <w:rPr>
          <w:rFonts w:ascii="Cambria" w:hAnsi="Cambria"/>
          <w:lang w:val="ru-RU"/>
        </w:rPr>
      </w:pPr>
      <w:r>
        <w:rPr>
          <w:rFonts w:ascii="Cambria" w:hAnsi="Cambria"/>
          <w:lang w:val="ru-RU"/>
        </w:rPr>
        <w:t>Индустриялық аймақ құру Байғанин ауданының жұмыспен қамту құрылымын әртараптандыруға, өңдеу өнеркәсібінде жаңа жұмыс орындарын ашуға және жергілікті тұрғындарды жұмысқа орналастыру мүмкіндіктерін кеңейтуге ықпал етеді. Өндірістік кәсіпорындардағы тікелей жұмыспен қамтудан бөлек, көлік, қоғамдық тамақтану, техникалық қызмет көрсету, құрылыс және қосалқы ұйымдардың қызметтеріне қосымша сұраныс туындайды. Бұл жергілікті шағын және орта бизнестің дамуына алғышарт жасайды.</w:t>
      </w:r>
    </w:p>
    <w:p w14:paraId="543DB45B">
      <w:pPr>
        <w:spacing w:line="240" w:lineRule="auto"/>
        <w:rPr>
          <w:rFonts w:ascii="Cambria" w:hAnsi="Cambria"/>
          <w:lang w:val="ru-RU"/>
        </w:rPr>
      </w:pPr>
      <w:r>
        <w:rPr>
          <w:rFonts w:ascii="Cambria" w:hAnsi="Cambria"/>
          <w:lang w:val="ru-RU"/>
        </w:rPr>
        <w:t>Осылайша, жоспарланған Индустриялық аймаққа жақын жерде халқы 11 мыңнан асатын елді мекеннің болуы, өндірістік мамандықтардың басым бөлігі бойынша біліктілік талаптарының орташа болуы және кәсіптік оқытуды ұйымдастыру мүмкіндігі инвестициялық жобаларды негізінен жергілікті еңбек ресурстары есебінен кадрлармен қамтамасыз етуге қолайлы алғышарт қалыптастырады.</w:t>
      </w:r>
    </w:p>
    <w:p w14:paraId="24BA37B8">
      <w:pPr>
        <w:pStyle w:val="3"/>
        <w:spacing w:line="240" w:lineRule="auto"/>
        <w:rPr>
          <w:rFonts w:ascii="Cambria" w:hAnsi="Cambria"/>
          <w:lang w:val="ru-RU"/>
        </w:rPr>
      </w:pPr>
      <w:r>
        <w:rPr>
          <w:rFonts w:ascii="Cambria" w:hAnsi="Cambria"/>
          <w:lang w:val="ru-RU"/>
        </w:rPr>
        <w:t>2.5. Инвестициялық тартымдылық және инвесторлар тарту әлеуеті</w:t>
      </w:r>
    </w:p>
    <w:p w14:paraId="3DF91531">
      <w:pPr>
        <w:spacing w:line="240" w:lineRule="auto"/>
        <w:rPr>
          <w:rFonts w:ascii="Cambria" w:hAnsi="Cambria"/>
          <w:lang w:val="ru-RU"/>
        </w:rPr>
      </w:pPr>
      <w:r>
        <w:rPr>
          <w:rFonts w:ascii="Cambria" w:hAnsi="Cambria"/>
          <w:lang w:val="ru-RU"/>
        </w:rPr>
        <w:t>Индустриялық аймақтың инвестициялық тартымдылығы «QazCement Industries» ЖШС ірі цемент кешені негізінде жаңа өнеркәсіптік өндірістерді орналастыруға қолайлы жағдайлар қалыптастырумен айқындалады. Аумақтың негізгі бәсекелік артықшылықтары – негізгі шикізат көзіне тікелей жақындық, қолданыстағы теміржол магистралінің болуы, цемент зауытының қалыптастырылып жатқан инженерлік-коммуникациялық және көлік инфрақұрылымын пайдалану мүмкіндігі, сондай-ақ өзара байланысты өндірістік кәсіпорындарды орналастыруға арналған бос аумақтардың болуы.</w:t>
      </w:r>
    </w:p>
    <w:p w14:paraId="17AEC561">
      <w:pPr>
        <w:spacing w:line="240" w:lineRule="auto"/>
        <w:rPr>
          <w:rFonts w:ascii="Cambria" w:hAnsi="Cambria"/>
          <w:lang w:val="ru-RU"/>
        </w:rPr>
      </w:pPr>
      <w:r>
        <w:rPr>
          <w:rFonts w:ascii="Cambria" w:hAnsi="Cambria"/>
          <w:lang w:val="ru-RU"/>
        </w:rPr>
        <w:t>Инвестициялық тартымдылықтың аса маңызды факторы – цементті қосылған құны жоғары құрылыс материалдары мен бұйымдарына кезең-кезеңімен өңдеуді көздейтін бірыңғай өндірістік-кооперациялық тізбек қалыптастыру. Кәсіпорындарды цемент зауытына тікелей жақын орналастыру негізгі шикізатты жеткізу шығындарын оңтайландыруға, өндірістік процестердің орнықтылығын қамтамасыз етуге және кәсіпорындар арасында өзара тиімді кооперациялық байланыстарды дамытуға жағдай жасайды. Теміржол магистралінің болуы Индустриялық аймақтың логистикалық мүмкіндіктерін қосымша кеңейтіп, ілеспе шикізат жеткізу мен дайын өнімді Ақтөбе облысының және Қазақстанның басқа өңірлерінің нарықтарына жөнелтуге алғышарт болады.</w:t>
      </w:r>
    </w:p>
    <w:p w14:paraId="26D6E624">
      <w:pPr>
        <w:spacing w:line="240" w:lineRule="auto"/>
        <w:rPr>
          <w:rFonts w:ascii="Cambria" w:hAnsi="Cambria"/>
          <w:lang w:val="ru-RU"/>
        </w:rPr>
      </w:pPr>
      <w:r>
        <w:rPr>
          <w:rFonts w:ascii="Cambria" w:hAnsi="Cambria"/>
          <w:lang w:val="ru-RU"/>
        </w:rPr>
        <w:t>Цементті өңдеудің перспективалық бағыттарын талдау, ұқсас өнеркәсіптік жобаларды іске асыру тәжірибесі және әлеуетті инвесторлармен алдын ала келіссөздер негізінде ИА аумағына орналастыруға алдын ала қызығушылық білдірген бастамашылары бар, жалпы құны 38,7 млрд теңге болатын жеті әлеуетті өндірістік жобаның тізбесі қалыптастырылды. Жобалар өзара байланысты төрт бағытқа біріктіріліп, жалпы ауданы 200 гектар болатын екі өндірістік алаңда орналастырылады; қалған аумақ өңдеу өнеркәсібінің басқа жобаларына арналған.</w:t>
      </w:r>
    </w:p>
    <w:p w14:paraId="1D47CCFF">
      <w:pPr>
        <w:spacing w:line="240" w:lineRule="auto"/>
        <w:rPr>
          <w:rFonts w:ascii="Cambria" w:hAnsi="Cambria"/>
          <w:lang w:val="ru-RU"/>
        </w:rPr>
      </w:pPr>
      <w:r>
        <w:rPr>
          <w:rFonts w:ascii="Cambria" w:hAnsi="Cambria"/>
          <w:lang w:val="ru-RU"/>
        </w:rPr>
        <w:t>Жалпы ауданы 122 гектар болатын № 1 алаңда 25 гектар жерді алатын, жол, инфрақұрылым және тұрғын үй құрылысына арналған темірбетон конструкцияларын өндіретін төрт жобаны іске асыру көзделеді. Инвестициялардың жиынтық көлемі 24,5 млрд теңгені құрап, 370 тұрақты жұмыс орны ашылады. Жалпы ауданы 78 гектар болатын № 2 алаңда 28 гектар жерді алатын, құрғақ құрылыс қоспаларын, фиброцемент панельдері мен абаттандыруға арналған бетон бұйымдарын шығаратын үш жобаны іске асыру көзделеді. Бұл бағыттағы инвестиция көлемі 14,2 млрд теңгені құрап, 235 тұрақты жұмыс орны ашылады.</w:t>
      </w:r>
    </w:p>
    <w:p w14:paraId="669004E9">
      <w:pPr>
        <w:pStyle w:val="75"/>
        <w:spacing w:line="240" w:lineRule="auto"/>
        <w:rPr>
          <w:rFonts w:ascii="Cambria" w:hAnsi="Cambria"/>
          <w:lang w:val="ru-RU"/>
        </w:rPr>
      </w:pPr>
      <w:r>
        <w:rPr>
          <w:rFonts w:ascii="Cambria" w:hAnsi="Cambria"/>
          <w:lang w:val="ru-RU"/>
        </w:rPr>
        <w:t>2.1-кесте – Индустриялық аймақтың инвестициялық портфелінің негізгі көрсеткіштері</w:t>
      </w:r>
    </w:p>
    <w:tbl>
      <w:tblPr>
        <w:tblStyle w:val="43"/>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5"/>
        <w:gridCol w:w="1418"/>
        <w:gridCol w:w="1276"/>
        <w:gridCol w:w="883"/>
      </w:tblGrid>
      <w:tr w14:paraId="1B20D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65" w:type="dxa"/>
            <w:shd w:val="clear" w:color="auto" w:fill="23486F"/>
            <w:vAlign w:val="center"/>
          </w:tcPr>
          <w:p w14:paraId="5E098EE4">
            <w:pPr>
              <w:spacing w:line="240" w:lineRule="auto"/>
              <w:ind w:firstLine="0"/>
              <w:jc w:val="center"/>
              <w:rPr>
                <w:rFonts w:ascii="Cambria" w:hAnsi="Cambria"/>
              </w:rPr>
            </w:pPr>
            <w:r>
              <w:rPr>
                <w:rFonts w:ascii="Cambria" w:hAnsi="Cambria"/>
                <w:b/>
                <w:color w:val="FFFFFF"/>
                <w:sz w:val="20"/>
              </w:rPr>
              <w:t>Көрсеткіш</w:t>
            </w:r>
          </w:p>
        </w:tc>
        <w:tc>
          <w:tcPr>
            <w:tcW w:w="1418" w:type="dxa"/>
            <w:shd w:val="clear" w:color="auto" w:fill="23486F"/>
            <w:vAlign w:val="center"/>
          </w:tcPr>
          <w:p w14:paraId="2FBBA216">
            <w:pPr>
              <w:spacing w:line="240" w:lineRule="auto"/>
              <w:ind w:firstLine="0"/>
              <w:jc w:val="center"/>
              <w:rPr>
                <w:rFonts w:ascii="Cambria" w:hAnsi="Cambria"/>
              </w:rPr>
            </w:pPr>
            <w:r>
              <w:rPr>
                <w:rFonts w:ascii="Cambria" w:hAnsi="Cambria"/>
                <w:b/>
                <w:color w:val="FFFFFF"/>
                <w:sz w:val="20"/>
              </w:rPr>
              <w:t>№ 1 алаң</w:t>
            </w:r>
          </w:p>
        </w:tc>
        <w:tc>
          <w:tcPr>
            <w:tcW w:w="1276" w:type="dxa"/>
            <w:shd w:val="clear" w:color="auto" w:fill="23486F"/>
            <w:vAlign w:val="center"/>
          </w:tcPr>
          <w:p w14:paraId="4C45F6FD">
            <w:pPr>
              <w:spacing w:line="240" w:lineRule="auto"/>
              <w:ind w:firstLine="0"/>
              <w:jc w:val="center"/>
              <w:rPr>
                <w:rFonts w:ascii="Cambria" w:hAnsi="Cambria"/>
              </w:rPr>
            </w:pPr>
            <w:r>
              <w:rPr>
                <w:rFonts w:ascii="Cambria" w:hAnsi="Cambria"/>
                <w:b/>
                <w:color w:val="FFFFFF"/>
                <w:sz w:val="20"/>
              </w:rPr>
              <w:t>№ 2 алаң</w:t>
            </w:r>
          </w:p>
        </w:tc>
        <w:tc>
          <w:tcPr>
            <w:tcW w:w="883" w:type="dxa"/>
            <w:shd w:val="clear" w:color="auto" w:fill="23486F"/>
            <w:vAlign w:val="center"/>
          </w:tcPr>
          <w:p w14:paraId="33212F50">
            <w:pPr>
              <w:spacing w:line="240" w:lineRule="auto"/>
              <w:ind w:firstLine="0"/>
              <w:jc w:val="center"/>
              <w:rPr>
                <w:rFonts w:ascii="Cambria" w:hAnsi="Cambria"/>
              </w:rPr>
            </w:pPr>
            <w:r>
              <w:rPr>
                <w:rFonts w:ascii="Cambria" w:hAnsi="Cambria"/>
                <w:b/>
                <w:color w:val="FFFFFF"/>
                <w:sz w:val="20"/>
              </w:rPr>
              <w:t>Барлығы</w:t>
            </w:r>
          </w:p>
        </w:tc>
      </w:tr>
      <w:tr w14:paraId="23E7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vAlign w:val="center"/>
          </w:tcPr>
          <w:p w14:paraId="56CBAAD5">
            <w:pPr>
              <w:spacing w:after="0" w:line="240" w:lineRule="auto"/>
              <w:ind w:firstLine="0"/>
              <w:jc w:val="left"/>
              <w:rPr>
                <w:rFonts w:ascii="Cambria" w:hAnsi="Cambria"/>
              </w:rPr>
            </w:pPr>
            <w:r>
              <w:rPr>
                <w:rFonts w:ascii="Cambria" w:hAnsi="Cambria"/>
                <w:sz w:val="19"/>
              </w:rPr>
              <w:t>Ауданы, га</w:t>
            </w:r>
          </w:p>
        </w:tc>
        <w:tc>
          <w:tcPr>
            <w:tcW w:w="1418" w:type="dxa"/>
            <w:vAlign w:val="center"/>
          </w:tcPr>
          <w:p w14:paraId="5E65990D">
            <w:pPr>
              <w:spacing w:after="0" w:line="240" w:lineRule="auto"/>
              <w:ind w:firstLine="0"/>
              <w:jc w:val="center"/>
              <w:rPr>
                <w:rFonts w:ascii="Cambria" w:hAnsi="Cambria"/>
              </w:rPr>
            </w:pPr>
            <w:r>
              <w:rPr>
                <w:rFonts w:ascii="Cambria" w:hAnsi="Cambria"/>
                <w:sz w:val="19"/>
              </w:rPr>
              <w:t>122</w:t>
            </w:r>
          </w:p>
        </w:tc>
        <w:tc>
          <w:tcPr>
            <w:tcW w:w="1276" w:type="dxa"/>
            <w:vAlign w:val="center"/>
          </w:tcPr>
          <w:p w14:paraId="7AAD623C">
            <w:pPr>
              <w:spacing w:after="0" w:line="240" w:lineRule="auto"/>
              <w:ind w:firstLine="0"/>
              <w:jc w:val="center"/>
              <w:rPr>
                <w:rFonts w:ascii="Cambria" w:hAnsi="Cambria"/>
              </w:rPr>
            </w:pPr>
            <w:r>
              <w:rPr>
                <w:rFonts w:ascii="Cambria" w:hAnsi="Cambria"/>
                <w:sz w:val="19"/>
              </w:rPr>
              <w:t>78</w:t>
            </w:r>
          </w:p>
        </w:tc>
        <w:tc>
          <w:tcPr>
            <w:tcW w:w="883" w:type="dxa"/>
            <w:vAlign w:val="center"/>
          </w:tcPr>
          <w:p w14:paraId="689E81D1">
            <w:pPr>
              <w:spacing w:after="0" w:line="240" w:lineRule="auto"/>
              <w:ind w:firstLine="0"/>
              <w:jc w:val="center"/>
              <w:rPr>
                <w:rFonts w:ascii="Cambria" w:hAnsi="Cambria"/>
                <w:b/>
                <w:bCs/>
              </w:rPr>
            </w:pPr>
            <w:r>
              <w:rPr>
                <w:rFonts w:ascii="Cambria" w:hAnsi="Cambria"/>
                <w:b/>
                <w:bCs/>
                <w:sz w:val="19"/>
              </w:rPr>
              <w:t>200</w:t>
            </w:r>
          </w:p>
        </w:tc>
      </w:tr>
      <w:tr w14:paraId="1D7E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shd w:val="clear" w:color="auto" w:fill="F2F6FA"/>
            <w:vAlign w:val="center"/>
          </w:tcPr>
          <w:p w14:paraId="772A551B">
            <w:pPr>
              <w:spacing w:after="0" w:line="240" w:lineRule="auto"/>
              <w:ind w:firstLine="0"/>
              <w:jc w:val="left"/>
              <w:rPr>
                <w:rFonts w:ascii="Cambria" w:hAnsi="Cambria"/>
              </w:rPr>
            </w:pPr>
            <w:r>
              <w:rPr>
                <w:rFonts w:ascii="Cambria" w:hAnsi="Cambria"/>
                <w:sz w:val="19"/>
              </w:rPr>
              <w:t>Жобалар саны</w:t>
            </w:r>
          </w:p>
        </w:tc>
        <w:tc>
          <w:tcPr>
            <w:tcW w:w="1418" w:type="dxa"/>
            <w:shd w:val="clear" w:color="auto" w:fill="F2F6FA"/>
            <w:vAlign w:val="center"/>
          </w:tcPr>
          <w:p w14:paraId="2E0FE179">
            <w:pPr>
              <w:spacing w:after="0" w:line="240" w:lineRule="auto"/>
              <w:ind w:firstLine="0"/>
              <w:jc w:val="center"/>
              <w:rPr>
                <w:rFonts w:ascii="Cambria" w:hAnsi="Cambria"/>
              </w:rPr>
            </w:pPr>
            <w:r>
              <w:rPr>
                <w:rFonts w:ascii="Cambria" w:hAnsi="Cambria"/>
                <w:sz w:val="19"/>
              </w:rPr>
              <w:t>4</w:t>
            </w:r>
          </w:p>
        </w:tc>
        <w:tc>
          <w:tcPr>
            <w:tcW w:w="1276" w:type="dxa"/>
            <w:shd w:val="clear" w:color="auto" w:fill="F2F6FA"/>
            <w:vAlign w:val="center"/>
          </w:tcPr>
          <w:p w14:paraId="3249B1C1">
            <w:pPr>
              <w:spacing w:after="0" w:line="240" w:lineRule="auto"/>
              <w:ind w:firstLine="0"/>
              <w:jc w:val="center"/>
              <w:rPr>
                <w:rFonts w:ascii="Cambria" w:hAnsi="Cambria"/>
              </w:rPr>
            </w:pPr>
            <w:r>
              <w:rPr>
                <w:rFonts w:ascii="Cambria" w:hAnsi="Cambria"/>
                <w:sz w:val="19"/>
              </w:rPr>
              <w:t>3</w:t>
            </w:r>
          </w:p>
        </w:tc>
        <w:tc>
          <w:tcPr>
            <w:tcW w:w="883" w:type="dxa"/>
            <w:shd w:val="clear" w:color="auto" w:fill="F2F6FA"/>
            <w:vAlign w:val="center"/>
          </w:tcPr>
          <w:p w14:paraId="503507F0">
            <w:pPr>
              <w:spacing w:after="0" w:line="240" w:lineRule="auto"/>
              <w:ind w:firstLine="0"/>
              <w:jc w:val="center"/>
              <w:rPr>
                <w:rFonts w:ascii="Cambria" w:hAnsi="Cambria"/>
                <w:b/>
                <w:bCs/>
              </w:rPr>
            </w:pPr>
            <w:r>
              <w:rPr>
                <w:rFonts w:ascii="Cambria" w:hAnsi="Cambria"/>
                <w:b/>
                <w:bCs/>
                <w:sz w:val="19"/>
              </w:rPr>
              <w:t>7</w:t>
            </w:r>
          </w:p>
        </w:tc>
      </w:tr>
      <w:tr w14:paraId="00C6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shd w:val="clear" w:color="auto" w:fill="F2F6FA"/>
            <w:vAlign w:val="center"/>
          </w:tcPr>
          <w:p w14:paraId="4251AD09">
            <w:pPr>
              <w:spacing w:after="0" w:line="240" w:lineRule="auto"/>
              <w:ind w:firstLine="0"/>
              <w:jc w:val="left"/>
              <w:rPr>
                <w:rFonts w:ascii="Cambria" w:hAnsi="Cambria"/>
                <w:sz w:val="19"/>
                <w:lang w:val="ru-RU"/>
              </w:rPr>
            </w:pPr>
            <w:r>
              <w:rPr>
                <w:rFonts w:ascii="Cambria" w:hAnsi="Cambria"/>
                <w:sz w:val="19"/>
                <w:lang w:val="ru-RU"/>
              </w:rPr>
              <w:t>Әлеуетті инвесторлардың жобаларына арналған аудан, га</w:t>
            </w:r>
          </w:p>
        </w:tc>
        <w:tc>
          <w:tcPr>
            <w:tcW w:w="1418" w:type="dxa"/>
            <w:shd w:val="clear" w:color="auto" w:fill="F2F6FA"/>
            <w:vAlign w:val="center"/>
          </w:tcPr>
          <w:p w14:paraId="52680EE1">
            <w:pPr>
              <w:spacing w:after="0" w:line="240" w:lineRule="auto"/>
              <w:ind w:firstLine="0"/>
              <w:jc w:val="center"/>
              <w:rPr>
                <w:rFonts w:ascii="Cambria" w:hAnsi="Cambria"/>
                <w:sz w:val="19"/>
                <w:lang w:val="ru-RU"/>
              </w:rPr>
            </w:pPr>
            <w:r>
              <w:rPr>
                <w:rFonts w:ascii="Cambria" w:hAnsi="Cambria"/>
                <w:sz w:val="19"/>
                <w:lang w:val="ru-RU"/>
              </w:rPr>
              <w:t>25</w:t>
            </w:r>
          </w:p>
        </w:tc>
        <w:tc>
          <w:tcPr>
            <w:tcW w:w="1276" w:type="dxa"/>
            <w:shd w:val="clear" w:color="auto" w:fill="F2F6FA"/>
            <w:vAlign w:val="center"/>
          </w:tcPr>
          <w:p w14:paraId="7D0FBB0E">
            <w:pPr>
              <w:spacing w:after="0" w:line="240" w:lineRule="auto"/>
              <w:ind w:firstLine="0"/>
              <w:jc w:val="center"/>
              <w:rPr>
                <w:rFonts w:ascii="Cambria" w:hAnsi="Cambria"/>
                <w:sz w:val="19"/>
                <w:lang w:val="ru-RU"/>
              </w:rPr>
            </w:pPr>
            <w:r>
              <w:rPr>
                <w:rFonts w:ascii="Cambria" w:hAnsi="Cambria"/>
                <w:sz w:val="19"/>
                <w:lang w:val="ru-RU"/>
              </w:rPr>
              <w:t>28</w:t>
            </w:r>
          </w:p>
        </w:tc>
        <w:tc>
          <w:tcPr>
            <w:tcW w:w="883" w:type="dxa"/>
            <w:shd w:val="clear" w:color="auto" w:fill="F2F6FA"/>
            <w:vAlign w:val="center"/>
          </w:tcPr>
          <w:p w14:paraId="5F8808D0">
            <w:pPr>
              <w:spacing w:after="0" w:line="240" w:lineRule="auto"/>
              <w:ind w:firstLine="0"/>
              <w:jc w:val="center"/>
              <w:rPr>
                <w:rFonts w:ascii="Cambria" w:hAnsi="Cambria"/>
                <w:b/>
                <w:bCs/>
                <w:sz w:val="19"/>
                <w:lang w:val="ru-RU"/>
              </w:rPr>
            </w:pPr>
            <w:r>
              <w:rPr>
                <w:rFonts w:ascii="Cambria" w:hAnsi="Cambria"/>
                <w:b/>
                <w:bCs/>
                <w:sz w:val="19"/>
                <w:lang w:val="ru-RU"/>
              </w:rPr>
              <w:t>53</w:t>
            </w:r>
          </w:p>
        </w:tc>
      </w:tr>
      <w:tr w14:paraId="4F41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shd w:val="clear" w:color="auto" w:fill="F2F6FA"/>
            <w:vAlign w:val="center"/>
          </w:tcPr>
          <w:p w14:paraId="4595E8A3">
            <w:pPr>
              <w:spacing w:after="0" w:line="240" w:lineRule="auto"/>
              <w:ind w:firstLine="0"/>
              <w:jc w:val="left"/>
              <w:rPr>
                <w:rFonts w:ascii="Cambria" w:hAnsi="Cambria"/>
                <w:sz w:val="19"/>
                <w:lang w:val="ru-RU"/>
              </w:rPr>
            </w:pPr>
            <w:r>
              <w:rPr>
                <w:rFonts w:ascii="Cambria" w:hAnsi="Cambria"/>
                <w:sz w:val="19"/>
                <w:lang w:val="ru-RU"/>
              </w:rPr>
              <w:t>Бос аудан, га</w:t>
            </w:r>
          </w:p>
        </w:tc>
        <w:tc>
          <w:tcPr>
            <w:tcW w:w="1418" w:type="dxa"/>
            <w:shd w:val="clear" w:color="auto" w:fill="F2F6FA"/>
            <w:vAlign w:val="center"/>
          </w:tcPr>
          <w:p w14:paraId="230A805F">
            <w:pPr>
              <w:spacing w:after="0" w:line="240" w:lineRule="auto"/>
              <w:ind w:firstLine="0"/>
              <w:jc w:val="center"/>
              <w:rPr>
                <w:rFonts w:ascii="Cambria" w:hAnsi="Cambria"/>
                <w:sz w:val="19"/>
                <w:lang w:val="ru-RU"/>
              </w:rPr>
            </w:pPr>
            <w:r>
              <w:rPr>
                <w:rFonts w:ascii="Cambria" w:hAnsi="Cambria"/>
                <w:sz w:val="19"/>
                <w:lang w:val="ru-RU"/>
              </w:rPr>
              <w:t>97</w:t>
            </w:r>
          </w:p>
        </w:tc>
        <w:tc>
          <w:tcPr>
            <w:tcW w:w="1276" w:type="dxa"/>
            <w:shd w:val="clear" w:color="auto" w:fill="F2F6FA"/>
            <w:vAlign w:val="center"/>
          </w:tcPr>
          <w:p w14:paraId="64EB771B">
            <w:pPr>
              <w:spacing w:after="0" w:line="240" w:lineRule="auto"/>
              <w:ind w:firstLine="0"/>
              <w:jc w:val="center"/>
              <w:rPr>
                <w:rFonts w:ascii="Cambria" w:hAnsi="Cambria"/>
                <w:sz w:val="19"/>
                <w:lang w:val="ru-RU"/>
              </w:rPr>
            </w:pPr>
            <w:r>
              <w:rPr>
                <w:rFonts w:ascii="Cambria" w:hAnsi="Cambria"/>
                <w:sz w:val="19"/>
                <w:lang w:val="ru-RU"/>
              </w:rPr>
              <w:t>50</w:t>
            </w:r>
          </w:p>
        </w:tc>
        <w:tc>
          <w:tcPr>
            <w:tcW w:w="883" w:type="dxa"/>
            <w:shd w:val="clear" w:color="auto" w:fill="F2F6FA"/>
            <w:vAlign w:val="center"/>
          </w:tcPr>
          <w:p w14:paraId="3845224C">
            <w:pPr>
              <w:spacing w:after="0" w:line="240" w:lineRule="auto"/>
              <w:ind w:firstLine="0"/>
              <w:jc w:val="center"/>
              <w:rPr>
                <w:rFonts w:ascii="Cambria" w:hAnsi="Cambria"/>
                <w:b/>
                <w:bCs/>
                <w:sz w:val="19"/>
                <w:lang w:val="ru-RU"/>
              </w:rPr>
            </w:pPr>
            <w:r>
              <w:rPr>
                <w:rFonts w:ascii="Cambria" w:hAnsi="Cambria"/>
                <w:b/>
                <w:bCs/>
                <w:sz w:val="19"/>
                <w:lang w:val="ru-RU"/>
              </w:rPr>
              <w:t>147</w:t>
            </w:r>
          </w:p>
        </w:tc>
      </w:tr>
      <w:tr w14:paraId="3C41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vAlign w:val="center"/>
          </w:tcPr>
          <w:p w14:paraId="141BC487">
            <w:pPr>
              <w:spacing w:after="0" w:line="240" w:lineRule="auto"/>
              <w:ind w:firstLine="0"/>
              <w:jc w:val="left"/>
              <w:rPr>
                <w:rFonts w:ascii="Cambria" w:hAnsi="Cambria"/>
              </w:rPr>
            </w:pPr>
            <w:r>
              <w:rPr>
                <w:rFonts w:ascii="Cambria" w:hAnsi="Cambria"/>
                <w:sz w:val="19"/>
              </w:rPr>
              <w:t>Жеке инвестициялар, млрд тг</w:t>
            </w:r>
          </w:p>
        </w:tc>
        <w:tc>
          <w:tcPr>
            <w:tcW w:w="1418" w:type="dxa"/>
            <w:vAlign w:val="center"/>
          </w:tcPr>
          <w:p w14:paraId="084F2C90">
            <w:pPr>
              <w:spacing w:after="0" w:line="240" w:lineRule="auto"/>
              <w:ind w:firstLine="0"/>
              <w:jc w:val="center"/>
              <w:rPr>
                <w:rFonts w:ascii="Cambria" w:hAnsi="Cambria"/>
              </w:rPr>
            </w:pPr>
            <w:r>
              <w:rPr>
                <w:rFonts w:ascii="Cambria" w:hAnsi="Cambria"/>
                <w:sz w:val="19"/>
              </w:rPr>
              <w:t>24,5</w:t>
            </w:r>
          </w:p>
        </w:tc>
        <w:tc>
          <w:tcPr>
            <w:tcW w:w="1276" w:type="dxa"/>
            <w:vAlign w:val="center"/>
          </w:tcPr>
          <w:p w14:paraId="606D48A8">
            <w:pPr>
              <w:spacing w:after="0" w:line="240" w:lineRule="auto"/>
              <w:ind w:firstLine="0"/>
              <w:jc w:val="center"/>
              <w:rPr>
                <w:rFonts w:ascii="Cambria" w:hAnsi="Cambria"/>
              </w:rPr>
            </w:pPr>
            <w:r>
              <w:rPr>
                <w:rFonts w:ascii="Cambria" w:hAnsi="Cambria"/>
                <w:sz w:val="19"/>
              </w:rPr>
              <w:t>14,2</w:t>
            </w:r>
          </w:p>
        </w:tc>
        <w:tc>
          <w:tcPr>
            <w:tcW w:w="883" w:type="dxa"/>
            <w:vAlign w:val="center"/>
          </w:tcPr>
          <w:p w14:paraId="5B8945A6">
            <w:pPr>
              <w:spacing w:after="0" w:line="240" w:lineRule="auto"/>
              <w:ind w:firstLine="0"/>
              <w:jc w:val="center"/>
              <w:rPr>
                <w:rFonts w:ascii="Cambria" w:hAnsi="Cambria"/>
                <w:b/>
                <w:bCs/>
              </w:rPr>
            </w:pPr>
            <w:r>
              <w:rPr>
                <w:rFonts w:ascii="Cambria" w:hAnsi="Cambria"/>
                <w:b/>
                <w:bCs/>
                <w:sz w:val="19"/>
              </w:rPr>
              <w:t>38,7</w:t>
            </w:r>
          </w:p>
        </w:tc>
      </w:tr>
      <w:tr w14:paraId="48CC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shd w:val="clear" w:color="auto" w:fill="F2F6FA"/>
            <w:vAlign w:val="center"/>
          </w:tcPr>
          <w:p w14:paraId="4323BBBA">
            <w:pPr>
              <w:spacing w:after="0" w:line="240" w:lineRule="auto"/>
              <w:ind w:firstLine="0"/>
              <w:jc w:val="left"/>
              <w:rPr>
                <w:rFonts w:ascii="Cambria" w:hAnsi="Cambria"/>
              </w:rPr>
            </w:pPr>
            <w:r>
              <w:rPr>
                <w:rFonts w:ascii="Cambria" w:hAnsi="Cambria"/>
                <w:sz w:val="19"/>
              </w:rPr>
              <w:t>Тұрақты жұмыс орындары, адам</w:t>
            </w:r>
          </w:p>
        </w:tc>
        <w:tc>
          <w:tcPr>
            <w:tcW w:w="1418" w:type="dxa"/>
            <w:shd w:val="clear" w:color="auto" w:fill="F2F6FA"/>
            <w:vAlign w:val="center"/>
          </w:tcPr>
          <w:p w14:paraId="4CE59B99">
            <w:pPr>
              <w:spacing w:after="0" w:line="240" w:lineRule="auto"/>
              <w:ind w:firstLine="0"/>
              <w:jc w:val="center"/>
              <w:rPr>
                <w:rFonts w:ascii="Cambria" w:hAnsi="Cambria"/>
              </w:rPr>
            </w:pPr>
            <w:r>
              <w:rPr>
                <w:rFonts w:ascii="Cambria" w:hAnsi="Cambria"/>
                <w:sz w:val="19"/>
              </w:rPr>
              <w:t>370</w:t>
            </w:r>
          </w:p>
        </w:tc>
        <w:tc>
          <w:tcPr>
            <w:tcW w:w="1276" w:type="dxa"/>
            <w:shd w:val="clear" w:color="auto" w:fill="F2F6FA"/>
            <w:vAlign w:val="center"/>
          </w:tcPr>
          <w:p w14:paraId="1F8F0BEF">
            <w:pPr>
              <w:spacing w:after="0" w:line="240" w:lineRule="auto"/>
              <w:ind w:firstLine="0"/>
              <w:jc w:val="center"/>
              <w:rPr>
                <w:rFonts w:ascii="Cambria" w:hAnsi="Cambria"/>
              </w:rPr>
            </w:pPr>
            <w:r>
              <w:rPr>
                <w:rFonts w:ascii="Cambria" w:hAnsi="Cambria"/>
                <w:sz w:val="19"/>
              </w:rPr>
              <w:t>235</w:t>
            </w:r>
          </w:p>
        </w:tc>
        <w:tc>
          <w:tcPr>
            <w:tcW w:w="883" w:type="dxa"/>
            <w:shd w:val="clear" w:color="auto" w:fill="F2F6FA"/>
            <w:vAlign w:val="center"/>
          </w:tcPr>
          <w:p w14:paraId="4DC99103">
            <w:pPr>
              <w:spacing w:after="0" w:line="240" w:lineRule="auto"/>
              <w:ind w:firstLine="0"/>
              <w:jc w:val="center"/>
              <w:rPr>
                <w:rFonts w:ascii="Cambria" w:hAnsi="Cambria"/>
                <w:b/>
                <w:bCs/>
              </w:rPr>
            </w:pPr>
            <w:r>
              <w:rPr>
                <w:rFonts w:ascii="Cambria" w:hAnsi="Cambria"/>
                <w:b/>
                <w:bCs/>
                <w:sz w:val="19"/>
              </w:rPr>
              <w:t>605</w:t>
            </w:r>
          </w:p>
        </w:tc>
      </w:tr>
      <w:tr w14:paraId="7C4F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5" w:type="dxa"/>
            <w:vAlign w:val="center"/>
          </w:tcPr>
          <w:p w14:paraId="7AC52F52">
            <w:pPr>
              <w:spacing w:after="0" w:line="240" w:lineRule="auto"/>
              <w:ind w:firstLine="0"/>
              <w:jc w:val="left"/>
              <w:rPr>
                <w:rFonts w:ascii="Cambria" w:hAnsi="Cambria"/>
                <w:lang w:val="ru-RU"/>
              </w:rPr>
            </w:pPr>
            <w:r>
              <w:rPr>
                <w:rFonts w:ascii="Cambria" w:hAnsi="Cambria"/>
                <w:sz w:val="19"/>
                <w:lang w:val="ru-RU"/>
              </w:rPr>
              <w:t>Толық жүктеме кезіндегі күтілетін жылдық түсім, млрд тг</w:t>
            </w:r>
          </w:p>
        </w:tc>
        <w:tc>
          <w:tcPr>
            <w:tcW w:w="1418" w:type="dxa"/>
            <w:vAlign w:val="center"/>
          </w:tcPr>
          <w:p w14:paraId="79B54935">
            <w:pPr>
              <w:spacing w:after="0" w:line="240" w:lineRule="auto"/>
              <w:ind w:firstLine="0"/>
              <w:jc w:val="center"/>
              <w:rPr>
                <w:rFonts w:ascii="Cambria" w:hAnsi="Cambria"/>
              </w:rPr>
            </w:pPr>
            <w:r>
              <w:rPr>
                <w:rFonts w:ascii="Cambria" w:hAnsi="Cambria"/>
                <w:sz w:val="19"/>
              </w:rPr>
              <w:t>25,05</w:t>
            </w:r>
          </w:p>
        </w:tc>
        <w:tc>
          <w:tcPr>
            <w:tcW w:w="1276" w:type="dxa"/>
            <w:vAlign w:val="center"/>
          </w:tcPr>
          <w:p w14:paraId="3AC6702A">
            <w:pPr>
              <w:spacing w:after="0" w:line="240" w:lineRule="auto"/>
              <w:ind w:firstLine="0"/>
              <w:jc w:val="center"/>
              <w:rPr>
                <w:rFonts w:ascii="Cambria" w:hAnsi="Cambria"/>
              </w:rPr>
            </w:pPr>
            <w:r>
              <w:rPr>
                <w:rFonts w:ascii="Cambria" w:hAnsi="Cambria"/>
                <w:sz w:val="19"/>
              </w:rPr>
              <w:t>16,00</w:t>
            </w:r>
          </w:p>
        </w:tc>
        <w:tc>
          <w:tcPr>
            <w:tcW w:w="883" w:type="dxa"/>
            <w:vAlign w:val="center"/>
          </w:tcPr>
          <w:p w14:paraId="69C9C31D">
            <w:pPr>
              <w:spacing w:after="0" w:line="240" w:lineRule="auto"/>
              <w:ind w:firstLine="0"/>
              <w:jc w:val="center"/>
              <w:rPr>
                <w:rFonts w:ascii="Cambria" w:hAnsi="Cambria"/>
                <w:b/>
                <w:bCs/>
              </w:rPr>
            </w:pPr>
            <w:r>
              <w:rPr>
                <w:rFonts w:ascii="Cambria" w:hAnsi="Cambria"/>
                <w:b/>
                <w:bCs/>
                <w:sz w:val="19"/>
              </w:rPr>
              <w:t>41,05</w:t>
            </w:r>
          </w:p>
        </w:tc>
      </w:tr>
    </w:tbl>
    <w:p w14:paraId="5EAD1F1B">
      <w:pPr>
        <w:spacing w:line="240" w:lineRule="auto"/>
        <w:rPr>
          <w:rFonts w:ascii="Cambria" w:hAnsi="Cambria"/>
          <w:lang w:val="ru-RU"/>
        </w:rPr>
      </w:pPr>
      <w:r>
        <w:rPr>
          <w:rFonts w:ascii="Cambria" w:hAnsi="Cambria"/>
          <w:lang w:val="ru-RU"/>
        </w:rPr>
        <w:t>Аталған инвестициялық портфельді қалыптастыру өндірістік қуаттарды тікелей құруға 38,7 млрд теңге жеке инвестиция тартуды көздейді. Инженерлік-коммуникациялық және көлік инфрақұрылымын дамытуға алдын ала бағаланған 12,0 млрд теңге шығынды ескергенде, Индустриялық аймақтың жиынтық инвестициялық әлеуеті 50,7 млрд теңгені құрайды. Кәсіпорындар жобалық қуатқа шыққан кезде өнеркәсіптік өнімді өткізудің күтілетін жылдық көлемі 41,05 млрд теңге деп бағаланады. Бұл Байғанин ауданы экономикасының өңдеу секторын едәуір кеңейтуге мүмкіндік береді.</w:t>
      </w:r>
    </w:p>
    <w:p w14:paraId="328F4340">
      <w:pPr>
        <w:spacing w:line="240" w:lineRule="auto"/>
        <w:rPr>
          <w:rFonts w:ascii="Cambria" w:hAnsi="Cambria"/>
          <w:lang w:val="ru-RU"/>
        </w:rPr>
      </w:pPr>
      <w:r>
        <w:rPr>
          <w:rFonts w:ascii="Cambria" w:hAnsi="Cambria"/>
          <w:lang w:val="ru-RU"/>
        </w:rPr>
        <w:t>Әлеуетті инвесторлар үшін қосымша артықшылық – қалыптастырылып жатқан орталықтандырылған инженерлік инфрақұрылымы бар аумақта өндірістерді орналастыру мүмкіндігі. Кәсіпорындардың электр қуатына алдын ала қажеттілігі 10 МВт деңгейінде бағаланады. Қажетті техникалық резерв болған және қосылу шарттары келісілген жағдайда цемент зауытының жоспарланған электрмен жабдықтау қуаттарын пайдалану қарастырылуда. Сумен жабдықтау, автомобиль кірме жолдары және теміржол инфрақұрылымы бойынша да осындай тәсіл көзделеді. Бұл модель резиденттердің сыртқы коммуникацияларды жеке салу қажеттілігін азайтып, инвестициялық ресурстарды тікелей өндірістік қуаттар құруға шоғырландыруға мүмкіндік береді.</w:t>
      </w:r>
    </w:p>
    <w:p w14:paraId="3D13AC11">
      <w:pPr>
        <w:spacing w:line="240" w:lineRule="auto"/>
        <w:rPr>
          <w:rFonts w:ascii="Cambria" w:hAnsi="Cambria"/>
          <w:lang w:val="ru-RU"/>
        </w:rPr>
      </w:pPr>
      <w:r>
        <w:rPr>
          <w:rFonts w:ascii="Cambria" w:hAnsi="Cambria"/>
          <w:lang w:val="ru-RU"/>
        </w:rPr>
        <w:t>Әлеуетті жобалар тізбесінің маңызды артықшылығы – құрылыс саласында сұранысқа ие өнімдер шығаруға бағдарлануы. Олардың қатарында көлік және энергетика инфрақұрылымына арналған темірбетон конструкциялары, тұрғын үй құрылысына арналған құрама бұйымдар, құрғақ құрылыс қоспалары мен абаттандыру материалдары бар. Өнім номенклатурасын әртараптандыру кәсіпорындардың инфрақұрылымдық, тұрғын үй және өнеркәсіптік жобаларды іске асыруға қатысуына жағдай жасайды, сондай-ақ Индустриялық аймақтың жекелеген құрылыс материалдарына сұранысқа тәуелділігін азайтады.</w:t>
      </w:r>
    </w:p>
    <w:p w14:paraId="36BCDC65">
      <w:pPr>
        <w:spacing w:line="240" w:lineRule="auto"/>
        <w:rPr>
          <w:rFonts w:ascii="Cambria" w:hAnsi="Cambria"/>
          <w:lang w:val="ru-RU"/>
        </w:rPr>
      </w:pPr>
      <w:r>
        <w:rPr>
          <w:rFonts w:ascii="Cambria" w:hAnsi="Cambria"/>
          <w:lang w:val="ru-RU"/>
        </w:rPr>
        <w:t>Индустриялық аймақты дамыту аумақты кезең-кезеңімен игеру және жеке инвестицияларды бірізді тарту қағидаттарына негізделеді. Жобаларды іске асыру кезектілігі инженерлік инфрақұрылымның әзірлігін, кәсіпорындар арасындағы технологиялық байланыстарды және инвесторлармен қол жеткізілген уағдаластықтарды ескере отырып айқындалады. Мұндай тәсіл инфрақұрылымға салынатын капиталдық инвестицияларды өндірістік алаңдардың нақты игерілуімен үйлестіруге және инвестициялық ресурстарды ұтымды пайдалануға мүмкіндік береді.</w:t>
      </w:r>
    </w:p>
    <w:p w14:paraId="065FEED4">
      <w:pPr>
        <w:spacing w:line="240" w:lineRule="auto"/>
        <w:rPr>
          <w:rFonts w:ascii="Cambria" w:hAnsi="Cambria"/>
          <w:lang w:val="ru-RU"/>
        </w:rPr>
      </w:pPr>
      <w:r>
        <w:rPr>
          <w:rFonts w:ascii="Cambria" w:hAnsi="Cambria"/>
          <w:lang w:val="ru-RU"/>
        </w:rPr>
        <w:t>Осылайша, Ақтөбе облысының Байғанин ауданында «Байғанин» Индустриялық аймағын құру цемент өнімдерін кейінгі өңдейтін өндірістер бос алаңдарға орналастырылатын өңдеу өнеркәсібінің басқа жобаларымен толықтырылатын жаңа өнеркәсіптік алаң қалыптастыруға мүмкіндік береді. Өзара байланысты өндірістерді бір аумақта шоғырландыру, теміржол қатынасының артықшылықтарын пайдалану және ортақ инженерлік инфрақұрылымды дамыту жеке капитал тартуға, өнеркәсіптік кооперацияны кеңейтуге және Байғанин ауданында өңдеу өнеркәсібінің жаңа орталығын қалыптастыруға қолайлы жағдай жасайды.</w:t>
      </w:r>
    </w:p>
    <w:p w14:paraId="779AA458">
      <w:pPr>
        <w:spacing w:line="240" w:lineRule="auto"/>
        <w:rPr>
          <w:rFonts w:ascii="Cambria" w:hAnsi="Cambria"/>
          <w:lang w:val="ru-RU"/>
        </w:rPr>
      </w:pPr>
    </w:p>
    <w:p w14:paraId="718BB5D3">
      <w:pPr>
        <w:pStyle w:val="2"/>
        <w:pageBreakBefore/>
        <w:spacing w:before="0" w:line="240" w:lineRule="auto"/>
        <w:rPr>
          <w:rFonts w:ascii="Cambria" w:hAnsi="Cambria"/>
          <w:lang w:val="ru-RU"/>
        </w:rPr>
      </w:pPr>
      <w:bookmarkStart w:id="8" w:name="__RefHeading___Toc9494_2617525462"/>
      <w:bookmarkEnd w:id="8"/>
      <w:r>
        <w:rPr>
          <w:rFonts w:ascii="Cambria" w:hAnsi="Cambria"/>
          <w:lang w:val="ru-RU"/>
        </w:rPr>
        <w:t>3. ИНДУСТРИЯЛЫҚ АЙМАҚ ЖОБАЛАРЫН ІРІКТЕУ ӨЛШЕМШАРТТАРЫНЫҢ ТІЗБЕСІ</w:t>
      </w:r>
    </w:p>
    <w:p w14:paraId="17CB5B36">
      <w:pPr>
        <w:spacing w:line="240" w:lineRule="auto"/>
        <w:rPr>
          <w:rFonts w:ascii="Cambria" w:hAnsi="Cambria"/>
          <w:lang w:val="ru-RU"/>
        </w:rPr>
      </w:pPr>
      <w:r>
        <w:rPr>
          <w:rFonts w:ascii="Cambria" w:hAnsi="Cambria"/>
          <w:lang w:val="ru-RU"/>
        </w:rPr>
        <w:t>Ақтөбе облысының Байғанин ауданындағы «Байғанин» индустриялық аймағының әлеуетті қатысушыларын іріктеу Қазақстан Республикасының 2019 жылғы 3 сәуірдегі № 242-VI «Арнайы экономикалық және индустриялық аймақтар туралы» Заңына және Қазақстан Республикасы Индустрия және инфрақұрылымдық даму министрінің 2019 жылғы 31 шілдедегі № 599 бұйрығымен бекітілген Жобаларды іріктеу қағидалары мен өлшемшарттарына (осы Тұжырымдама әзірленген күнгі қолданыстағы редакциясында) сәйкес жүзеге асырылады. Осы бөлімнің мазмұнына қойылатын талаптар 2019 жылғы 30 шілдедегі № 571 бұйрықта да көзделген.</w:t>
      </w:r>
    </w:p>
    <w:p w14:paraId="6F76EE52">
      <w:pPr>
        <w:spacing w:line="240" w:lineRule="auto"/>
        <w:rPr>
          <w:rFonts w:ascii="Cambria" w:hAnsi="Cambria"/>
          <w:lang w:val="ru-RU"/>
        </w:rPr>
      </w:pPr>
      <w:r>
        <w:rPr>
          <w:rFonts w:ascii="Cambria" w:hAnsi="Cambria"/>
          <w:lang w:val="ru-RU"/>
        </w:rPr>
        <w:t>Тұжырымдама өндірістердің болжамды салалық бағыты мен орналасу параметрлерін айқындайды, алайда заңнамада белгіленген қатысушыларды іріктеу рәсімін алмастырмайды. Төменде келтірілген, бастамашылары алдын ала қызығушылық білдірген әлеуетті жобалар тізбесі жер учаскелері мен инженерлік ресурстарға қажеттілікті негіздеу үшін пайдаланылады. ИА аумағы тұтастай өңдеу өнеркәсібі жобаларына арналғандықтан, қатысушылар құрамы осы тізбемен шектелмейді. Нақты өтініш берушілерді қатысуға жіберу туралы шешімдер олар қажетті құжаттарды ұсынғаннан және тиісті өңірлік үйлестіру кеңесі қарағаннан кейін белгіленген тәртіппен қабылданады.</w:t>
      </w:r>
    </w:p>
    <w:p w14:paraId="40A1B979">
      <w:pPr>
        <w:pStyle w:val="3"/>
        <w:spacing w:line="240" w:lineRule="auto"/>
        <w:rPr>
          <w:rFonts w:ascii="Cambria" w:hAnsi="Cambria"/>
          <w:lang w:val="ru-RU"/>
        </w:rPr>
      </w:pPr>
      <w:bookmarkStart w:id="9" w:name="__RefHeading___Toc9496_2617525462"/>
      <w:bookmarkEnd w:id="9"/>
      <w:r>
        <w:rPr>
          <w:rFonts w:ascii="Cambria" w:hAnsi="Cambria"/>
          <w:lang w:val="ru-RU"/>
        </w:rPr>
        <w:t>3.1. Индустриялық аймақ қызметінің басым бағыттары</w:t>
      </w:r>
    </w:p>
    <w:p w14:paraId="17553033">
      <w:pPr>
        <w:spacing w:line="240" w:lineRule="auto"/>
        <w:rPr>
          <w:rFonts w:ascii="Cambria" w:hAnsi="Cambria"/>
          <w:lang w:val="ru-RU"/>
        </w:rPr>
      </w:pPr>
      <w:r>
        <w:rPr>
          <w:rFonts w:ascii="Cambria" w:hAnsi="Cambria"/>
          <w:lang w:val="ru-RU"/>
        </w:rPr>
        <w:t>Индустриялық аймақ өңдеу өнеркәсібі жобаларын орналастыруға арналған. Қазіргі кезеңде қалыптастырылған әлеуетті жобалар тізбесі оның аумағынан тыс орналасқан «QazCement Industries» ЖШС салып жатқан цемент зауытымен болжанатын технологиялық кооперацияға негізделген. Цемент қосылған құны жоғары түпкілікті өнім шығару үшін негізгі байланыстырушы шикізат ретінде қарастырылады. Бұл ретте әр жобаның экономикалық тиімділігі толтырғыштардың, арматураның, химиялық қоспалардың, дайын өнімді тасымалдаудың құнын және цементті сатып алудың нақты шарттарын ескере отырып бағалануға тиіс.</w:t>
      </w:r>
    </w:p>
    <w:p w14:paraId="3A26D4D1">
      <w:pPr>
        <w:spacing w:line="240" w:lineRule="auto"/>
        <w:rPr>
          <w:rFonts w:ascii="Cambria" w:hAnsi="Cambria"/>
          <w:lang w:val="ru-RU"/>
        </w:rPr>
      </w:pPr>
      <w:r>
        <w:rPr>
          <w:rFonts w:ascii="Cambria" w:hAnsi="Cambria"/>
          <w:lang w:val="ru-RU"/>
        </w:rPr>
        <w:t>Аумақтың ірі қалалық нарықтардан шалғай орналасуын ескере отырып, алдын ала инвестициялық портфельге негізінен зауытта дайындалатын, ұзақ сақтауға және ірі партиялармен, соның ішінде теміржол көлігімен жөнелтуге жарамды бұйымдар енгізілді.</w:t>
      </w:r>
    </w:p>
    <w:p w14:paraId="7EBF29EB">
      <w:pPr>
        <w:spacing w:line="240" w:lineRule="auto"/>
        <w:rPr>
          <w:rFonts w:ascii="Cambria" w:hAnsi="Cambria"/>
          <w:lang w:val="ru-RU"/>
        </w:rPr>
      </w:pPr>
      <w:r>
        <w:rPr>
          <w:rFonts w:ascii="Cambria" w:hAnsi="Cambria"/>
          <w:lang w:val="ru-RU"/>
        </w:rPr>
        <w:t>Ауданы 122 га болатын № 1 алаңда (әлеуетті инвесторлардың жобалары 25 га жерді алады) екі бағытты шоғырландыру жоспарлануда: инфрақұрылым құрылысына арналған темірбетон бұйымдарын және тұрғын үй құрылысына арналған темірбетон бұйымдарын өндіру. Мұндай орналастыру бетон қоспаларын дайындау, арматуралау, қалыптау, жылумен-ылғалмен өңдеу, беріктігін бақылау және дайын конструкцияларды ашық алаңда сақтау сияқты ұқсас технологиялық операцияларды қолданатын кәсіпорындарды топтастыруға мүмкіндік береді.</w:t>
      </w:r>
    </w:p>
    <w:p w14:paraId="06B80DF7">
      <w:pPr>
        <w:spacing w:line="240" w:lineRule="auto"/>
        <w:rPr>
          <w:rFonts w:ascii="Cambria" w:hAnsi="Cambria"/>
          <w:lang w:val="ru-RU"/>
        </w:rPr>
      </w:pPr>
      <w:r>
        <w:rPr>
          <w:rFonts w:ascii="Cambria" w:hAnsi="Cambria"/>
          <w:lang w:val="ru-RU"/>
        </w:rPr>
        <w:t>Бірінші бағыт көлік және инженерлік инфрақұрылымға арналған құрама элементтерді қамтиды. Болжанатын жобаларға жол плиталары мен өзге конструкцияларды, темірбетон шпалдарды, сондай-ақ электр беру желілерінің тіректерін шығару кіреді. Бұл өнім Ақтөбе облысы мен көршілес өңірлердегі автомобиль жолдарын, теміржол объектілерін және энергетикалық инфрақұрылымды салу мен жөндеу кезінде қолданылуы мүмкін. Шпалдар мен электр беру желілерінің тіректері үшін салалық техникалық талаптар, сынақтар, сертификаттау және ірі тапсырыс берушілердің сатып алу рәсімдеріне қол жеткізу шешуші мәнге ие болады.</w:t>
      </w:r>
    </w:p>
    <w:p w14:paraId="5DFC7E4B">
      <w:pPr>
        <w:spacing w:line="240" w:lineRule="auto"/>
        <w:rPr>
          <w:rFonts w:ascii="Cambria" w:hAnsi="Cambria"/>
          <w:lang w:val="ru-RU"/>
        </w:rPr>
      </w:pPr>
      <w:r>
        <w:rPr>
          <w:rFonts w:ascii="Cambria" w:hAnsi="Cambria"/>
          <w:lang w:val="ru-RU"/>
        </w:rPr>
        <w:t>Екінші бағыт тұрғын үй және азаматтық құрылысқа арналған құрама темірбетон бұйымдарын: жабын плиталарын, баспалдақ марштарын, маңдайшаларды, ригельдерді, бағаналарды және басқа үлгілік конструкцияларды өндіруге бағдарланған. Түпкілікті номенклатураны айқындағанда сериялы өндіруге және габариттер бойынша шамадан тыс шектеусіз тасымалдауға болатын стандартталған бұйымдарға басымдық беру көзделеді. Шалғай елді мекендерге жеткізудің тиімділігі жеткізу құнын есептеу және сұранысты бағалау арқылы расталуға тиіс.</w:t>
      </w:r>
    </w:p>
    <w:p w14:paraId="23F0A70B">
      <w:pPr>
        <w:spacing w:line="240" w:lineRule="auto"/>
        <w:ind w:firstLine="0"/>
        <w:rPr>
          <w:rFonts w:ascii="Cambria" w:hAnsi="Cambria"/>
          <w:lang w:val="ru-RU"/>
        </w:rPr>
      </w:pPr>
      <w:r>
        <w:drawing>
          <wp:inline distT="0" distB="0" distL="114300" distR="114300">
            <wp:extent cx="6129655" cy="5206365"/>
            <wp:effectExtent l="0" t="0" r="4445" b="1333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6"/>
                    <a:stretch>
                      <a:fillRect/>
                    </a:stretch>
                  </pic:blipFill>
                  <pic:spPr>
                    <a:xfrm>
                      <a:off x="0" y="0"/>
                      <a:ext cx="6129655" cy="5206365"/>
                    </a:xfrm>
                    <a:prstGeom prst="rect">
                      <a:avLst/>
                    </a:prstGeom>
                  </pic:spPr>
                </pic:pic>
              </a:graphicData>
            </a:graphic>
          </wp:inline>
        </w:drawing>
      </w:r>
    </w:p>
    <w:p w14:paraId="00B2E1E9">
      <w:pPr>
        <w:spacing w:line="240" w:lineRule="auto"/>
        <w:rPr>
          <w:rFonts w:ascii="Cambria" w:hAnsi="Cambria"/>
          <w:lang w:val="ru-RU"/>
        </w:rPr>
      </w:pPr>
      <w:r>
        <w:rPr>
          <w:rFonts w:ascii="Cambria" w:hAnsi="Cambria"/>
          <w:lang w:val="ru-RU"/>
        </w:rPr>
        <w:t>Ауданы 78 га болатын № 2 алаңда (әлеуетті инвесторлардың жобалары 28 га жерді алады) үшінші және төртінші бағыттарды дамыту көзделеді: цементті терең өңдейтін құрылыс материалдарын және жол құрылысы мен абаттандыруға арналған бетон бұйымдарын өндіру.</w:t>
      </w:r>
    </w:p>
    <w:p w14:paraId="3A85DA9D">
      <w:pPr>
        <w:spacing w:line="240" w:lineRule="auto"/>
        <w:rPr>
          <w:rFonts w:ascii="Cambria" w:hAnsi="Cambria"/>
          <w:lang w:val="ru-RU"/>
        </w:rPr>
      </w:pPr>
      <w:r>
        <w:rPr>
          <w:rFonts w:ascii="Cambria" w:hAnsi="Cambria"/>
          <w:lang w:val="ru-RU"/>
        </w:rPr>
        <w:t>Үшінші бағыттың негізін құрғақ құрылыс қоспалары мен фиброцемент панельдері құрайды. Құрғақ қоспалар өндірісінің артықшылығы – ұзақ сақтауға және таратуға қолайлы, қапталған әрі стандартталған өнім шығару. Фиброцемент панельдерін өндіруде өңдеу деңгейінің жоғары болуы шалғай логистика шығындарын ішінара өтеуі мүмкін, алайда технологиялық қоспалармен, арнайы жабдықпен қамтамасыз етуді және тиісті экологиялық бақылауды талап етеді.</w:t>
      </w:r>
    </w:p>
    <w:p w14:paraId="3C208AEF">
      <w:pPr>
        <w:spacing w:line="240" w:lineRule="auto"/>
        <w:rPr>
          <w:rFonts w:ascii="Cambria" w:hAnsi="Cambria"/>
          <w:lang w:val="ru-RU"/>
        </w:rPr>
      </w:pPr>
      <w:r>
        <w:rPr>
          <w:rFonts w:ascii="Cambria" w:hAnsi="Cambria"/>
          <w:lang w:val="ru-RU"/>
        </w:rPr>
        <w:t>Төртінші бағыт вибропрестелген бетон бұйымдарын: тротуар плиталарын, жиектастарды және су бұру элементтерін шығаруды көздейді. Бұл өнім тобының өзіндік құнында тасымалдау шығындарының үлесі елеулі болғандықтан, оны орналастыру жол, коммуналдық және инфрақұрылымдық жобалар тарапынан тұрақты сұраныс расталған жағдайда шартты түрде перспективалы деп қарастырылады. Тиімді тиеуді, сақтауды және тасымалдауды қамтамасыз ететін өлшемдер мен партияларға басымдық берілуі керек.</w:t>
      </w:r>
    </w:p>
    <w:p w14:paraId="632408CA">
      <w:pPr>
        <w:spacing w:line="240" w:lineRule="auto"/>
        <w:ind w:firstLine="0"/>
        <w:rPr>
          <w:rFonts w:ascii="Cambria" w:hAnsi="Cambria"/>
          <w:lang w:val="ru-RU"/>
        </w:rPr>
      </w:pPr>
      <w:r>
        <w:drawing>
          <wp:inline distT="0" distB="0" distL="114300" distR="114300">
            <wp:extent cx="5957570" cy="5059045"/>
            <wp:effectExtent l="0" t="0" r="5080" b="825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7"/>
                    <a:stretch>
                      <a:fillRect/>
                    </a:stretch>
                  </pic:blipFill>
                  <pic:spPr>
                    <a:xfrm>
                      <a:off x="0" y="0"/>
                      <a:ext cx="5957570" cy="5059045"/>
                    </a:xfrm>
                    <a:prstGeom prst="rect">
                      <a:avLst/>
                    </a:prstGeom>
                  </pic:spPr>
                </pic:pic>
              </a:graphicData>
            </a:graphic>
          </wp:inline>
        </w:drawing>
      </w:r>
    </w:p>
    <w:p w14:paraId="72FAD8BB">
      <w:pPr>
        <w:spacing w:line="240" w:lineRule="auto"/>
        <w:rPr>
          <w:rFonts w:ascii="Cambria" w:hAnsi="Cambria"/>
          <w:lang w:val="ru-RU"/>
        </w:rPr>
      </w:pPr>
      <w:r>
        <w:rPr>
          <w:rFonts w:ascii="Cambria" w:hAnsi="Cambria"/>
          <w:lang w:val="ru-RU"/>
        </w:rPr>
        <w:t>Осылайша, маманданудың төрт бағытын аумақ бойынша бөлу резиденттердің өндірістік байланысын қамтамасыз етіп, әртүрлі функциялардың араласуын болдырмайды. Ашық сақтау алаңдары, объектішілік жолдар, технологиялық және өртке қарсы аралықтар кәсіпорындардың учаскелері құрамында ескеріледі. Екі алаңның жалпы ауданы 200 га (122 және 78 га); жеті әлеуетті жобадан бөлек, алаңдардың аумағы өңдеу өнеркәсібінің өзге жобаларын орналастыруға арналған; дербес қойма объектілеріне жеке учаскелер бөлінбейді.</w:t>
      </w:r>
    </w:p>
    <w:p w14:paraId="75D4C1A6">
      <w:pPr>
        <w:pStyle w:val="75"/>
        <w:keepNext/>
        <w:spacing w:line="240" w:lineRule="auto"/>
        <w:rPr>
          <w:rFonts w:ascii="Cambria" w:hAnsi="Cambria"/>
          <w:lang w:val="ru-RU"/>
        </w:rPr>
      </w:pPr>
      <w:r>
        <w:rPr>
          <w:rFonts w:ascii="Cambria" w:hAnsi="Cambria"/>
          <w:lang w:val="ru-RU"/>
        </w:rPr>
        <w:t>3.1-кесте – Инвестициялық жобалардың, өндірістік параметрлердің және жер учаскелеріне қажеттіліктің алдын ала тізбесі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8" w:type="dxa"/>
          <w:left w:w="70" w:type="dxa"/>
          <w:bottom w:w="88" w:type="dxa"/>
          <w:right w:w="70" w:type="dxa"/>
        </w:tblCellMar>
      </w:tblPr>
      <w:tblGrid>
        <w:gridCol w:w="308"/>
        <w:gridCol w:w="2422"/>
        <w:gridCol w:w="884"/>
        <w:gridCol w:w="948"/>
        <w:gridCol w:w="1396"/>
        <w:gridCol w:w="1295"/>
        <w:gridCol w:w="1102"/>
        <w:gridCol w:w="1084"/>
      </w:tblGrid>
      <w:tr w14:paraId="678D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tblHeader/>
          <w:jc w:val="center"/>
        </w:trPr>
        <w:tc>
          <w:tcPr>
            <w:tcW w:w="0" w:type="auto"/>
            <w:shd w:val="clear" w:color="auto" w:fill="23486F"/>
            <w:vAlign w:val="center"/>
          </w:tcPr>
          <w:p w14:paraId="7E15FF74">
            <w:pPr>
              <w:spacing w:after="0" w:line="240" w:lineRule="auto"/>
              <w:ind w:firstLine="0"/>
              <w:jc w:val="center"/>
              <w:rPr>
                <w:rFonts w:ascii="Cambria" w:hAnsi="Cambria"/>
              </w:rPr>
            </w:pPr>
            <w:r>
              <w:rPr>
                <w:rFonts w:ascii="Cambria" w:hAnsi="Cambria"/>
                <w:b/>
                <w:color w:val="FFFFFF"/>
                <w:sz w:val="16"/>
              </w:rPr>
              <w:t>№</w:t>
            </w:r>
          </w:p>
        </w:tc>
        <w:tc>
          <w:tcPr>
            <w:tcW w:w="2483" w:type="dxa"/>
            <w:shd w:val="clear" w:color="auto" w:fill="23486F"/>
            <w:vAlign w:val="center"/>
          </w:tcPr>
          <w:p w14:paraId="2CF5F29D">
            <w:pPr>
              <w:spacing w:after="0" w:line="240" w:lineRule="auto"/>
              <w:ind w:firstLine="0"/>
              <w:jc w:val="left"/>
              <w:rPr>
                <w:rFonts w:ascii="Cambria" w:hAnsi="Cambria"/>
              </w:rPr>
            </w:pPr>
            <w:r>
              <w:rPr>
                <w:rFonts w:ascii="Cambria" w:hAnsi="Cambria"/>
                <w:b/>
                <w:color w:val="FFFFFF"/>
                <w:sz w:val="16"/>
              </w:rPr>
              <w:t>Әлеуетті жобаның атауы</w:t>
            </w:r>
          </w:p>
        </w:tc>
        <w:tc>
          <w:tcPr>
            <w:tcW w:w="889" w:type="dxa"/>
            <w:shd w:val="clear" w:color="auto" w:fill="23486F"/>
            <w:vAlign w:val="center"/>
          </w:tcPr>
          <w:p w14:paraId="7269330B">
            <w:pPr>
              <w:spacing w:after="0" w:line="240" w:lineRule="auto"/>
              <w:ind w:firstLine="0"/>
              <w:jc w:val="center"/>
              <w:rPr>
                <w:rFonts w:ascii="Cambria" w:hAnsi="Cambria"/>
              </w:rPr>
            </w:pPr>
            <w:r>
              <w:rPr>
                <w:rFonts w:ascii="Cambria" w:hAnsi="Cambria"/>
                <w:b/>
                <w:color w:val="FFFFFF"/>
                <w:sz w:val="16"/>
              </w:rPr>
              <w:t>Ауданы, га</w:t>
            </w:r>
          </w:p>
        </w:tc>
        <w:tc>
          <w:tcPr>
            <w:tcW w:w="963" w:type="dxa"/>
            <w:shd w:val="clear" w:color="auto" w:fill="23486F"/>
            <w:vAlign w:val="center"/>
          </w:tcPr>
          <w:p w14:paraId="48D82E2C">
            <w:pPr>
              <w:spacing w:after="0" w:line="240" w:lineRule="auto"/>
              <w:ind w:firstLine="0"/>
              <w:jc w:val="center"/>
              <w:rPr>
                <w:rFonts w:ascii="Cambria" w:hAnsi="Cambria"/>
              </w:rPr>
            </w:pPr>
            <w:r>
              <w:rPr>
                <w:rFonts w:ascii="Cambria" w:hAnsi="Cambria"/>
                <w:b/>
                <w:color w:val="FFFFFF"/>
                <w:sz w:val="16"/>
              </w:rPr>
              <w:t>Жобалық жылдық қуаты</w:t>
            </w:r>
          </w:p>
        </w:tc>
        <w:tc>
          <w:tcPr>
            <w:tcW w:w="1132" w:type="dxa"/>
            <w:shd w:val="clear" w:color="auto" w:fill="23486F"/>
            <w:vAlign w:val="center"/>
          </w:tcPr>
          <w:p w14:paraId="28702D85">
            <w:pPr>
              <w:spacing w:after="0" w:line="240" w:lineRule="auto"/>
              <w:ind w:firstLine="0"/>
              <w:jc w:val="center"/>
              <w:rPr>
                <w:rFonts w:ascii="Cambria" w:hAnsi="Cambria"/>
              </w:rPr>
            </w:pPr>
            <w:r>
              <w:rPr>
                <w:rFonts w:ascii="Cambria" w:hAnsi="Cambria"/>
                <w:b/>
                <w:color w:val="FFFFFF"/>
                <w:sz w:val="16"/>
              </w:rPr>
              <w:t>Инвестициялар, млрд тг</w:t>
            </w:r>
          </w:p>
        </w:tc>
        <w:tc>
          <w:tcPr>
            <w:tcW w:w="1308" w:type="dxa"/>
            <w:shd w:val="clear" w:color="auto" w:fill="23486F"/>
            <w:vAlign w:val="center"/>
          </w:tcPr>
          <w:p w14:paraId="728F117E">
            <w:pPr>
              <w:spacing w:after="0" w:line="240" w:lineRule="auto"/>
              <w:ind w:firstLine="0"/>
              <w:jc w:val="center"/>
              <w:rPr>
                <w:rFonts w:ascii="Cambria" w:hAnsi="Cambria"/>
                <w:lang w:val="ru-RU"/>
              </w:rPr>
            </w:pPr>
            <w:r>
              <w:rPr>
                <w:rFonts w:ascii="Cambria" w:hAnsi="Cambria"/>
                <w:b/>
                <w:color w:val="FFFFFF"/>
                <w:sz w:val="16"/>
                <w:lang w:val="ru-RU"/>
              </w:rPr>
              <w:t>Құрылыс кезіндегі жұмыс орындары, адам</w:t>
            </w:r>
          </w:p>
        </w:tc>
        <w:tc>
          <w:tcPr>
            <w:tcW w:w="1107" w:type="dxa"/>
            <w:shd w:val="clear" w:color="auto" w:fill="23486F"/>
            <w:vAlign w:val="center"/>
          </w:tcPr>
          <w:p w14:paraId="759F083B">
            <w:pPr>
              <w:spacing w:after="0" w:line="240" w:lineRule="auto"/>
              <w:ind w:firstLine="0"/>
              <w:jc w:val="center"/>
              <w:rPr>
                <w:rFonts w:ascii="Cambria" w:hAnsi="Cambria"/>
              </w:rPr>
            </w:pPr>
            <w:r>
              <w:rPr>
                <w:rFonts w:ascii="Cambria" w:hAnsi="Cambria"/>
                <w:b/>
                <w:color w:val="FFFFFF"/>
                <w:sz w:val="16"/>
              </w:rPr>
              <w:t>Тұрақты жұмыс орындары, адам</w:t>
            </w:r>
          </w:p>
        </w:tc>
        <w:tc>
          <w:tcPr>
            <w:tcW w:w="1099" w:type="dxa"/>
            <w:shd w:val="clear" w:color="auto" w:fill="23486F"/>
            <w:vAlign w:val="center"/>
          </w:tcPr>
          <w:p w14:paraId="710BAA34">
            <w:pPr>
              <w:spacing w:after="0" w:line="240" w:lineRule="auto"/>
              <w:ind w:firstLine="0"/>
              <w:jc w:val="center"/>
              <w:rPr>
                <w:rFonts w:ascii="Cambria" w:hAnsi="Cambria"/>
                <w:lang w:val="ru-RU"/>
              </w:rPr>
            </w:pPr>
            <w:r>
              <w:rPr>
                <w:rFonts w:ascii="Cambria" w:hAnsi="Cambria"/>
                <w:b/>
                <w:color w:val="FFFFFF"/>
                <w:sz w:val="16"/>
                <w:lang w:val="ru-RU"/>
              </w:rPr>
              <w:t>Толық жүктемедегі түсім, млрд тг/жыл</w:t>
            </w:r>
          </w:p>
        </w:tc>
      </w:tr>
      <w:tr w14:paraId="0F80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gridSpan w:val="8"/>
            <w:shd w:val="clear" w:color="auto" w:fill="DCEAF4"/>
            <w:vAlign w:val="center"/>
          </w:tcPr>
          <w:p w14:paraId="3B7EEE12">
            <w:pPr>
              <w:spacing w:after="0" w:line="240" w:lineRule="auto"/>
              <w:ind w:firstLine="0"/>
              <w:jc w:val="left"/>
              <w:rPr>
                <w:rFonts w:ascii="Cambria" w:hAnsi="Cambria"/>
                <w:lang w:val="ru-RU"/>
              </w:rPr>
            </w:pPr>
            <w:r>
              <w:rPr>
                <w:rFonts w:ascii="Cambria" w:hAnsi="Cambria"/>
                <w:b/>
                <w:color w:val="203B58"/>
                <w:sz w:val="18"/>
                <w:lang w:val="ru-RU"/>
              </w:rPr>
              <w:t>№ 1 алаң – инфрақұрылым және тұрғын үй құрылысына арналған ТББ өндірісі</w:t>
            </w:r>
          </w:p>
        </w:tc>
      </w:tr>
      <w:tr w14:paraId="6F6C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vAlign w:val="center"/>
          </w:tcPr>
          <w:p w14:paraId="3CC87655">
            <w:pPr>
              <w:spacing w:after="0" w:line="240" w:lineRule="auto"/>
              <w:ind w:firstLine="0"/>
              <w:jc w:val="center"/>
              <w:rPr>
                <w:rFonts w:ascii="Cambria" w:hAnsi="Cambria"/>
              </w:rPr>
            </w:pPr>
            <w:r>
              <w:rPr>
                <w:rFonts w:ascii="Cambria" w:hAnsi="Cambria"/>
                <w:color w:val="1C2839"/>
                <w:sz w:val="17"/>
              </w:rPr>
              <w:t>1</w:t>
            </w:r>
          </w:p>
        </w:tc>
        <w:tc>
          <w:tcPr>
            <w:tcW w:w="2483" w:type="dxa"/>
            <w:vAlign w:val="center"/>
          </w:tcPr>
          <w:p w14:paraId="71707B3C">
            <w:pPr>
              <w:spacing w:after="0" w:line="240" w:lineRule="auto"/>
              <w:ind w:firstLine="0"/>
              <w:jc w:val="left"/>
              <w:rPr>
                <w:rFonts w:ascii="Cambria" w:hAnsi="Cambria"/>
                <w:lang w:val="ru-RU"/>
              </w:rPr>
            </w:pPr>
            <w:r>
              <w:rPr>
                <w:rFonts w:ascii="Cambria" w:hAnsi="Cambria"/>
                <w:color w:val="1C2839"/>
                <w:sz w:val="17"/>
                <w:lang w:val="ru-RU"/>
              </w:rPr>
              <w:t>Жол және инфрақұрылым құрылысына арналған ТББ</w:t>
            </w:r>
          </w:p>
        </w:tc>
        <w:tc>
          <w:tcPr>
            <w:tcW w:w="889" w:type="dxa"/>
            <w:vAlign w:val="center"/>
          </w:tcPr>
          <w:p w14:paraId="03349D45">
            <w:pPr>
              <w:spacing w:after="0" w:line="240" w:lineRule="auto"/>
              <w:ind w:firstLine="0"/>
              <w:jc w:val="center"/>
              <w:rPr>
                <w:rFonts w:ascii="Cambria" w:hAnsi="Cambria"/>
              </w:rPr>
            </w:pPr>
            <w:r>
              <w:rPr>
                <w:rFonts w:ascii="Cambria" w:hAnsi="Cambria"/>
                <w:color w:val="1C2839"/>
                <w:sz w:val="17"/>
              </w:rPr>
              <w:t>8</w:t>
            </w:r>
          </w:p>
        </w:tc>
        <w:tc>
          <w:tcPr>
            <w:tcW w:w="963" w:type="dxa"/>
            <w:vAlign w:val="center"/>
          </w:tcPr>
          <w:p w14:paraId="148205E8">
            <w:pPr>
              <w:spacing w:after="0" w:line="240" w:lineRule="auto"/>
              <w:ind w:firstLine="0"/>
              <w:jc w:val="center"/>
              <w:rPr>
                <w:rFonts w:ascii="Cambria" w:hAnsi="Cambria"/>
              </w:rPr>
            </w:pPr>
            <w:r>
              <w:rPr>
                <w:rFonts w:ascii="Cambria" w:hAnsi="Cambria"/>
                <w:color w:val="1C2839"/>
                <w:sz w:val="17"/>
              </w:rPr>
              <w:t>35 мың м³</w:t>
            </w:r>
          </w:p>
        </w:tc>
        <w:tc>
          <w:tcPr>
            <w:tcW w:w="1132" w:type="dxa"/>
            <w:vAlign w:val="center"/>
          </w:tcPr>
          <w:p w14:paraId="5B2964B5">
            <w:pPr>
              <w:spacing w:after="0" w:line="240" w:lineRule="auto"/>
              <w:ind w:firstLine="0"/>
              <w:jc w:val="center"/>
              <w:rPr>
                <w:rFonts w:ascii="Cambria" w:hAnsi="Cambria"/>
              </w:rPr>
            </w:pPr>
            <w:r>
              <w:rPr>
                <w:rFonts w:ascii="Cambria" w:hAnsi="Cambria"/>
                <w:color w:val="1C2839"/>
                <w:sz w:val="17"/>
              </w:rPr>
              <w:t>7,0</w:t>
            </w:r>
          </w:p>
        </w:tc>
        <w:tc>
          <w:tcPr>
            <w:tcW w:w="1308" w:type="dxa"/>
            <w:vAlign w:val="center"/>
          </w:tcPr>
          <w:p w14:paraId="5E0952E9">
            <w:pPr>
              <w:spacing w:after="0" w:line="240" w:lineRule="auto"/>
              <w:ind w:firstLine="0"/>
              <w:jc w:val="center"/>
              <w:rPr>
                <w:rFonts w:ascii="Cambria" w:hAnsi="Cambria"/>
              </w:rPr>
            </w:pPr>
            <w:r>
              <w:rPr>
                <w:rFonts w:ascii="Cambria" w:hAnsi="Cambria"/>
                <w:color w:val="1C2839"/>
                <w:sz w:val="17"/>
              </w:rPr>
              <w:t>145</w:t>
            </w:r>
          </w:p>
        </w:tc>
        <w:tc>
          <w:tcPr>
            <w:tcW w:w="1107" w:type="dxa"/>
            <w:vAlign w:val="center"/>
          </w:tcPr>
          <w:p w14:paraId="26BEA8B6">
            <w:pPr>
              <w:spacing w:after="0" w:line="240" w:lineRule="auto"/>
              <w:ind w:firstLine="0"/>
              <w:jc w:val="center"/>
              <w:rPr>
                <w:rFonts w:ascii="Cambria" w:hAnsi="Cambria"/>
              </w:rPr>
            </w:pPr>
            <w:r>
              <w:rPr>
                <w:rFonts w:ascii="Cambria" w:hAnsi="Cambria"/>
                <w:color w:val="1C2839"/>
                <w:sz w:val="17"/>
              </w:rPr>
              <w:t>110</w:t>
            </w:r>
          </w:p>
        </w:tc>
        <w:tc>
          <w:tcPr>
            <w:tcW w:w="1099" w:type="dxa"/>
            <w:vAlign w:val="center"/>
          </w:tcPr>
          <w:p w14:paraId="7B5B0F74">
            <w:pPr>
              <w:spacing w:after="0" w:line="240" w:lineRule="auto"/>
              <w:ind w:firstLine="0"/>
              <w:jc w:val="center"/>
              <w:rPr>
                <w:rFonts w:ascii="Cambria" w:hAnsi="Cambria"/>
              </w:rPr>
            </w:pPr>
            <w:r>
              <w:rPr>
                <w:rFonts w:ascii="Cambria" w:hAnsi="Cambria"/>
                <w:color w:val="1C2839"/>
                <w:sz w:val="17"/>
              </w:rPr>
              <w:t>6,30</w:t>
            </w:r>
          </w:p>
        </w:tc>
      </w:tr>
      <w:tr w14:paraId="2FE2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F7F9FC"/>
            <w:vAlign w:val="center"/>
          </w:tcPr>
          <w:p w14:paraId="39C08B11">
            <w:pPr>
              <w:spacing w:after="0" w:line="240" w:lineRule="auto"/>
              <w:ind w:firstLine="0"/>
              <w:jc w:val="center"/>
              <w:rPr>
                <w:rFonts w:ascii="Cambria" w:hAnsi="Cambria"/>
              </w:rPr>
            </w:pPr>
            <w:r>
              <w:rPr>
                <w:rFonts w:ascii="Cambria" w:hAnsi="Cambria"/>
                <w:color w:val="1C2839"/>
                <w:sz w:val="17"/>
              </w:rPr>
              <w:t>2</w:t>
            </w:r>
          </w:p>
        </w:tc>
        <w:tc>
          <w:tcPr>
            <w:tcW w:w="2483" w:type="dxa"/>
            <w:shd w:val="clear" w:color="auto" w:fill="F7F9FC"/>
            <w:vAlign w:val="center"/>
          </w:tcPr>
          <w:p w14:paraId="2AA3D907">
            <w:pPr>
              <w:spacing w:after="0" w:line="240" w:lineRule="auto"/>
              <w:ind w:firstLine="0"/>
              <w:jc w:val="left"/>
              <w:rPr>
                <w:rFonts w:ascii="Cambria" w:hAnsi="Cambria"/>
              </w:rPr>
            </w:pPr>
            <w:r>
              <w:rPr>
                <w:rFonts w:ascii="Cambria" w:hAnsi="Cambria"/>
                <w:color w:val="1C2839"/>
                <w:sz w:val="17"/>
              </w:rPr>
              <w:t>Темірбетон шпалдар</w:t>
            </w:r>
          </w:p>
        </w:tc>
        <w:tc>
          <w:tcPr>
            <w:tcW w:w="889" w:type="dxa"/>
            <w:shd w:val="clear" w:color="auto" w:fill="F7F9FC"/>
            <w:vAlign w:val="center"/>
          </w:tcPr>
          <w:p w14:paraId="6AC9B0D1">
            <w:pPr>
              <w:spacing w:after="0" w:line="240" w:lineRule="auto"/>
              <w:ind w:firstLine="0"/>
              <w:jc w:val="center"/>
              <w:rPr>
                <w:rFonts w:ascii="Cambria" w:hAnsi="Cambria"/>
              </w:rPr>
            </w:pPr>
            <w:r>
              <w:rPr>
                <w:rFonts w:ascii="Cambria" w:hAnsi="Cambria"/>
                <w:color w:val="1C2839"/>
                <w:sz w:val="17"/>
              </w:rPr>
              <w:t>5</w:t>
            </w:r>
          </w:p>
        </w:tc>
        <w:tc>
          <w:tcPr>
            <w:tcW w:w="963" w:type="dxa"/>
            <w:shd w:val="clear" w:color="auto" w:fill="F7F9FC"/>
            <w:vAlign w:val="center"/>
          </w:tcPr>
          <w:p w14:paraId="56912282">
            <w:pPr>
              <w:spacing w:after="0" w:line="240" w:lineRule="auto"/>
              <w:ind w:firstLine="0"/>
              <w:jc w:val="center"/>
              <w:rPr>
                <w:rFonts w:ascii="Cambria" w:hAnsi="Cambria"/>
              </w:rPr>
            </w:pPr>
            <w:r>
              <w:rPr>
                <w:rFonts w:ascii="Cambria" w:hAnsi="Cambria"/>
                <w:color w:val="1C2839"/>
                <w:sz w:val="17"/>
              </w:rPr>
              <w:t>200 мың дана</w:t>
            </w:r>
          </w:p>
        </w:tc>
        <w:tc>
          <w:tcPr>
            <w:tcW w:w="1132" w:type="dxa"/>
            <w:shd w:val="clear" w:color="auto" w:fill="F7F9FC"/>
            <w:vAlign w:val="center"/>
          </w:tcPr>
          <w:p w14:paraId="18E5B450">
            <w:pPr>
              <w:spacing w:after="0" w:line="240" w:lineRule="auto"/>
              <w:ind w:firstLine="0"/>
              <w:jc w:val="center"/>
              <w:rPr>
                <w:rFonts w:ascii="Cambria" w:hAnsi="Cambria"/>
              </w:rPr>
            </w:pPr>
            <w:r>
              <w:rPr>
                <w:rFonts w:ascii="Cambria" w:hAnsi="Cambria"/>
                <w:color w:val="1C2839"/>
                <w:sz w:val="17"/>
              </w:rPr>
              <w:t>6,0</w:t>
            </w:r>
          </w:p>
        </w:tc>
        <w:tc>
          <w:tcPr>
            <w:tcW w:w="1308" w:type="dxa"/>
            <w:shd w:val="clear" w:color="auto" w:fill="F7F9FC"/>
            <w:vAlign w:val="center"/>
          </w:tcPr>
          <w:p w14:paraId="3F4327CC">
            <w:pPr>
              <w:spacing w:after="0" w:line="240" w:lineRule="auto"/>
              <w:ind w:firstLine="0"/>
              <w:jc w:val="center"/>
              <w:rPr>
                <w:rFonts w:ascii="Cambria" w:hAnsi="Cambria"/>
              </w:rPr>
            </w:pPr>
            <w:r>
              <w:rPr>
                <w:rFonts w:ascii="Cambria" w:hAnsi="Cambria"/>
                <w:color w:val="1C2839"/>
                <w:sz w:val="17"/>
              </w:rPr>
              <w:t>125</w:t>
            </w:r>
          </w:p>
        </w:tc>
        <w:tc>
          <w:tcPr>
            <w:tcW w:w="1107" w:type="dxa"/>
            <w:shd w:val="clear" w:color="auto" w:fill="F7F9FC"/>
            <w:vAlign w:val="center"/>
          </w:tcPr>
          <w:p w14:paraId="0E5A8292">
            <w:pPr>
              <w:spacing w:after="0" w:line="240" w:lineRule="auto"/>
              <w:ind w:firstLine="0"/>
              <w:jc w:val="center"/>
              <w:rPr>
                <w:rFonts w:ascii="Cambria" w:hAnsi="Cambria"/>
              </w:rPr>
            </w:pPr>
            <w:r>
              <w:rPr>
                <w:rFonts w:ascii="Cambria" w:hAnsi="Cambria"/>
                <w:color w:val="1C2839"/>
                <w:sz w:val="17"/>
              </w:rPr>
              <w:t>85</w:t>
            </w:r>
          </w:p>
        </w:tc>
        <w:tc>
          <w:tcPr>
            <w:tcW w:w="1099" w:type="dxa"/>
            <w:shd w:val="clear" w:color="auto" w:fill="F7F9FC"/>
            <w:vAlign w:val="center"/>
          </w:tcPr>
          <w:p w14:paraId="414FDD20">
            <w:pPr>
              <w:spacing w:after="0" w:line="240" w:lineRule="auto"/>
              <w:ind w:firstLine="0"/>
              <w:jc w:val="center"/>
              <w:rPr>
                <w:rFonts w:ascii="Cambria" w:hAnsi="Cambria"/>
              </w:rPr>
            </w:pPr>
            <w:r>
              <w:rPr>
                <w:rFonts w:ascii="Cambria" w:hAnsi="Cambria"/>
                <w:color w:val="1C2839"/>
                <w:sz w:val="17"/>
              </w:rPr>
              <w:t>7,00</w:t>
            </w:r>
          </w:p>
        </w:tc>
      </w:tr>
      <w:tr w14:paraId="3DE3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vAlign w:val="center"/>
          </w:tcPr>
          <w:p w14:paraId="3113CF32">
            <w:pPr>
              <w:spacing w:after="0" w:line="240" w:lineRule="auto"/>
              <w:ind w:firstLine="0"/>
              <w:jc w:val="center"/>
              <w:rPr>
                <w:rFonts w:ascii="Cambria" w:hAnsi="Cambria"/>
              </w:rPr>
            </w:pPr>
            <w:r>
              <w:rPr>
                <w:rFonts w:ascii="Cambria" w:hAnsi="Cambria"/>
                <w:color w:val="1C2839"/>
                <w:sz w:val="17"/>
              </w:rPr>
              <w:t>3</w:t>
            </w:r>
          </w:p>
        </w:tc>
        <w:tc>
          <w:tcPr>
            <w:tcW w:w="2483" w:type="dxa"/>
            <w:vAlign w:val="center"/>
          </w:tcPr>
          <w:p w14:paraId="60007BB7">
            <w:pPr>
              <w:spacing w:after="0" w:line="240" w:lineRule="auto"/>
              <w:ind w:firstLine="0"/>
              <w:jc w:val="left"/>
              <w:rPr>
                <w:rFonts w:ascii="Cambria" w:hAnsi="Cambria"/>
              </w:rPr>
            </w:pPr>
            <w:r>
              <w:rPr>
                <w:rFonts w:ascii="Cambria" w:hAnsi="Cambria"/>
                <w:color w:val="1C2839"/>
                <w:sz w:val="17"/>
              </w:rPr>
              <w:t>Электр беру желілерінің темірбетон тіректері</w:t>
            </w:r>
          </w:p>
        </w:tc>
        <w:tc>
          <w:tcPr>
            <w:tcW w:w="889" w:type="dxa"/>
            <w:vAlign w:val="center"/>
          </w:tcPr>
          <w:p w14:paraId="0D97116C">
            <w:pPr>
              <w:spacing w:after="0" w:line="240" w:lineRule="auto"/>
              <w:ind w:firstLine="0"/>
              <w:jc w:val="center"/>
              <w:rPr>
                <w:rFonts w:ascii="Cambria" w:hAnsi="Cambria"/>
              </w:rPr>
            </w:pPr>
            <w:r>
              <w:rPr>
                <w:rFonts w:ascii="Cambria" w:hAnsi="Cambria"/>
                <w:color w:val="1C2839"/>
                <w:sz w:val="17"/>
              </w:rPr>
              <w:t>4</w:t>
            </w:r>
          </w:p>
        </w:tc>
        <w:tc>
          <w:tcPr>
            <w:tcW w:w="963" w:type="dxa"/>
            <w:vAlign w:val="center"/>
          </w:tcPr>
          <w:p w14:paraId="77840BF6">
            <w:pPr>
              <w:spacing w:after="0" w:line="240" w:lineRule="auto"/>
              <w:ind w:firstLine="0"/>
              <w:jc w:val="center"/>
              <w:rPr>
                <w:rFonts w:ascii="Cambria" w:hAnsi="Cambria"/>
              </w:rPr>
            </w:pPr>
            <w:r>
              <w:rPr>
                <w:rFonts w:ascii="Cambria" w:hAnsi="Cambria"/>
                <w:color w:val="1C2839"/>
                <w:sz w:val="17"/>
              </w:rPr>
              <w:t>25 мың дана</w:t>
            </w:r>
          </w:p>
        </w:tc>
        <w:tc>
          <w:tcPr>
            <w:tcW w:w="1132" w:type="dxa"/>
            <w:vAlign w:val="center"/>
          </w:tcPr>
          <w:p w14:paraId="1FCBD142">
            <w:pPr>
              <w:spacing w:after="0" w:line="240" w:lineRule="auto"/>
              <w:ind w:firstLine="0"/>
              <w:jc w:val="center"/>
              <w:rPr>
                <w:rFonts w:ascii="Cambria" w:hAnsi="Cambria"/>
              </w:rPr>
            </w:pPr>
            <w:r>
              <w:rPr>
                <w:rFonts w:ascii="Cambria" w:hAnsi="Cambria"/>
                <w:color w:val="1C2839"/>
                <w:sz w:val="17"/>
              </w:rPr>
              <w:t>4,0</w:t>
            </w:r>
          </w:p>
        </w:tc>
        <w:tc>
          <w:tcPr>
            <w:tcW w:w="1308" w:type="dxa"/>
            <w:vAlign w:val="center"/>
          </w:tcPr>
          <w:p w14:paraId="6927923D">
            <w:pPr>
              <w:spacing w:after="0" w:line="240" w:lineRule="auto"/>
              <w:ind w:firstLine="0"/>
              <w:jc w:val="center"/>
              <w:rPr>
                <w:rFonts w:ascii="Cambria" w:hAnsi="Cambria"/>
              </w:rPr>
            </w:pPr>
            <w:r>
              <w:rPr>
                <w:rFonts w:ascii="Cambria" w:hAnsi="Cambria"/>
                <w:color w:val="1C2839"/>
                <w:sz w:val="17"/>
              </w:rPr>
              <w:t>80</w:t>
            </w:r>
          </w:p>
        </w:tc>
        <w:tc>
          <w:tcPr>
            <w:tcW w:w="1107" w:type="dxa"/>
            <w:vAlign w:val="center"/>
          </w:tcPr>
          <w:p w14:paraId="2E221005">
            <w:pPr>
              <w:spacing w:after="0" w:line="240" w:lineRule="auto"/>
              <w:ind w:firstLine="0"/>
              <w:jc w:val="center"/>
              <w:rPr>
                <w:rFonts w:ascii="Cambria" w:hAnsi="Cambria"/>
              </w:rPr>
            </w:pPr>
            <w:r>
              <w:rPr>
                <w:rFonts w:ascii="Cambria" w:hAnsi="Cambria"/>
                <w:color w:val="1C2839"/>
                <w:sz w:val="17"/>
              </w:rPr>
              <w:t>65</w:t>
            </w:r>
          </w:p>
        </w:tc>
        <w:tc>
          <w:tcPr>
            <w:tcW w:w="1099" w:type="dxa"/>
            <w:vAlign w:val="center"/>
          </w:tcPr>
          <w:p w14:paraId="6BCD4BD5">
            <w:pPr>
              <w:spacing w:after="0" w:line="240" w:lineRule="auto"/>
              <w:ind w:firstLine="0"/>
              <w:jc w:val="center"/>
              <w:rPr>
                <w:rFonts w:ascii="Cambria" w:hAnsi="Cambria"/>
              </w:rPr>
            </w:pPr>
            <w:r>
              <w:rPr>
                <w:rFonts w:ascii="Cambria" w:hAnsi="Cambria"/>
                <w:color w:val="1C2839"/>
                <w:sz w:val="17"/>
              </w:rPr>
              <w:t>2,75</w:t>
            </w:r>
          </w:p>
        </w:tc>
      </w:tr>
      <w:tr w14:paraId="77D8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F7F9FC"/>
            <w:vAlign w:val="center"/>
          </w:tcPr>
          <w:p w14:paraId="4BFCE94C">
            <w:pPr>
              <w:spacing w:after="0" w:line="240" w:lineRule="auto"/>
              <w:ind w:firstLine="0"/>
              <w:jc w:val="center"/>
              <w:rPr>
                <w:rFonts w:ascii="Cambria" w:hAnsi="Cambria"/>
              </w:rPr>
            </w:pPr>
            <w:r>
              <w:rPr>
                <w:rFonts w:ascii="Cambria" w:hAnsi="Cambria"/>
                <w:color w:val="1C2839"/>
                <w:sz w:val="17"/>
              </w:rPr>
              <w:t>4</w:t>
            </w:r>
          </w:p>
        </w:tc>
        <w:tc>
          <w:tcPr>
            <w:tcW w:w="2483" w:type="dxa"/>
            <w:shd w:val="clear" w:color="auto" w:fill="F7F9FC"/>
            <w:vAlign w:val="center"/>
          </w:tcPr>
          <w:p w14:paraId="408EDB2E">
            <w:pPr>
              <w:spacing w:after="0" w:line="240" w:lineRule="auto"/>
              <w:ind w:firstLine="0"/>
              <w:jc w:val="left"/>
              <w:rPr>
                <w:rFonts w:ascii="Cambria" w:hAnsi="Cambria"/>
              </w:rPr>
            </w:pPr>
            <w:r>
              <w:rPr>
                <w:rFonts w:ascii="Cambria" w:hAnsi="Cambria"/>
                <w:color w:val="1C2839"/>
                <w:sz w:val="17"/>
              </w:rPr>
              <w:t>Тұрғын үй құрылысына арналған ТББ</w:t>
            </w:r>
          </w:p>
        </w:tc>
        <w:tc>
          <w:tcPr>
            <w:tcW w:w="889" w:type="dxa"/>
            <w:shd w:val="clear" w:color="auto" w:fill="F7F9FC"/>
            <w:vAlign w:val="center"/>
          </w:tcPr>
          <w:p w14:paraId="437B53FE">
            <w:pPr>
              <w:spacing w:after="0" w:line="240" w:lineRule="auto"/>
              <w:ind w:firstLine="0"/>
              <w:jc w:val="center"/>
              <w:rPr>
                <w:rFonts w:ascii="Cambria" w:hAnsi="Cambria"/>
              </w:rPr>
            </w:pPr>
            <w:r>
              <w:rPr>
                <w:rFonts w:ascii="Cambria" w:hAnsi="Cambria"/>
                <w:color w:val="1C2839"/>
                <w:sz w:val="17"/>
              </w:rPr>
              <w:t>8</w:t>
            </w:r>
          </w:p>
        </w:tc>
        <w:tc>
          <w:tcPr>
            <w:tcW w:w="963" w:type="dxa"/>
            <w:shd w:val="clear" w:color="auto" w:fill="F7F9FC"/>
            <w:vAlign w:val="center"/>
          </w:tcPr>
          <w:p w14:paraId="6D5220C5">
            <w:pPr>
              <w:spacing w:after="0" w:line="240" w:lineRule="auto"/>
              <w:ind w:firstLine="0"/>
              <w:jc w:val="center"/>
              <w:rPr>
                <w:rFonts w:ascii="Cambria" w:hAnsi="Cambria"/>
              </w:rPr>
            </w:pPr>
            <w:r>
              <w:rPr>
                <w:rFonts w:ascii="Cambria" w:hAnsi="Cambria"/>
                <w:color w:val="1C2839"/>
                <w:sz w:val="17"/>
              </w:rPr>
              <w:t>45 мың м³</w:t>
            </w:r>
          </w:p>
        </w:tc>
        <w:tc>
          <w:tcPr>
            <w:tcW w:w="1132" w:type="dxa"/>
            <w:shd w:val="clear" w:color="auto" w:fill="F7F9FC"/>
            <w:vAlign w:val="center"/>
          </w:tcPr>
          <w:p w14:paraId="02C01C2F">
            <w:pPr>
              <w:spacing w:after="0" w:line="240" w:lineRule="auto"/>
              <w:ind w:firstLine="0"/>
              <w:jc w:val="center"/>
              <w:rPr>
                <w:rFonts w:ascii="Cambria" w:hAnsi="Cambria"/>
              </w:rPr>
            </w:pPr>
            <w:r>
              <w:rPr>
                <w:rFonts w:ascii="Cambria" w:hAnsi="Cambria"/>
                <w:color w:val="1C2839"/>
                <w:sz w:val="17"/>
              </w:rPr>
              <w:t>7,5</w:t>
            </w:r>
          </w:p>
        </w:tc>
        <w:tc>
          <w:tcPr>
            <w:tcW w:w="1308" w:type="dxa"/>
            <w:shd w:val="clear" w:color="auto" w:fill="F7F9FC"/>
            <w:vAlign w:val="center"/>
          </w:tcPr>
          <w:p w14:paraId="1F05D8DF">
            <w:pPr>
              <w:spacing w:after="0" w:line="240" w:lineRule="auto"/>
              <w:ind w:firstLine="0"/>
              <w:jc w:val="center"/>
              <w:rPr>
                <w:rFonts w:ascii="Cambria" w:hAnsi="Cambria"/>
              </w:rPr>
            </w:pPr>
            <w:r>
              <w:rPr>
                <w:rFonts w:ascii="Cambria" w:hAnsi="Cambria"/>
                <w:color w:val="1C2839"/>
                <w:sz w:val="17"/>
              </w:rPr>
              <w:t>155</w:t>
            </w:r>
          </w:p>
        </w:tc>
        <w:tc>
          <w:tcPr>
            <w:tcW w:w="1107" w:type="dxa"/>
            <w:shd w:val="clear" w:color="auto" w:fill="F7F9FC"/>
            <w:vAlign w:val="center"/>
          </w:tcPr>
          <w:p w14:paraId="3E5D936B">
            <w:pPr>
              <w:spacing w:after="0" w:line="240" w:lineRule="auto"/>
              <w:ind w:firstLine="0"/>
              <w:jc w:val="center"/>
              <w:rPr>
                <w:rFonts w:ascii="Cambria" w:hAnsi="Cambria"/>
              </w:rPr>
            </w:pPr>
            <w:r>
              <w:rPr>
                <w:rFonts w:ascii="Cambria" w:hAnsi="Cambria"/>
                <w:color w:val="1C2839"/>
                <w:sz w:val="17"/>
              </w:rPr>
              <w:t>110</w:t>
            </w:r>
          </w:p>
        </w:tc>
        <w:tc>
          <w:tcPr>
            <w:tcW w:w="1099" w:type="dxa"/>
            <w:shd w:val="clear" w:color="auto" w:fill="F7F9FC"/>
            <w:vAlign w:val="center"/>
          </w:tcPr>
          <w:p w14:paraId="26ED4764">
            <w:pPr>
              <w:spacing w:after="0" w:line="240" w:lineRule="auto"/>
              <w:ind w:firstLine="0"/>
              <w:jc w:val="center"/>
              <w:rPr>
                <w:rFonts w:ascii="Cambria" w:hAnsi="Cambria"/>
              </w:rPr>
            </w:pPr>
            <w:r>
              <w:rPr>
                <w:rFonts w:ascii="Cambria" w:hAnsi="Cambria"/>
                <w:color w:val="1C2839"/>
                <w:sz w:val="17"/>
              </w:rPr>
              <w:t>9,00</w:t>
            </w:r>
          </w:p>
        </w:tc>
      </w:tr>
      <w:tr w14:paraId="45E5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EDF4F8"/>
            <w:vAlign w:val="center"/>
          </w:tcPr>
          <w:p w14:paraId="47D1F829">
            <w:pPr>
              <w:spacing w:line="240" w:lineRule="auto"/>
              <w:rPr>
                <w:rFonts w:ascii="Cambria" w:hAnsi="Cambria"/>
              </w:rPr>
            </w:pPr>
          </w:p>
        </w:tc>
        <w:tc>
          <w:tcPr>
            <w:tcW w:w="2483" w:type="dxa"/>
            <w:shd w:val="clear" w:color="auto" w:fill="EDF4F8"/>
            <w:vAlign w:val="center"/>
          </w:tcPr>
          <w:p w14:paraId="5D2A2604">
            <w:pPr>
              <w:spacing w:after="0" w:line="240" w:lineRule="auto"/>
              <w:ind w:firstLine="0"/>
              <w:jc w:val="left"/>
              <w:rPr>
                <w:rFonts w:ascii="Cambria" w:hAnsi="Cambria"/>
              </w:rPr>
            </w:pPr>
            <w:r>
              <w:rPr>
                <w:rFonts w:ascii="Cambria" w:hAnsi="Cambria"/>
                <w:b/>
                <w:color w:val="1C2839"/>
                <w:sz w:val="17"/>
              </w:rPr>
              <w:t>№ 1 алаң бойынша жиыны</w:t>
            </w:r>
          </w:p>
        </w:tc>
        <w:tc>
          <w:tcPr>
            <w:tcW w:w="889" w:type="dxa"/>
            <w:shd w:val="clear" w:color="auto" w:fill="EDF4F8"/>
            <w:vAlign w:val="center"/>
          </w:tcPr>
          <w:p w14:paraId="35016196">
            <w:pPr>
              <w:spacing w:after="0" w:line="240" w:lineRule="auto"/>
              <w:ind w:firstLine="0"/>
              <w:jc w:val="center"/>
              <w:rPr>
                <w:rFonts w:ascii="Cambria" w:hAnsi="Cambria"/>
              </w:rPr>
            </w:pPr>
            <w:r>
              <w:rPr>
                <w:rFonts w:ascii="Cambria" w:hAnsi="Cambria"/>
                <w:b/>
                <w:color w:val="1C2839"/>
                <w:sz w:val="17"/>
              </w:rPr>
              <w:t>25</w:t>
            </w:r>
          </w:p>
        </w:tc>
        <w:tc>
          <w:tcPr>
            <w:tcW w:w="963" w:type="dxa"/>
            <w:shd w:val="clear" w:color="auto" w:fill="EDF4F8"/>
            <w:vAlign w:val="center"/>
          </w:tcPr>
          <w:p w14:paraId="1109942F">
            <w:pPr>
              <w:spacing w:after="0" w:line="240" w:lineRule="auto"/>
              <w:ind w:firstLine="0"/>
              <w:jc w:val="center"/>
              <w:rPr>
                <w:rFonts w:ascii="Cambria" w:hAnsi="Cambria"/>
              </w:rPr>
            </w:pPr>
            <w:r>
              <w:rPr>
                <w:rFonts w:ascii="Cambria" w:hAnsi="Cambria"/>
                <w:b/>
                <w:color w:val="1C2839"/>
                <w:sz w:val="17"/>
              </w:rPr>
              <w:t>—</w:t>
            </w:r>
          </w:p>
        </w:tc>
        <w:tc>
          <w:tcPr>
            <w:tcW w:w="1132" w:type="dxa"/>
            <w:shd w:val="clear" w:color="auto" w:fill="EDF4F8"/>
            <w:vAlign w:val="center"/>
          </w:tcPr>
          <w:p w14:paraId="378676A3">
            <w:pPr>
              <w:spacing w:after="0" w:line="240" w:lineRule="auto"/>
              <w:ind w:firstLine="0"/>
              <w:jc w:val="center"/>
              <w:rPr>
                <w:rFonts w:ascii="Cambria" w:hAnsi="Cambria"/>
              </w:rPr>
            </w:pPr>
            <w:r>
              <w:rPr>
                <w:rFonts w:ascii="Cambria" w:hAnsi="Cambria"/>
                <w:b/>
                <w:color w:val="1C2839"/>
                <w:sz w:val="17"/>
              </w:rPr>
              <w:t>24,5</w:t>
            </w:r>
          </w:p>
        </w:tc>
        <w:tc>
          <w:tcPr>
            <w:tcW w:w="1308" w:type="dxa"/>
            <w:shd w:val="clear" w:color="auto" w:fill="EDF4F8"/>
            <w:vAlign w:val="center"/>
          </w:tcPr>
          <w:p w14:paraId="3C822175">
            <w:pPr>
              <w:spacing w:after="0" w:line="240" w:lineRule="auto"/>
              <w:ind w:firstLine="0"/>
              <w:jc w:val="center"/>
              <w:rPr>
                <w:rFonts w:ascii="Cambria" w:hAnsi="Cambria"/>
              </w:rPr>
            </w:pPr>
            <w:r>
              <w:rPr>
                <w:rFonts w:ascii="Cambria" w:hAnsi="Cambria"/>
                <w:b/>
                <w:color w:val="1C2839"/>
                <w:sz w:val="17"/>
              </w:rPr>
              <w:t>505</w:t>
            </w:r>
          </w:p>
        </w:tc>
        <w:tc>
          <w:tcPr>
            <w:tcW w:w="1107" w:type="dxa"/>
            <w:shd w:val="clear" w:color="auto" w:fill="EDF4F8"/>
            <w:vAlign w:val="center"/>
          </w:tcPr>
          <w:p w14:paraId="674A61F7">
            <w:pPr>
              <w:spacing w:after="0" w:line="240" w:lineRule="auto"/>
              <w:ind w:firstLine="0"/>
              <w:jc w:val="center"/>
              <w:rPr>
                <w:rFonts w:ascii="Cambria" w:hAnsi="Cambria"/>
              </w:rPr>
            </w:pPr>
            <w:r>
              <w:rPr>
                <w:rFonts w:ascii="Cambria" w:hAnsi="Cambria"/>
                <w:b/>
                <w:color w:val="1C2839"/>
                <w:sz w:val="17"/>
              </w:rPr>
              <w:t>370</w:t>
            </w:r>
          </w:p>
        </w:tc>
        <w:tc>
          <w:tcPr>
            <w:tcW w:w="1099" w:type="dxa"/>
            <w:shd w:val="clear" w:color="auto" w:fill="EDF4F8"/>
            <w:vAlign w:val="center"/>
          </w:tcPr>
          <w:p w14:paraId="2B9D201E">
            <w:pPr>
              <w:spacing w:after="0" w:line="240" w:lineRule="auto"/>
              <w:ind w:firstLine="0"/>
              <w:jc w:val="center"/>
              <w:rPr>
                <w:rFonts w:ascii="Cambria" w:hAnsi="Cambria"/>
              </w:rPr>
            </w:pPr>
            <w:r>
              <w:rPr>
                <w:rFonts w:ascii="Cambria" w:hAnsi="Cambria"/>
                <w:b/>
                <w:color w:val="1C2839"/>
                <w:sz w:val="17"/>
              </w:rPr>
              <w:t>25,05</w:t>
            </w:r>
          </w:p>
        </w:tc>
      </w:tr>
      <w:tr w14:paraId="1F65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gridSpan w:val="8"/>
            <w:shd w:val="clear" w:color="auto" w:fill="DCEAF4"/>
            <w:vAlign w:val="center"/>
          </w:tcPr>
          <w:p w14:paraId="1E14CF6B">
            <w:pPr>
              <w:spacing w:after="0" w:line="240" w:lineRule="auto"/>
              <w:ind w:firstLine="0"/>
              <w:jc w:val="left"/>
              <w:rPr>
                <w:rFonts w:ascii="Cambria" w:hAnsi="Cambria"/>
                <w:lang w:val="ru-RU"/>
              </w:rPr>
            </w:pPr>
            <w:r>
              <w:rPr>
                <w:rFonts w:ascii="Cambria" w:hAnsi="Cambria"/>
                <w:b/>
                <w:color w:val="203B58"/>
                <w:sz w:val="18"/>
                <w:lang w:val="ru-RU"/>
              </w:rPr>
              <w:t>№ 2 алаң – цементті терең өңдеу және абаттандыру бұйымдары</w:t>
            </w:r>
          </w:p>
        </w:tc>
      </w:tr>
      <w:tr w14:paraId="432C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vAlign w:val="center"/>
          </w:tcPr>
          <w:p w14:paraId="2705FF33">
            <w:pPr>
              <w:spacing w:after="0" w:line="240" w:lineRule="auto"/>
              <w:ind w:firstLine="0"/>
              <w:jc w:val="center"/>
              <w:rPr>
                <w:rFonts w:ascii="Cambria" w:hAnsi="Cambria"/>
              </w:rPr>
            </w:pPr>
            <w:r>
              <w:rPr>
                <w:rFonts w:ascii="Cambria" w:hAnsi="Cambria"/>
                <w:color w:val="1C2839"/>
                <w:sz w:val="17"/>
              </w:rPr>
              <w:t>5</w:t>
            </w:r>
          </w:p>
        </w:tc>
        <w:tc>
          <w:tcPr>
            <w:tcW w:w="2483" w:type="dxa"/>
            <w:vAlign w:val="center"/>
          </w:tcPr>
          <w:p w14:paraId="2C1C1D3F">
            <w:pPr>
              <w:spacing w:after="0" w:line="240" w:lineRule="auto"/>
              <w:ind w:firstLine="0"/>
              <w:jc w:val="left"/>
              <w:rPr>
                <w:rFonts w:ascii="Cambria" w:hAnsi="Cambria"/>
              </w:rPr>
            </w:pPr>
            <w:r>
              <w:rPr>
                <w:rFonts w:ascii="Cambria" w:hAnsi="Cambria"/>
                <w:color w:val="1C2839"/>
                <w:sz w:val="17"/>
              </w:rPr>
              <w:t>Құрғақ құрылыс қоспалары</w:t>
            </w:r>
          </w:p>
        </w:tc>
        <w:tc>
          <w:tcPr>
            <w:tcW w:w="889" w:type="dxa"/>
            <w:vAlign w:val="center"/>
          </w:tcPr>
          <w:p w14:paraId="4D9ACBEF">
            <w:pPr>
              <w:spacing w:after="0" w:line="240" w:lineRule="auto"/>
              <w:ind w:firstLine="0"/>
              <w:jc w:val="center"/>
              <w:rPr>
                <w:rFonts w:ascii="Cambria" w:hAnsi="Cambria"/>
              </w:rPr>
            </w:pPr>
            <w:r>
              <w:rPr>
                <w:rFonts w:ascii="Cambria" w:hAnsi="Cambria"/>
                <w:color w:val="1C2839"/>
                <w:sz w:val="17"/>
              </w:rPr>
              <w:t>9</w:t>
            </w:r>
          </w:p>
        </w:tc>
        <w:tc>
          <w:tcPr>
            <w:tcW w:w="963" w:type="dxa"/>
            <w:vAlign w:val="center"/>
          </w:tcPr>
          <w:p w14:paraId="468E65B1">
            <w:pPr>
              <w:spacing w:after="0" w:line="240" w:lineRule="auto"/>
              <w:ind w:firstLine="0"/>
              <w:jc w:val="center"/>
              <w:rPr>
                <w:rFonts w:ascii="Cambria" w:hAnsi="Cambria"/>
              </w:rPr>
            </w:pPr>
            <w:r>
              <w:rPr>
                <w:rFonts w:ascii="Cambria" w:hAnsi="Cambria"/>
                <w:color w:val="1C2839"/>
                <w:sz w:val="17"/>
              </w:rPr>
              <w:t>100 мың т</w:t>
            </w:r>
          </w:p>
        </w:tc>
        <w:tc>
          <w:tcPr>
            <w:tcW w:w="1132" w:type="dxa"/>
            <w:vAlign w:val="center"/>
          </w:tcPr>
          <w:p w14:paraId="5FE01748">
            <w:pPr>
              <w:spacing w:after="0" w:line="240" w:lineRule="auto"/>
              <w:ind w:firstLine="0"/>
              <w:jc w:val="center"/>
              <w:rPr>
                <w:rFonts w:ascii="Cambria" w:hAnsi="Cambria"/>
              </w:rPr>
            </w:pPr>
            <w:r>
              <w:rPr>
                <w:rFonts w:ascii="Cambria" w:hAnsi="Cambria"/>
                <w:color w:val="1C2839"/>
                <w:sz w:val="17"/>
              </w:rPr>
              <w:t>3,0</w:t>
            </w:r>
          </w:p>
        </w:tc>
        <w:tc>
          <w:tcPr>
            <w:tcW w:w="1308" w:type="dxa"/>
            <w:vAlign w:val="center"/>
          </w:tcPr>
          <w:p w14:paraId="32EA1925">
            <w:pPr>
              <w:spacing w:after="0" w:line="240" w:lineRule="auto"/>
              <w:ind w:firstLine="0"/>
              <w:jc w:val="center"/>
              <w:rPr>
                <w:rFonts w:ascii="Cambria" w:hAnsi="Cambria"/>
              </w:rPr>
            </w:pPr>
            <w:r>
              <w:rPr>
                <w:rFonts w:ascii="Cambria" w:hAnsi="Cambria"/>
                <w:color w:val="1C2839"/>
                <w:sz w:val="17"/>
              </w:rPr>
              <w:t>75</w:t>
            </w:r>
          </w:p>
        </w:tc>
        <w:tc>
          <w:tcPr>
            <w:tcW w:w="1107" w:type="dxa"/>
            <w:vAlign w:val="center"/>
          </w:tcPr>
          <w:p w14:paraId="59D3812C">
            <w:pPr>
              <w:spacing w:after="0" w:line="240" w:lineRule="auto"/>
              <w:ind w:firstLine="0"/>
              <w:jc w:val="center"/>
              <w:rPr>
                <w:rFonts w:ascii="Cambria" w:hAnsi="Cambria"/>
              </w:rPr>
            </w:pPr>
            <w:r>
              <w:rPr>
                <w:rFonts w:ascii="Cambria" w:hAnsi="Cambria"/>
                <w:color w:val="1C2839"/>
                <w:sz w:val="17"/>
              </w:rPr>
              <w:t>55</w:t>
            </w:r>
          </w:p>
        </w:tc>
        <w:tc>
          <w:tcPr>
            <w:tcW w:w="1099" w:type="dxa"/>
            <w:vAlign w:val="center"/>
          </w:tcPr>
          <w:p w14:paraId="220F61EF">
            <w:pPr>
              <w:spacing w:after="0" w:line="240" w:lineRule="auto"/>
              <w:ind w:firstLine="0"/>
              <w:jc w:val="center"/>
              <w:rPr>
                <w:rFonts w:ascii="Cambria" w:hAnsi="Cambria"/>
              </w:rPr>
            </w:pPr>
            <w:r>
              <w:rPr>
                <w:rFonts w:ascii="Cambria" w:hAnsi="Cambria"/>
                <w:color w:val="1C2839"/>
                <w:sz w:val="17"/>
              </w:rPr>
              <w:t>7,00</w:t>
            </w:r>
          </w:p>
        </w:tc>
      </w:tr>
      <w:tr w14:paraId="0B2A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F7F9FC"/>
            <w:vAlign w:val="center"/>
          </w:tcPr>
          <w:p w14:paraId="279BB1AA">
            <w:pPr>
              <w:spacing w:after="0" w:line="240" w:lineRule="auto"/>
              <w:ind w:firstLine="0"/>
              <w:jc w:val="center"/>
              <w:rPr>
                <w:rFonts w:ascii="Cambria" w:hAnsi="Cambria"/>
              </w:rPr>
            </w:pPr>
            <w:r>
              <w:rPr>
                <w:rFonts w:ascii="Cambria" w:hAnsi="Cambria"/>
                <w:color w:val="1C2839"/>
                <w:sz w:val="17"/>
              </w:rPr>
              <w:t>6</w:t>
            </w:r>
          </w:p>
        </w:tc>
        <w:tc>
          <w:tcPr>
            <w:tcW w:w="2483" w:type="dxa"/>
            <w:shd w:val="clear" w:color="auto" w:fill="F7F9FC"/>
            <w:vAlign w:val="center"/>
          </w:tcPr>
          <w:p w14:paraId="1AFB816E">
            <w:pPr>
              <w:spacing w:after="0" w:line="240" w:lineRule="auto"/>
              <w:ind w:firstLine="0"/>
              <w:jc w:val="left"/>
              <w:rPr>
                <w:rFonts w:ascii="Cambria" w:hAnsi="Cambria"/>
              </w:rPr>
            </w:pPr>
            <w:r>
              <w:rPr>
                <w:rFonts w:ascii="Cambria" w:hAnsi="Cambria"/>
                <w:color w:val="1C2839"/>
                <w:sz w:val="17"/>
              </w:rPr>
              <w:t>Фиброцемент панельдері</w:t>
            </w:r>
          </w:p>
        </w:tc>
        <w:tc>
          <w:tcPr>
            <w:tcW w:w="889" w:type="dxa"/>
            <w:shd w:val="clear" w:color="auto" w:fill="F7F9FC"/>
            <w:vAlign w:val="center"/>
          </w:tcPr>
          <w:p w14:paraId="3DA1150E">
            <w:pPr>
              <w:spacing w:after="0" w:line="240" w:lineRule="auto"/>
              <w:ind w:firstLine="0"/>
              <w:jc w:val="center"/>
              <w:rPr>
                <w:rFonts w:ascii="Cambria" w:hAnsi="Cambria"/>
              </w:rPr>
            </w:pPr>
            <w:r>
              <w:rPr>
                <w:rFonts w:ascii="Cambria" w:hAnsi="Cambria"/>
                <w:color w:val="1C2839"/>
                <w:sz w:val="17"/>
              </w:rPr>
              <w:t>11</w:t>
            </w:r>
          </w:p>
        </w:tc>
        <w:tc>
          <w:tcPr>
            <w:tcW w:w="963" w:type="dxa"/>
            <w:shd w:val="clear" w:color="auto" w:fill="F7F9FC"/>
            <w:vAlign w:val="center"/>
          </w:tcPr>
          <w:p w14:paraId="67B1877C">
            <w:pPr>
              <w:spacing w:after="0" w:line="240" w:lineRule="auto"/>
              <w:ind w:firstLine="0"/>
              <w:jc w:val="center"/>
              <w:rPr>
                <w:rFonts w:ascii="Cambria" w:hAnsi="Cambria"/>
              </w:rPr>
            </w:pPr>
            <w:r>
              <w:rPr>
                <w:rFonts w:ascii="Cambria" w:hAnsi="Cambria"/>
                <w:color w:val="1C2839"/>
                <w:sz w:val="17"/>
              </w:rPr>
              <w:t>2 млн м²</w:t>
            </w:r>
          </w:p>
        </w:tc>
        <w:tc>
          <w:tcPr>
            <w:tcW w:w="1132" w:type="dxa"/>
            <w:shd w:val="clear" w:color="auto" w:fill="F7F9FC"/>
            <w:vAlign w:val="center"/>
          </w:tcPr>
          <w:p w14:paraId="20A7923D">
            <w:pPr>
              <w:spacing w:after="0" w:line="240" w:lineRule="auto"/>
              <w:ind w:firstLine="0"/>
              <w:jc w:val="center"/>
              <w:rPr>
                <w:rFonts w:ascii="Cambria" w:hAnsi="Cambria"/>
              </w:rPr>
            </w:pPr>
            <w:r>
              <w:rPr>
                <w:rFonts w:ascii="Cambria" w:hAnsi="Cambria"/>
                <w:color w:val="1C2839"/>
                <w:sz w:val="17"/>
              </w:rPr>
              <w:t>9,0</w:t>
            </w:r>
          </w:p>
        </w:tc>
        <w:tc>
          <w:tcPr>
            <w:tcW w:w="1308" w:type="dxa"/>
            <w:shd w:val="clear" w:color="auto" w:fill="F7F9FC"/>
            <w:vAlign w:val="center"/>
          </w:tcPr>
          <w:p w14:paraId="57A2011B">
            <w:pPr>
              <w:spacing w:after="0" w:line="240" w:lineRule="auto"/>
              <w:ind w:firstLine="0"/>
              <w:jc w:val="center"/>
              <w:rPr>
                <w:rFonts w:ascii="Cambria" w:hAnsi="Cambria"/>
              </w:rPr>
            </w:pPr>
            <w:r>
              <w:rPr>
                <w:rFonts w:ascii="Cambria" w:hAnsi="Cambria"/>
                <w:color w:val="1C2839"/>
                <w:sz w:val="17"/>
              </w:rPr>
              <w:t>190</w:t>
            </w:r>
          </w:p>
        </w:tc>
        <w:tc>
          <w:tcPr>
            <w:tcW w:w="1107" w:type="dxa"/>
            <w:shd w:val="clear" w:color="auto" w:fill="F7F9FC"/>
            <w:vAlign w:val="center"/>
          </w:tcPr>
          <w:p w14:paraId="7D114591">
            <w:pPr>
              <w:spacing w:after="0" w:line="240" w:lineRule="auto"/>
              <w:ind w:firstLine="0"/>
              <w:jc w:val="center"/>
              <w:rPr>
                <w:rFonts w:ascii="Cambria" w:hAnsi="Cambria"/>
              </w:rPr>
            </w:pPr>
            <w:r>
              <w:rPr>
                <w:rFonts w:ascii="Cambria" w:hAnsi="Cambria"/>
                <w:color w:val="1C2839"/>
                <w:sz w:val="17"/>
              </w:rPr>
              <w:t>120</w:t>
            </w:r>
          </w:p>
        </w:tc>
        <w:tc>
          <w:tcPr>
            <w:tcW w:w="1099" w:type="dxa"/>
            <w:shd w:val="clear" w:color="auto" w:fill="F7F9FC"/>
            <w:vAlign w:val="center"/>
          </w:tcPr>
          <w:p w14:paraId="1AA6C6EF">
            <w:pPr>
              <w:spacing w:after="0" w:line="240" w:lineRule="auto"/>
              <w:ind w:firstLine="0"/>
              <w:jc w:val="center"/>
              <w:rPr>
                <w:rFonts w:ascii="Cambria" w:hAnsi="Cambria"/>
              </w:rPr>
            </w:pPr>
            <w:r>
              <w:rPr>
                <w:rFonts w:ascii="Cambria" w:hAnsi="Cambria"/>
                <w:color w:val="1C2839"/>
                <w:sz w:val="17"/>
              </w:rPr>
              <w:t>7,00</w:t>
            </w:r>
          </w:p>
        </w:tc>
      </w:tr>
      <w:tr w14:paraId="06DF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vAlign w:val="center"/>
          </w:tcPr>
          <w:p w14:paraId="7B0A509E">
            <w:pPr>
              <w:spacing w:after="0" w:line="240" w:lineRule="auto"/>
              <w:ind w:firstLine="0"/>
              <w:jc w:val="center"/>
              <w:rPr>
                <w:rFonts w:ascii="Cambria" w:hAnsi="Cambria"/>
              </w:rPr>
            </w:pPr>
            <w:r>
              <w:rPr>
                <w:rFonts w:ascii="Cambria" w:hAnsi="Cambria"/>
                <w:color w:val="1C2839"/>
                <w:sz w:val="17"/>
              </w:rPr>
              <w:t>7</w:t>
            </w:r>
          </w:p>
        </w:tc>
        <w:tc>
          <w:tcPr>
            <w:tcW w:w="2483" w:type="dxa"/>
            <w:vAlign w:val="center"/>
          </w:tcPr>
          <w:p w14:paraId="55C3BB80">
            <w:pPr>
              <w:spacing w:after="0" w:line="240" w:lineRule="auto"/>
              <w:ind w:firstLine="0"/>
              <w:jc w:val="left"/>
              <w:rPr>
                <w:rFonts w:ascii="Cambria" w:hAnsi="Cambria"/>
              </w:rPr>
            </w:pPr>
            <w:r>
              <w:rPr>
                <w:rFonts w:ascii="Cambria" w:hAnsi="Cambria"/>
                <w:color w:val="1C2839"/>
                <w:sz w:val="17"/>
              </w:rPr>
              <w:t>Абаттандыруға арналған бетон бұйымдары</w:t>
            </w:r>
          </w:p>
        </w:tc>
        <w:tc>
          <w:tcPr>
            <w:tcW w:w="889" w:type="dxa"/>
            <w:vAlign w:val="center"/>
          </w:tcPr>
          <w:p w14:paraId="50FD1250">
            <w:pPr>
              <w:spacing w:after="0" w:line="240" w:lineRule="auto"/>
              <w:ind w:firstLine="0"/>
              <w:jc w:val="center"/>
              <w:rPr>
                <w:rFonts w:ascii="Cambria" w:hAnsi="Cambria"/>
              </w:rPr>
            </w:pPr>
            <w:r>
              <w:rPr>
                <w:rFonts w:ascii="Cambria" w:hAnsi="Cambria"/>
                <w:color w:val="1C2839"/>
                <w:sz w:val="17"/>
              </w:rPr>
              <w:t>8</w:t>
            </w:r>
          </w:p>
        </w:tc>
        <w:tc>
          <w:tcPr>
            <w:tcW w:w="963" w:type="dxa"/>
            <w:vAlign w:val="center"/>
          </w:tcPr>
          <w:p w14:paraId="17B467B9">
            <w:pPr>
              <w:spacing w:after="0" w:line="240" w:lineRule="auto"/>
              <w:ind w:firstLine="0"/>
              <w:jc w:val="center"/>
              <w:rPr>
                <w:rFonts w:ascii="Cambria" w:hAnsi="Cambria"/>
              </w:rPr>
            </w:pPr>
            <w:r>
              <w:rPr>
                <w:rFonts w:ascii="Cambria" w:hAnsi="Cambria"/>
                <w:color w:val="1C2839"/>
                <w:sz w:val="17"/>
              </w:rPr>
              <w:t>400 мың м²</w:t>
            </w:r>
          </w:p>
        </w:tc>
        <w:tc>
          <w:tcPr>
            <w:tcW w:w="1132" w:type="dxa"/>
            <w:vAlign w:val="center"/>
          </w:tcPr>
          <w:p w14:paraId="7EFBE3D1">
            <w:pPr>
              <w:spacing w:after="0" w:line="240" w:lineRule="auto"/>
              <w:ind w:firstLine="0"/>
              <w:jc w:val="center"/>
              <w:rPr>
                <w:rFonts w:ascii="Cambria" w:hAnsi="Cambria"/>
              </w:rPr>
            </w:pPr>
            <w:r>
              <w:rPr>
                <w:rFonts w:ascii="Cambria" w:hAnsi="Cambria"/>
                <w:color w:val="1C2839"/>
                <w:sz w:val="17"/>
              </w:rPr>
              <w:t>2,2</w:t>
            </w:r>
          </w:p>
        </w:tc>
        <w:tc>
          <w:tcPr>
            <w:tcW w:w="1308" w:type="dxa"/>
            <w:vAlign w:val="center"/>
          </w:tcPr>
          <w:p w14:paraId="205FD14C">
            <w:pPr>
              <w:spacing w:after="0" w:line="240" w:lineRule="auto"/>
              <w:ind w:firstLine="0"/>
              <w:jc w:val="center"/>
              <w:rPr>
                <w:rFonts w:ascii="Cambria" w:hAnsi="Cambria"/>
              </w:rPr>
            </w:pPr>
            <w:r>
              <w:rPr>
                <w:rFonts w:ascii="Cambria" w:hAnsi="Cambria"/>
                <w:color w:val="1C2839"/>
                <w:sz w:val="17"/>
              </w:rPr>
              <w:t>70</w:t>
            </w:r>
          </w:p>
        </w:tc>
        <w:tc>
          <w:tcPr>
            <w:tcW w:w="1107" w:type="dxa"/>
            <w:vAlign w:val="center"/>
          </w:tcPr>
          <w:p w14:paraId="16ED1A91">
            <w:pPr>
              <w:spacing w:after="0" w:line="240" w:lineRule="auto"/>
              <w:ind w:firstLine="0"/>
              <w:jc w:val="center"/>
              <w:rPr>
                <w:rFonts w:ascii="Cambria" w:hAnsi="Cambria"/>
              </w:rPr>
            </w:pPr>
            <w:r>
              <w:rPr>
                <w:rFonts w:ascii="Cambria" w:hAnsi="Cambria"/>
                <w:color w:val="1C2839"/>
                <w:sz w:val="17"/>
              </w:rPr>
              <w:t>60</w:t>
            </w:r>
          </w:p>
        </w:tc>
        <w:tc>
          <w:tcPr>
            <w:tcW w:w="1099" w:type="dxa"/>
            <w:vAlign w:val="center"/>
          </w:tcPr>
          <w:p w14:paraId="2120EADE">
            <w:pPr>
              <w:spacing w:after="0" w:line="240" w:lineRule="auto"/>
              <w:ind w:firstLine="0"/>
              <w:jc w:val="center"/>
              <w:rPr>
                <w:rFonts w:ascii="Cambria" w:hAnsi="Cambria"/>
              </w:rPr>
            </w:pPr>
            <w:r>
              <w:rPr>
                <w:rFonts w:ascii="Cambria" w:hAnsi="Cambria"/>
                <w:color w:val="1C2839"/>
                <w:sz w:val="17"/>
              </w:rPr>
              <w:t>2,00</w:t>
            </w:r>
          </w:p>
        </w:tc>
      </w:tr>
      <w:tr w14:paraId="05C0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EDF4F8"/>
            <w:vAlign w:val="center"/>
          </w:tcPr>
          <w:p w14:paraId="378F7CDC">
            <w:pPr>
              <w:spacing w:line="240" w:lineRule="auto"/>
              <w:rPr>
                <w:rFonts w:ascii="Cambria" w:hAnsi="Cambria"/>
              </w:rPr>
            </w:pPr>
          </w:p>
        </w:tc>
        <w:tc>
          <w:tcPr>
            <w:tcW w:w="2483" w:type="dxa"/>
            <w:shd w:val="clear" w:color="auto" w:fill="EDF4F8"/>
            <w:vAlign w:val="center"/>
          </w:tcPr>
          <w:p w14:paraId="16B5E15C">
            <w:pPr>
              <w:spacing w:after="0" w:line="240" w:lineRule="auto"/>
              <w:ind w:firstLine="0"/>
              <w:jc w:val="left"/>
              <w:rPr>
                <w:rFonts w:ascii="Cambria" w:hAnsi="Cambria"/>
              </w:rPr>
            </w:pPr>
            <w:r>
              <w:rPr>
                <w:rFonts w:ascii="Cambria" w:hAnsi="Cambria"/>
                <w:b/>
                <w:color w:val="1C2839"/>
                <w:sz w:val="17"/>
              </w:rPr>
              <w:t>№ 2 алаң бойынша жиыны</w:t>
            </w:r>
          </w:p>
        </w:tc>
        <w:tc>
          <w:tcPr>
            <w:tcW w:w="889" w:type="dxa"/>
            <w:shd w:val="clear" w:color="auto" w:fill="EDF4F8"/>
            <w:vAlign w:val="center"/>
          </w:tcPr>
          <w:p w14:paraId="5A934D4E">
            <w:pPr>
              <w:spacing w:after="0" w:line="240" w:lineRule="auto"/>
              <w:ind w:firstLine="0"/>
              <w:jc w:val="center"/>
              <w:rPr>
                <w:rFonts w:ascii="Cambria" w:hAnsi="Cambria"/>
              </w:rPr>
            </w:pPr>
            <w:r>
              <w:rPr>
                <w:rFonts w:ascii="Cambria" w:hAnsi="Cambria"/>
                <w:b/>
                <w:color w:val="1C2839"/>
                <w:sz w:val="17"/>
              </w:rPr>
              <w:t>28</w:t>
            </w:r>
          </w:p>
        </w:tc>
        <w:tc>
          <w:tcPr>
            <w:tcW w:w="963" w:type="dxa"/>
            <w:shd w:val="clear" w:color="auto" w:fill="EDF4F8"/>
            <w:vAlign w:val="center"/>
          </w:tcPr>
          <w:p w14:paraId="60097CBB">
            <w:pPr>
              <w:spacing w:after="0" w:line="240" w:lineRule="auto"/>
              <w:ind w:firstLine="0"/>
              <w:jc w:val="center"/>
              <w:rPr>
                <w:rFonts w:ascii="Cambria" w:hAnsi="Cambria"/>
              </w:rPr>
            </w:pPr>
            <w:r>
              <w:rPr>
                <w:rFonts w:ascii="Cambria" w:hAnsi="Cambria"/>
                <w:b/>
                <w:color w:val="1C2839"/>
                <w:sz w:val="17"/>
              </w:rPr>
              <w:t>—</w:t>
            </w:r>
          </w:p>
        </w:tc>
        <w:tc>
          <w:tcPr>
            <w:tcW w:w="1132" w:type="dxa"/>
            <w:shd w:val="clear" w:color="auto" w:fill="EDF4F8"/>
            <w:vAlign w:val="center"/>
          </w:tcPr>
          <w:p w14:paraId="6702F224">
            <w:pPr>
              <w:spacing w:after="0" w:line="240" w:lineRule="auto"/>
              <w:ind w:firstLine="0"/>
              <w:jc w:val="center"/>
              <w:rPr>
                <w:rFonts w:ascii="Cambria" w:hAnsi="Cambria"/>
              </w:rPr>
            </w:pPr>
            <w:r>
              <w:rPr>
                <w:rFonts w:ascii="Cambria" w:hAnsi="Cambria"/>
                <w:b/>
                <w:color w:val="1C2839"/>
                <w:sz w:val="17"/>
              </w:rPr>
              <w:t>14,2</w:t>
            </w:r>
          </w:p>
        </w:tc>
        <w:tc>
          <w:tcPr>
            <w:tcW w:w="1308" w:type="dxa"/>
            <w:shd w:val="clear" w:color="auto" w:fill="EDF4F8"/>
            <w:vAlign w:val="center"/>
          </w:tcPr>
          <w:p w14:paraId="7710319B">
            <w:pPr>
              <w:spacing w:after="0" w:line="240" w:lineRule="auto"/>
              <w:ind w:firstLine="0"/>
              <w:jc w:val="center"/>
              <w:rPr>
                <w:rFonts w:ascii="Cambria" w:hAnsi="Cambria"/>
              </w:rPr>
            </w:pPr>
            <w:r>
              <w:rPr>
                <w:rFonts w:ascii="Cambria" w:hAnsi="Cambria"/>
                <w:b/>
                <w:color w:val="1C2839"/>
                <w:sz w:val="17"/>
              </w:rPr>
              <w:t>335</w:t>
            </w:r>
          </w:p>
        </w:tc>
        <w:tc>
          <w:tcPr>
            <w:tcW w:w="1107" w:type="dxa"/>
            <w:shd w:val="clear" w:color="auto" w:fill="EDF4F8"/>
            <w:vAlign w:val="center"/>
          </w:tcPr>
          <w:p w14:paraId="434C020B">
            <w:pPr>
              <w:spacing w:after="0" w:line="240" w:lineRule="auto"/>
              <w:ind w:firstLine="0"/>
              <w:jc w:val="center"/>
              <w:rPr>
                <w:rFonts w:ascii="Cambria" w:hAnsi="Cambria"/>
              </w:rPr>
            </w:pPr>
            <w:r>
              <w:rPr>
                <w:rFonts w:ascii="Cambria" w:hAnsi="Cambria"/>
                <w:b/>
                <w:color w:val="1C2839"/>
                <w:sz w:val="17"/>
              </w:rPr>
              <w:t>235</w:t>
            </w:r>
          </w:p>
        </w:tc>
        <w:tc>
          <w:tcPr>
            <w:tcW w:w="1099" w:type="dxa"/>
            <w:shd w:val="clear" w:color="auto" w:fill="EDF4F8"/>
            <w:vAlign w:val="center"/>
          </w:tcPr>
          <w:p w14:paraId="55F727DA">
            <w:pPr>
              <w:spacing w:after="0" w:line="240" w:lineRule="auto"/>
              <w:ind w:firstLine="0"/>
              <w:jc w:val="center"/>
              <w:rPr>
                <w:rFonts w:ascii="Cambria" w:hAnsi="Cambria"/>
              </w:rPr>
            </w:pPr>
            <w:r>
              <w:rPr>
                <w:rFonts w:ascii="Cambria" w:hAnsi="Cambria"/>
                <w:b/>
                <w:color w:val="1C2839"/>
                <w:sz w:val="17"/>
              </w:rPr>
              <w:t>16,00</w:t>
            </w:r>
          </w:p>
        </w:tc>
      </w:tr>
      <w:tr w14:paraId="5BDC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cantSplit/>
          <w:jc w:val="center"/>
        </w:trPr>
        <w:tc>
          <w:tcPr>
            <w:tcW w:w="0" w:type="auto"/>
            <w:shd w:val="clear" w:color="auto" w:fill="E5EDF4"/>
            <w:vAlign w:val="center"/>
          </w:tcPr>
          <w:p w14:paraId="4D4AAE23">
            <w:pPr>
              <w:spacing w:line="240" w:lineRule="auto"/>
              <w:rPr>
                <w:rFonts w:ascii="Cambria" w:hAnsi="Cambria"/>
              </w:rPr>
            </w:pPr>
          </w:p>
        </w:tc>
        <w:tc>
          <w:tcPr>
            <w:tcW w:w="2483" w:type="dxa"/>
            <w:shd w:val="clear" w:color="auto" w:fill="E5EDF4"/>
            <w:vAlign w:val="center"/>
          </w:tcPr>
          <w:p w14:paraId="45075C1E">
            <w:pPr>
              <w:spacing w:after="0" w:line="240" w:lineRule="auto"/>
              <w:ind w:firstLine="0"/>
              <w:jc w:val="left"/>
              <w:rPr>
                <w:rFonts w:ascii="Cambria" w:hAnsi="Cambria"/>
              </w:rPr>
            </w:pPr>
            <w:r>
              <w:rPr>
                <w:rFonts w:ascii="Cambria" w:hAnsi="Cambria"/>
                <w:b/>
                <w:color w:val="1C2839"/>
                <w:sz w:val="17"/>
              </w:rPr>
              <w:t>Индустриялық аймақ бойынша барлығы</w:t>
            </w:r>
          </w:p>
        </w:tc>
        <w:tc>
          <w:tcPr>
            <w:tcW w:w="889" w:type="dxa"/>
            <w:shd w:val="clear" w:color="auto" w:fill="E5EDF4"/>
            <w:vAlign w:val="center"/>
          </w:tcPr>
          <w:p w14:paraId="4665B7DA">
            <w:pPr>
              <w:spacing w:after="0" w:line="240" w:lineRule="auto"/>
              <w:ind w:firstLine="0"/>
              <w:jc w:val="center"/>
              <w:rPr>
                <w:rFonts w:ascii="Cambria" w:hAnsi="Cambria"/>
              </w:rPr>
            </w:pPr>
            <w:r>
              <w:rPr>
                <w:rFonts w:ascii="Cambria" w:hAnsi="Cambria"/>
                <w:b/>
                <w:color w:val="1C2839"/>
                <w:sz w:val="17"/>
              </w:rPr>
              <w:t>53</w:t>
            </w:r>
          </w:p>
        </w:tc>
        <w:tc>
          <w:tcPr>
            <w:tcW w:w="963" w:type="dxa"/>
            <w:shd w:val="clear" w:color="auto" w:fill="E5EDF4"/>
            <w:vAlign w:val="center"/>
          </w:tcPr>
          <w:p w14:paraId="474AEE93">
            <w:pPr>
              <w:spacing w:after="0" w:line="240" w:lineRule="auto"/>
              <w:ind w:firstLine="0"/>
              <w:jc w:val="center"/>
              <w:rPr>
                <w:rFonts w:ascii="Cambria" w:hAnsi="Cambria"/>
              </w:rPr>
            </w:pPr>
            <w:r>
              <w:rPr>
                <w:rFonts w:ascii="Cambria" w:hAnsi="Cambria"/>
                <w:b/>
                <w:color w:val="1C2839"/>
                <w:sz w:val="17"/>
              </w:rPr>
              <w:t>—</w:t>
            </w:r>
          </w:p>
        </w:tc>
        <w:tc>
          <w:tcPr>
            <w:tcW w:w="1132" w:type="dxa"/>
            <w:shd w:val="clear" w:color="auto" w:fill="E5EDF4"/>
            <w:vAlign w:val="center"/>
          </w:tcPr>
          <w:p w14:paraId="20AF6914">
            <w:pPr>
              <w:spacing w:after="0" w:line="240" w:lineRule="auto"/>
              <w:ind w:firstLine="0"/>
              <w:jc w:val="center"/>
              <w:rPr>
                <w:rFonts w:ascii="Cambria" w:hAnsi="Cambria"/>
              </w:rPr>
            </w:pPr>
            <w:r>
              <w:rPr>
                <w:rFonts w:ascii="Cambria" w:hAnsi="Cambria"/>
                <w:b/>
                <w:color w:val="1C2839"/>
                <w:sz w:val="17"/>
              </w:rPr>
              <w:t>38,7</w:t>
            </w:r>
          </w:p>
        </w:tc>
        <w:tc>
          <w:tcPr>
            <w:tcW w:w="1308" w:type="dxa"/>
            <w:shd w:val="clear" w:color="auto" w:fill="E5EDF4"/>
            <w:vAlign w:val="center"/>
          </w:tcPr>
          <w:p w14:paraId="045ED86B">
            <w:pPr>
              <w:spacing w:after="0" w:line="240" w:lineRule="auto"/>
              <w:ind w:firstLine="0"/>
              <w:jc w:val="center"/>
              <w:rPr>
                <w:rFonts w:ascii="Cambria" w:hAnsi="Cambria"/>
              </w:rPr>
            </w:pPr>
            <w:r>
              <w:rPr>
                <w:rFonts w:ascii="Cambria" w:hAnsi="Cambria"/>
                <w:b/>
                <w:color w:val="1C2839"/>
                <w:sz w:val="17"/>
              </w:rPr>
              <w:t>840</w:t>
            </w:r>
          </w:p>
        </w:tc>
        <w:tc>
          <w:tcPr>
            <w:tcW w:w="1107" w:type="dxa"/>
            <w:shd w:val="clear" w:color="auto" w:fill="E5EDF4"/>
            <w:vAlign w:val="center"/>
          </w:tcPr>
          <w:p w14:paraId="45A14488">
            <w:pPr>
              <w:spacing w:after="0" w:line="240" w:lineRule="auto"/>
              <w:ind w:firstLine="0"/>
              <w:jc w:val="center"/>
              <w:rPr>
                <w:rFonts w:ascii="Cambria" w:hAnsi="Cambria"/>
              </w:rPr>
            </w:pPr>
            <w:r>
              <w:rPr>
                <w:rFonts w:ascii="Cambria" w:hAnsi="Cambria"/>
                <w:b/>
                <w:color w:val="1C2839"/>
                <w:sz w:val="17"/>
              </w:rPr>
              <w:t>605</w:t>
            </w:r>
          </w:p>
        </w:tc>
        <w:tc>
          <w:tcPr>
            <w:tcW w:w="1099" w:type="dxa"/>
            <w:shd w:val="clear" w:color="auto" w:fill="E5EDF4"/>
            <w:vAlign w:val="center"/>
          </w:tcPr>
          <w:p w14:paraId="56CEF012">
            <w:pPr>
              <w:spacing w:after="0" w:line="240" w:lineRule="auto"/>
              <w:ind w:firstLine="0"/>
              <w:jc w:val="center"/>
              <w:rPr>
                <w:rFonts w:ascii="Cambria" w:hAnsi="Cambria"/>
              </w:rPr>
            </w:pPr>
            <w:r>
              <w:rPr>
                <w:rFonts w:ascii="Cambria" w:hAnsi="Cambria"/>
                <w:b/>
                <w:color w:val="1C2839"/>
                <w:sz w:val="17"/>
              </w:rPr>
              <w:t>41,05</w:t>
            </w:r>
          </w:p>
        </w:tc>
      </w:tr>
    </w:tbl>
    <w:p w14:paraId="7C55920F">
      <w:pPr>
        <w:spacing w:line="240" w:lineRule="auto"/>
        <w:rPr>
          <w:rFonts w:ascii="Cambria" w:hAnsi="Cambria"/>
          <w:lang w:val="ru-RU"/>
        </w:rPr>
      </w:pPr>
      <w:r>
        <w:rPr>
          <w:rFonts w:ascii="Cambria" w:hAnsi="Cambria"/>
          <w:lang w:val="ru-RU"/>
        </w:rPr>
        <w:t>Ұсынылған есептік портфель бойынша № 1 алаңның 25 гектары жиынтық жеке инвестициялары 24,5 млрд теңгені құрайтын және 370 тұрақты жұмыс орнын ашатын төрт жобаға бекітіледі. № 2 алаңда үш жобаға алдын ала 28 гектар бөлінеді; болжамды инвестициялар 14,2 млрд теңге, тұрақты жұмыс орындары – 235. Жеке инвестициялардың жиынтық көлемі 38,7 млрд теңге деп бағаланады, ал барлық кәсіпорындар жобалық қуатқа шыққаннан кейінгі күтілетін жылдық түсім 41,05 млрд теңгені құрайды.</w:t>
      </w:r>
    </w:p>
    <w:p w14:paraId="3293C069">
      <w:pPr>
        <w:spacing w:line="240" w:lineRule="auto"/>
        <w:rPr>
          <w:rFonts w:ascii="Cambria" w:hAnsi="Cambria"/>
          <w:lang w:val="ru-RU"/>
        </w:rPr>
      </w:pPr>
      <w:r>
        <w:rPr>
          <w:rFonts w:ascii="Cambria" w:hAnsi="Cambria"/>
          <w:lang w:val="ru-RU"/>
        </w:rPr>
        <w:t>Келтірілген көрсеткіштер сыртқы өнеркәсіптік өзек ретінде қарастырылатын цемент зауытының инвестициялары мен өндірістік нәтижелерін қамтымайды. Резиденттік жобалардың өнім номенклатурасы мен сандық параметрлері инвесторлар таңдалған кезде ИА-ның жалпы салалық бағытын өзгертпей нақтылануы мүмкін. Жобаларға түзету енгізілген жағдайда аумақтың келісілген жалпы ауданы және орналастырудың көліктік әрі инженерлік тұрғыдан іске асырылу қажеттігі сақталуға тиіс.</w:t>
      </w:r>
    </w:p>
    <w:p w14:paraId="47AD404A">
      <w:pPr>
        <w:pStyle w:val="3"/>
        <w:spacing w:line="240" w:lineRule="auto"/>
        <w:rPr>
          <w:rFonts w:ascii="Cambria" w:hAnsi="Cambria"/>
          <w:lang w:val="ru-RU"/>
        </w:rPr>
      </w:pPr>
      <w:bookmarkStart w:id="10" w:name="__RefHeading___Toc9498_2617525462"/>
      <w:bookmarkEnd w:id="10"/>
      <w:r>
        <w:rPr>
          <w:rFonts w:ascii="Cambria" w:hAnsi="Cambria"/>
          <w:lang w:val="ru-RU"/>
        </w:rPr>
        <w:t>3.2. Әлеуетті қатысушылардың ұйымдық-құқықтық нысанына қойылатын талаптар</w:t>
      </w:r>
    </w:p>
    <w:p w14:paraId="5C8825A2">
      <w:pPr>
        <w:spacing w:line="240" w:lineRule="auto"/>
        <w:rPr>
          <w:rFonts w:ascii="Cambria" w:hAnsi="Cambria"/>
          <w:lang w:val="ru-RU"/>
        </w:rPr>
      </w:pPr>
      <w:r>
        <w:rPr>
          <w:rFonts w:ascii="Cambria" w:hAnsi="Cambria"/>
          <w:lang w:val="ru-RU"/>
        </w:rPr>
        <w:t>Индустриялық аймақтың қатысушылары ретінде құқықтық мәртебесі Қазақстан Республикасының заңнамасына сәйкес индустриялық аймақ аумағында қызметті жүзеге асыру туралы шарт жасасуға мүмкіндік беретін жеке кәсіпкерлік субъектілері бола алады. Көзделген жобалардың капиталды көп қажет ететінін және өндірістік бағытын ескере отырып, әлеуетті өтініш берушілер ретінде ең алдымен заңды тұлғалар, оның ішінде жауапкершілігі шектеулі серіктестіктер мен акционерлік қоғамдар, дербес не отандық және шетелдік серіктестермен бірлескен кәсіпорын нысанында қарастырылады.</w:t>
      </w:r>
    </w:p>
    <w:p w14:paraId="6E188E04">
      <w:pPr>
        <w:spacing w:line="240" w:lineRule="auto"/>
        <w:rPr>
          <w:rFonts w:ascii="Cambria" w:hAnsi="Cambria"/>
          <w:lang w:val="ru-RU"/>
        </w:rPr>
      </w:pPr>
      <w:r>
        <w:rPr>
          <w:rFonts w:ascii="Cambria" w:hAnsi="Cambria"/>
          <w:lang w:val="ru-RU"/>
        </w:rPr>
        <w:t>Егер тиісті ұйымдық-құқықтық нысанға заңнамада жол берілсе, оны пайдалану қатысуға жіберудің дербес шектеуіне айналмауға тиіс. Іріктеуге қатысу үшін өтініш беруші құқықтық мәртебесі, тіркелуі (қайта тіркелуі), құрылтай құжаттары туралы құжаттарды және жобаларды іріктеудің қолданыстағы қағидаларында көзделген көлемдегі өзге мәліметтерді ұсынады. Шетелдік заңды тұлғаларға олардың құқықтық мәртебесін растау және құжаттарын заңдастыру жөніндегі белгіленген талаптар қолданылады.</w:t>
      </w:r>
    </w:p>
    <w:p w14:paraId="3F0D2B4F">
      <w:pPr>
        <w:spacing w:line="240" w:lineRule="auto"/>
        <w:rPr>
          <w:rFonts w:ascii="Cambria" w:hAnsi="Cambria"/>
          <w:lang w:val="ru-RU"/>
        </w:rPr>
      </w:pPr>
      <w:r>
        <w:rPr>
          <w:rFonts w:ascii="Cambria" w:hAnsi="Cambria"/>
          <w:lang w:val="ru-RU"/>
        </w:rPr>
        <w:t>Өндірістерді іске асыру үшін нақты жауапкершілікті қамтамасыз ету мақсатында әр инвестициялық жобаның қызметті жүзеге асыру туралы шарты жасалған нақты өтініш берушісі және кейіннен ИА қатысушысы болуы көзделеді. Бұл ретте жоба инвестор құрған жобалық компания арқылы іске асырылуы мүмкін; компаниялар тобының қатысуы нақты өтініш берушіні заңнаманың міндетті талаптары мен жасалған шарт талаптарын сақтау міндетінен босатпайды.</w:t>
      </w:r>
    </w:p>
    <w:p w14:paraId="77435947">
      <w:pPr>
        <w:pStyle w:val="3"/>
        <w:spacing w:line="240" w:lineRule="auto"/>
        <w:rPr>
          <w:rFonts w:ascii="Cambria" w:hAnsi="Cambria"/>
          <w:lang w:val="ru-RU"/>
        </w:rPr>
      </w:pPr>
      <w:bookmarkStart w:id="11" w:name="__RefHeading___Toc9500_2617525462"/>
      <w:bookmarkEnd w:id="11"/>
      <w:r>
        <w:rPr>
          <w:rFonts w:ascii="Cambria" w:hAnsi="Cambria"/>
          <w:lang w:val="ru-RU"/>
        </w:rPr>
        <w:t>3.3. Өндірістік қызметке және меншікті өндірістің болуына қойылатын талаптар</w:t>
      </w:r>
    </w:p>
    <w:p w14:paraId="6DC4E1FD">
      <w:pPr>
        <w:spacing w:line="240" w:lineRule="auto"/>
        <w:rPr>
          <w:rFonts w:ascii="Cambria" w:hAnsi="Cambria"/>
          <w:lang w:val="ru-RU"/>
        </w:rPr>
      </w:pPr>
      <w:r>
        <w:rPr>
          <w:rFonts w:ascii="Cambria" w:hAnsi="Cambria"/>
          <w:lang w:val="ru-RU"/>
        </w:rPr>
        <w:t>ИА аумағына орналастырудың негізгі нысанасы – құрылыс материалдары мен темірбетон бұйымдарын қоса алғанда, өңдеу өнеркәсібінің өнімдерін шығаратын дербес өндірістік қуаттарды құру және пайдалану. Шикізатты дайын өнімге технологиялық өңдеуді, өндірістік жабдықтың болуын, сапаны бақылауды ұйымдастыруды және аймақ аумағында тұрақты жұмыс орындарын құруды көздейтін жобаларға басымдық беріледі.</w:t>
      </w:r>
    </w:p>
    <w:p w14:paraId="351EA803">
      <w:pPr>
        <w:spacing w:line="240" w:lineRule="auto"/>
        <w:rPr>
          <w:rFonts w:ascii="Cambria" w:hAnsi="Cambria"/>
          <w:lang w:val="ru-RU"/>
        </w:rPr>
      </w:pPr>
      <w:r>
        <w:rPr>
          <w:rFonts w:ascii="Cambria" w:hAnsi="Cambria"/>
          <w:lang w:val="ru-RU"/>
        </w:rPr>
        <w:t>Жаңа инвестициялық жобаларға қатысты меншікті өндірістің болуы өтініш берушінің тиісті өндірістік желіні құрып, пайдалану қабілетін білдіреді. Бұл қабілет жобалық шешімдермен, инвестициялық бюджетпен, технологиялық схемамен және өндірістің әзірлігін растайтын құжаттармен дәлелденеді. Өтініш берілген күні қолданыстағы кәсіпорынның болуы құзыреттілікті растай алады, бірақ осы Тұжырымдамада жаңа өндіріс құруға жол бермейтін дербес міндетті шарт ретінде қарастырылмайды.</w:t>
      </w:r>
    </w:p>
    <w:p w14:paraId="742053BA">
      <w:pPr>
        <w:spacing w:line="240" w:lineRule="auto"/>
        <w:rPr>
          <w:rFonts w:ascii="Cambria" w:hAnsi="Cambria"/>
          <w:lang w:val="ru-RU"/>
        </w:rPr>
      </w:pPr>
      <w:r>
        <w:rPr>
          <w:rFonts w:ascii="Cambria" w:hAnsi="Cambria"/>
          <w:lang w:val="ru-RU"/>
        </w:rPr>
        <w:t>Әр кәсіпорынды жоспарлау кезінде негізгі және қосалқы технологиялық операциялардың құрамы, шикізат пен энергетикалық ресурстарға қойылатын талаптар, су тұтыну, қалдықтардың түзілуі, дайын өнімді сақтау қажеттілігі және жүк ағындарын ұйымдастыру айқындалуға тиіс. Ауыр темірбетон бұйымдары үшін салмақ пен габариттік шектеулерді сақтай отырып, оларды автомобиль немесе теміржол көлігіне қауіпсіз тиеу мүмкіндігі ерекше маңызды.</w:t>
      </w:r>
    </w:p>
    <w:p w14:paraId="17390234">
      <w:pPr>
        <w:spacing w:line="240" w:lineRule="auto"/>
        <w:rPr>
          <w:rFonts w:ascii="Cambria" w:hAnsi="Cambria"/>
          <w:lang w:val="ru-RU"/>
        </w:rPr>
      </w:pPr>
      <w:r>
        <w:rPr>
          <w:rFonts w:ascii="Cambria" w:hAnsi="Cambria"/>
          <w:lang w:val="ru-RU"/>
        </w:rPr>
        <w:t>Бірінші алаңдағы кәсіпорындар үшін қалыптау желілері және бұйымдарды күтіп-баптау мен сақтау ашық алаңдары көзделеді. Екінші алаңда өндірістік корпустар, мөлшерлеу, араластыру, престеу немесе қалыптау, өнімді қаптау технологиялық желілері және қойма учаскелері орналастырылады. Мұндай объектілерді бекітілген жер учаскелерінде орналастыру өнеркәсіптік, өрт және экологиялық қауіпсіздік талаптарына сәйкес болуға тиіс. Егер ортақ көлік және инженерлік дәліздерге жеке жер рәсімдеу қажет болса, олар екі алаңды жоспарлау кезінде нақтыланады.</w:t>
      </w:r>
    </w:p>
    <w:p w14:paraId="011653A5">
      <w:pPr>
        <w:spacing w:line="240" w:lineRule="auto"/>
        <w:rPr>
          <w:rFonts w:ascii="Cambria" w:hAnsi="Cambria"/>
          <w:lang w:val="ru-RU"/>
        </w:rPr>
      </w:pPr>
      <w:r>
        <w:rPr>
          <w:rFonts w:ascii="Cambria" w:hAnsi="Cambria"/>
          <w:lang w:val="ru-RU"/>
        </w:rPr>
        <w:t>Цемент зауытымен болжанатын кооперация цемент сатып алу және зауыт үшін құрылып жатқан инфрақұрылымды пайдалану мүмкіндігіне негізделген. Алайда аумақтық жақындықтың өзі цемент жеткізу жөніндегі міндеттемелердің барын да, арнайы баға белгіленетінін де растамайды. Жабдықтау шарттары шаруашылық жүргізуші субъектілер арасындағы жеке шарттармен, ал желілерге қосылу талаптары келісілген техникалық және шарттық шешімдер негізінде белгіленуге тиіс.</w:t>
      </w:r>
    </w:p>
    <w:p w14:paraId="509390BF">
      <w:pPr>
        <w:pStyle w:val="3"/>
        <w:spacing w:line="240" w:lineRule="auto"/>
        <w:rPr>
          <w:rFonts w:ascii="Cambria" w:hAnsi="Cambria"/>
          <w:lang w:val="ru-RU"/>
        </w:rPr>
      </w:pPr>
      <w:bookmarkStart w:id="12" w:name="__RefHeading___Toc9502_2617525462"/>
      <w:bookmarkEnd w:id="12"/>
      <w:r>
        <w:rPr>
          <w:rFonts w:ascii="Cambria" w:hAnsi="Cambria"/>
          <w:lang w:val="ru-RU"/>
        </w:rPr>
        <w:t>3.4. Басым бағыттар бойынша жобаларды іске асыру тәжірибесіне қойылатын талаптар</w:t>
      </w:r>
    </w:p>
    <w:p w14:paraId="4824C4E2">
      <w:pPr>
        <w:spacing w:line="240" w:lineRule="auto"/>
        <w:rPr>
          <w:rFonts w:ascii="Cambria" w:hAnsi="Cambria"/>
          <w:lang w:val="ru-RU"/>
        </w:rPr>
      </w:pPr>
      <w:r>
        <w:rPr>
          <w:rFonts w:ascii="Cambria" w:hAnsi="Cambria"/>
          <w:lang w:val="ru-RU"/>
        </w:rPr>
        <w:t>Әлеуетті қатысушыларды бағалау кезінде ұқсас өндірістерді ұйымдастыру және пайдалану тәжірибесін, технологиялық құзыреттерін, шикізат сатып алу мен өнім өткізу арналарының расталғанын, сондай-ақ салалық стандарттарға сәйкес өнім сапасын қамтамасыз ету қабілетін ескерген жөн. Жаңадан құрылған жобалық компаниялар үшін тиісті тәжірибе құрылтайшылардың, стратегиялық серіктестердің, инженерлік ұйымдардың және технологиялық жабдық жеткізушілердің құзыреттерімен расталуы мүмкін.</w:t>
      </w:r>
    </w:p>
    <w:p w14:paraId="4B961575">
      <w:pPr>
        <w:spacing w:line="240" w:lineRule="auto"/>
        <w:ind w:firstLine="0"/>
        <w:rPr>
          <w:rFonts w:ascii="Cambria" w:hAnsi="Cambria"/>
          <w:lang w:val="ru-RU"/>
        </w:rPr>
      </w:pPr>
      <w:r>
        <w:drawing>
          <wp:inline distT="0" distB="0" distL="114300" distR="114300">
            <wp:extent cx="6004560" cy="4608195"/>
            <wp:effectExtent l="0" t="0" r="15240" b="190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8"/>
                    <a:stretch>
                      <a:fillRect/>
                    </a:stretch>
                  </pic:blipFill>
                  <pic:spPr>
                    <a:xfrm>
                      <a:off x="0" y="0"/>
                      <a:ext cx="6004560" cy="4608195"/>
                    </a:xfrm>
                    <a:prstGeom prst="rect">
                      <a:avLst/>
                    </a:prstGeom>
                  </pic:spPr>
                </pic:pic>
              </a:graphicData>
            </a:graphic>
          </wp:inline>
        </w:drawing>
      </w:r>
    </w:p>
    <w:p w14:paraId="5C83825D">
      <w:pPr>
        <w:spacing w:line="240" w:lineRule="auto"/>
        <w:rPr>
          <w:rFonts w:ascii="Cambria" w:hAnsi="Cambria"/>
          <w:lang w:val="ru-RU"/>
        </w:rPr>
      </w:pPr>
      <w:r>
        <w:rPr>
          <w:rFonts w:ascii="Cambria" w:hAnsi="Cambria"/>
          <w:lang w:val="ru-RU"/>
        </w:rPr>
        <w:t>Шпалдар, электр беру желілерінің тіректері, жабын плиталары және өзге жауапты конструкцияларды өндіру жобалары үшін өндірістік бақылау жүйелері, сынақ хаттамалары, талап етілетін беріктігі мен ұзақ мерзімділігі бар бұйымдарды шығару тәжірибесі, сондай-ақ заңнамада көзделген сәйкестікті растау рәсімдерінен өтуге дайындық ерекше маңызды. Құрғақ қоспалар мен фиброцемент панельдері бойынша технологиялық рецептуралардың тұрақтылығы, зертханалық базаның болуы және техникалық сипаттамалары қайталанатын өнім шығару мүмкіндігі маңызды.</w:t>
      </w:r>
    </w:p>
    <w:p w14:paraId="6D502BF7">
      <w:pPr>
        <w:spacing w:line="240" w:lineRule="auto"/>
        <w:rPr>
          <w:rFonts w:ascii="Cambria" w:hAnsi="Cambria"/>
          <w:lang w:val="ru-RU"/>
        </w:rPr>
      </w:pPr>
      <w:r>
        <w:rPr>
          <w:rFonts w:ascii="Cambria" w:hAnsi="Cambria"/>
          <w:lang w:val="ru-RU"/>
        </w:rPr>
        <w:t>Өтініш берушінің тәжірибесі нақты жобаның технологиялық және қаржылық әзірлігімен бірге бағаланады. Бұл тәсіл қажет, өйткені салалық тиесілік немесе бұрын өндірістік қызмет үшін тіркелген болу шалғай аумақта инвестициялық жобаны іске асыруға болатынын өздігінен растауға жеткіліксіз. Сонымен бірге бұрынғы өндірістік тәжірибенің болуына қойылатын талап № 599 бұйрықта белгіленген міндетті құқықтық іріктеу өлшемшарттарын алмастырмайды және кеңейтпейді.</w:t>
      </w:r>
    </w:p>
    <w:p w14:paraId="37B3973F">
      <w:pPr>
        <w:pStyle w:val="3"/>
        <w:spacing w:line="240" w:lineRule="auto"/>
        <w:rPr>
          <w:rFonts w:ascii="Cambria" w:hAnsi="Cambria"/>
          <w:lang w:val="ru-RU"/>
        </w:rPr>
      </w:pPr>
      <w:bookmarkStart w:id="13" w:name="__RefHeading___Toc9504_2617525462"/>
      <w:bookmarkEnd w:id="13"/>
      <w:r>
        <w:rPr>
          <w:rFonts w:ascii="Cambria" w:hAnsi="Cambria"/>
          <w:lang w:val="ru-RU"/>
        </w:rPr>
        <w:t>3.5. Инвестициялық жобаларды бағалау мен іріктеудің қосымша өлшемшарттары</w:t>
      </w:r>
    </w:p>
    <w:p w14:paraId="7FBE10BE">
      <w:pPr>
        <w:spacing w:line="240" w:lineRule="auto"/>
        <w:rPr>
          <w:rFonts w:ascii="Cambria" w:hAnsi="Cambria"/>
          <w:lang w:val="ru-RU"/>
        </w:rPr>
      </w:pPr>
      <w:r>
        <w:rPr>
          <w:rFonts w:ascii="Cambria" w:hAnsi="Cambria"/>
          <w:lang w:val="ru-RU"/>
        </w:rPr>
        <w:t>Жобаларды іріктеудің нормативтік рәсімі негізгі өлшемшарттарды тексеруді көздейді. Оларға банктік кредиттер бойынша мерзімі өткен берешектің және салықтар мен бюджетке төленетін басқа да міндетті төлемдер бойынша берешектің болмауы жатады. Бұл мән-жайлар № 599 бұйрыққа қосымшаларда көзделген құжаттармен расталады. Негізгі өлшемшарттарға сәйкестік ИА аумағында қызметті жүзеге асыру туралы шарт жасасудың қажетті шарты болып табылады.</w:t>
      </w:r>
    </w:p>
    <w:p w14:paraId="39954674">
      <w:pPr>
        <w:spacing w:line="240" w:lineRule="auto"/>
        <w:rPr>
          <w:rFonts w:ascii="Cambria" w:hAnsi="Cambria"/>
          <w:lang w:val="ru-RU"/>
        </w:rPr>
      </w:pPr>
      <w:r>
        <w:rPr>
          <w:rFonts w:ascii="Cambria" w:hAnsi="Cambria"/>
          <w:lang w:val="ru-RU"/>
        </w:rPr>
        <w:t>Қосымша өлшемшарттарға жоба іске асырылатын өңір болып табылмайтын өңірлерде ұқсас жобаларды ілгерілету; импортты алмастыруға немесе экспортқа бағдарлану; индустриялық-инновациялық жобаны іске асыру жатады. Негізгі өлшемшарттарға сәйкес келетін әрі кемінде бір қосымша өлшемшартты орындайтын өтініш берушілер шарт жасасуға басым құқық алады. Бірнеше өтініш беруші талаптарға сай келген жағдайда, белгіленген рәсімге сәйкес қосымша өлшемшарттардың көбірегін орындаған өтініш берушіге басымдық беріледі.</w:t>
      </w:r>
    </w:p>
    <w:p w14:paraId="2EBCACAE">
      <w:pPr>
        <w:spacing w:line="240" w:lineRule="auto"/>
        <w:rPr>
          <w:rFonts w:ascii="Cambria" w:hAnsi="Cambria"/>
          <w:lang w:val="ru-RU"/>
        </w:rPr>
      </w:pPr>
      <w:r>
        <w:rPr>
          <w:rFonts w:ascii="Cambria" w:hAnsi="Cambria"/>
          <w:lang w:val="ru-RU"/>
        </w:rPr>
        <w:t>Нормативтік өлшемшарттармен қатар ИА аумағын жоспарлау үшін жобаның іске асырылу мүмкіндігі мен аумақ бейініне сәйкестігін сипаттайтын техникалық-экономикалық параметрлер жиынтығын пайдалану ұсынылады. Олар учаскелер мен инженерлік ресурстарды негізді бөлу үшін қажет, алайда осы Тұжырымдамада қолданыстағы заңнамада көзделмеген қатысуға жіберуден бас тартудың дербес қосымша негіздері ретінде қарастырылмайды.</w:t>
      </w:r>
    </w:p>
    <w:p w14:paraId="17394F34">
      <w:pPr>
        <w:pStyle w:val="75"/>
        <w:spacing w:line="240" w:lineRule="auto"/>
        <w:rPr>
          <w:rFonts w:ascii="Cambria" w:hAnsi="Cambria"/>
          <w:lang w:val="ru-RU"/>
        </w:rPr>
      </w:pPr>
      <w:r>
        <w:rPr>
          <w:rFonts w:ascii="Cambria" w:hAnsi="Cambria"/>
          <w:lang w:val="ru-RU"/>
        </w:rPr>
        <w:t>3.2-кесте – Әлеуетті жобаларды алдын ала техникалық-экономикалық бағалауға ұсынылатын параметрлер</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8" w:type="dxa"/>
          <w:left w:w="70" w:type="dxa"/>
          <w:bottom w:w="88" w:type="dxa"/>
          <w:right w:w="70" w:type="dxa"/>
        </w:tblCellMar>
      </w:tblPr>
      <w:tblGrid>
        <w:gridCol w:w="329"/>
        <w:gridCol w:w="2401"/>
        <w:gridCol w:w="6709"/>
      </w:tblGrid>
      <w:tr w14:paraId="20D5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tblHeader/>
          <w:jc w:val="center"/>
        </w:trPr>
        <w:tc>
          <w:tcPr>
            <w:tcW w:w="0" w:type="auto"/>
            <w:shd w:val="clear" w:color="auto" w:fill="23486F"/>
            <w:vAlign w:val="center"/>
          </w:tcPr>
          <w:p w14:paraId="0CA03604">
            <w:pPr>
              <w:spacing w:after="0" w:line="240" w:lineRule="auto"/>
              <w:ind w:firstLine="0"/>
              <w:jc w:val="center"/>
              <w:rPr>
                <w:rFonts w:ascii="Cambria" w:hAnsi="Cambria"/>
              </w:rPr>
            </w:pPr>
            <w:r>
              <w:rPr>
                <w:rFonts w:ascii="Cambria" w:hAnsi="Cambria"/>
                <w:b/>
                <w:color w:val="FFFFFF"/>
                <w:sz w:val="18"/>
              </w:rPr>
              <w:t>№</w:t>
            </w:r>
          </w:p>
        </w:tc>
        <w:tc>
          <w:tcPr>
            <w:tcW w:w="0" w:type="auto"/>
            <w:shd w:val="clear" w:color="auto" w:fill="23486F"/>
            <w:vAlign w:val="center"/>
          </w:tcPr>
          <w:p w14:paraId="7944ECCD">
            <w:pPr>
              <w:spacing w:after="0" w:line="240" w:lineRule="auto"/>
              <w:ind w:firstLine="0"/>
              <w:jc w:val="center"/>
              <w:rPr>
                <w:rFonts w:ascii="Cambria" w:hAnsi="Cambria"/>
              </w:rPr>
            </w:pPr>
            <w:r>
              <w:rPr>
                <w:rFonts w:ascii="Cambria" w:hAnsi="Cambria"/>
                <w:b/>
                <w:color w:val="FFFFFF"/>
                <w:sz w:val="18"/>
              </w:rPr>
              <w:t>Бағалау параметрі</w:t>
            </w:r>
          </w:p>
        </w:tc>
        <w:tc>
          <w:tcPr>
            <w:tcW w:w="0" w:type="auto"/>
            <w:shd w:val="clear" w:color="auto" w:fill="23486F"/>
            <w:vAlign w:val="center"/>
          </w:tcPr>
          <w:p w14:paraId="643D5AE6">
            <w:pPr>
              <w:spacing w:after="0" w:line="240" w:lineRule="auto"/>
              <w:ind w:firstLine="0"/>
              <w:jc w:val="center"/>
              <w:rPr>
                <w:rFonts w:ascii="Cambria" w:hAnsi="Cambria"/>
              </w:rPr>
            </w:pPr>
            <w:r>
              <w:rPr>
                <w:rFonts w:ascii="Cambria" w:hAnsi="Cambria"/>
                <w:b/>
                <w:color w:val="FFFFFF"/>
                <w:sz w:val="18"/>
              </w:rPr>
              <w:t>Бағалау мазмұны</w:t>
            </w:r>
          </w:p>
        </w:tc>
      </w:tr>
      <w:tr w14:paraId="43BC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vAlign w:val="center"/>
          </w:tcPr>
          <w:p w14:paraId="28B07731">
            <w:pPr>
              <w:spacing w:after="0" w:line="240" w:lineRule="auto"/>
              <w:ind w:firstLine="0"/>
              <w:rPr>
                <w:rFonts w:ascii="Cambria" w:hAnsi="Cambria"/>
              </w:rPr>
            </w:pPr>
            <w:r>
              <w:rPr>
                <w:rFonts w:ascii="Cambria" w:hAnsi="Cambria"/>
                <w:color w:val="1C2839"/>
                <w:sz w:val="18"/>
              </w:rPr>
              <w:t>1</w:t>
            </w:r>
          </w:p>
        </w:tc>
        <w:tc>
          <w:tcPr>
            <w:tcW w:w="0" w:type="auto"/>
            <w:vAlign w:val="center"/>
          </w:tcPr>
          <w:p w14:paraId="14D94F1F">
            <w:pPr>
              <w:spacing w:after="0" w:line="240" w:lineRule="auto"/>
              <w:ind w:firstLine="0"/>
              <w:jc w:val="left"/>
              <w:rPr>
                <w:rFonts w:ascii="Cambria" w:hAnsi="Cambria"/>
              </w:rPr>
            </w:pPr>
            <w:r>
              <w:rPr>
                <w:rFonts w:ascii="Cambria" w:hAnsi="Cambria"/>
                <w:color w:val="1C2839"/>
                <w:sz w:val="18"/>
              </w:rPr>
              <w:t>ИА бейініне сәйкестігі</w:t>
            </w:r>
          </w:p>
        </w:tc>
        <w:tc>
          <w:tcPr>
            <w:tcW w:w="0" w:type="auto"/>
            <w:vAlign w:val="center"/>
          </w:tcPr>
          <w:p w14:paraId="6FBD1434">
            <w:pPr>
              <w:spacing w:after="0" w:line="240" w:lineRule="auto"/>
              <w:ind w:firstLine="0"/>
              <w:jc w:val="left"/>
              <w:rPr>
                <w:rFonts w:ascii="Cambria" w:hAnsi="Cambria"/>
                <w:lang w:val="ru-RU"/>
              </w:rPr>
            </w:pPr>
            <w:r>
              <w:rPr>
                <w:rFonts w:ascii="Cambria" w:hAnsi="Cambria"/>
                <w:color w:val="1C2839"/>
                <w:sz w:val="18"/>
                <w:lang w:val="ru-RU"/>
              </w:rPr>
              <w:t>Өңдеу өнеркәсібі жобасын, оның ішінде цемент зауыты өнімдерімен байланысты төрт бағыттың бірі бойынша іске асыру.</w:t>
            </w:r>
          </w:p>
        </w:tc>
      </w:tr>
      <w:tr w14:paraId="13E4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shd w:val="clear" w:color="auto" w:fill="F2F6FA"/>
            <w:vAlign w:val="center"/>
          </w:tcPr>
          <w:p w14:paraId="43050AFD">
            <w:pPr>
              <w:spacing w:after="0" w:line="240" w:lineRule="auto"/>
              <w:ind w:firstLine="0"/>
              <w:rPr>
                <w:rFonts w:ascii="Cambria" w:hAnsi="Cambria"/>
              </w:rPr>
            </w:pPr>
            <w:r>
              <w:rPr>
                <w:rFonts w:ascii="Cambria" w:hAnsi="Cambria"/>
                <w:color w:val="1C2839"/>
                <w:sz w:val="18"/>
              </w:rPr>
              <w:t>2</w:t>
            </w:r>
          </w:p>
        </w:tc>
        <w:tc>
          <w:tcPr>
            <w:tcW w:w="0" w:type="auto"/>
            <w:shd w:val="clear" w:color="auto" w:fill="F2F6FA"/>
            <w:vAlign w:val="center"/>
          </w:tcPr>
          <w:p w14:paraId="33836513">
            <w:pPr>
              <w:spacing w:after="0" w:line="240" w:lineRule="auto"/>
              <w:ind w:firstLine="0"/>
              <w:jc w:val="left"/>
              <w:rPr>
                <w:rFonts w:ascii="Cambria" w:hAnsi="Cambria"/>
              </w:rPr>
            </w:pPr>
            <w:r>
              <w:rPr>
                <w:rFonts w:ascii="Cambria" w:hAnsi="Cambria"/>
                <w:color w:val="1C2839"/>
                <w:sz w:val="18"/>
              </w:rPr>
              <w:t>Технологиялық әзірлігі</w:t>
            </w:r>
          </w:p>
        </w:tc>
        <w:tc>
          <w:tcPr>
            <w:tcW w:w="0" w:type="auto"/>
            <w:shd w:val="clear" w:color="auto" w:fill="F2F6FA"/>
            <w:vAlign w:val="center"/>
          </w:tcPr>
          <w:p w14:paraId="52C96996">
            <w:pPr>
              <w:spacing w:after="0" w:line="240" w:lineRule="auto"/>
              <w:ind w:firstLine="0"/>
              <w:jc w:val="left"/>
              <w:rPr>
                <w:rFonts w:ascii="Cambria" w:hAnsi="Cambria"/>
                <w:lang w:val="ru-RU"/>
              </w:rPr>
            </w:pPr>
            <w:r>
              <w:rPr>
                <w:rFonts w:ascii="Cambria" w:hAnsi="Cambria"/>
                <w:color w:val="1C2839"/>
                <w:sz w:val="18"/>
                <w:lang w:val="ru-RU"/>
              </w:rPr>
              <w:t>Өндірістік бағдарламаның, технологиялық шешімдердің, жабдыққа және сапаға қойылатын талаптардың пысықталған болуы.</w:t>
            </w:r>
          </w:p>
        </w:tc>
      </w:tr>
      <w:tr w14:paraId="7F59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vAlign w:val="center"/>
          </w:tcPr>
          <w:p w14:paraId="3ECD6687">
            <w:pPr>
              <w:spacing w:after="0" w:line="240" w:lineRule="auto"/>
              <w:ind w:firstLine="0"/>
              <w:rPr>
                <w:rFonts w:ascii="Cambria" w:hAnsi="Cambria"/>
              </w:rPr>
            </w:pPr>
            <w:r>
              <w:rPr>
                <w:rFonts w:ascii="Cambria" w:hAnsi="Cambria"/>
                <w:color w:val="1C2839"/>
                <w:sz w:val="18"/>
              </w:rPr>
              <w:t>3</w:t>
            </w:r>
          </w:p>
        </w:tc>
        <w:tc>
          <w:tcPr>
            <w:tcW w:w="0" w:type="auto"/>
            <w:vAlign w:val="center"/>
          </w:tcPr>
          <w:p w14:paraId="68E30E20">
            <w:pPr>
              <w:spacing w:after="0" w:line="240" w:lineRule="auto"/>
              <w:ind w:firstLine="0"/>
              <w:jc w:val="left"/>
              <w:rPr>
                <w:rFonts w:ascii="Cambria" w:hAnsi="Cambria"/>
              </w:rPr>
            </w:pPr>
            <w:r>
              <w:rPr>
                <w:rFonts w:ascii="Cambria" w:hAnsi="Cambria"/>
                <w:color w:val="1C2839"/>
                <w:sz w:val="18"/>
              </w:rPr>
              <w:t>Шикізат және кооперация</w:t>
            </w:r>
          </w:p>
        </w:tc>
        <w:tc>
          <w:tcPr>
            <w:tcW w:w="0" w:type="auto"/>
            <w:vAlign w:val="center"/>
          </w:tcPr>
          <w:p w14:paraId="69A1CD98">
            <w:pPr>
              <w:spacing w:after="0" w:line="240" w:lineRule="auto"/>
              <w:ind w:firstLine="0"/>
              <w:jc w:val="left"/>
              <w:rPr>
                <w:rFonts w:ascii="Cambria" w:hAnsi="Cambria"/>
                <w:lang w:val="ru-RU"/>
              </w:rPr>
            </w:pPr>
            <w:r>
              <w:rPr>
                <w:rFonts w:ascii="Cambria" w:hAnsi="Cambria"/>
                <w:color w:val="1C2839"/>
                <w:sz w:val="18"/>
                <w:lang w:val="ru-RU"/>
              </w:rPr>
              <w:t>Цемент, толтырғыштар, арматура, қоспалар мен қаптама көздерінің расталуы; өнеркәсіптік кооперация шарттары.</w:t>
            </w:r>
          </w:p>
        </w:tc>
      </w:tr>
      <w:tr w14:paraId="6E95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shd w:val="clear" w:color="auto" w:fill="F2F6FA"/>
            <w:vAlign w:val="center"/>
          </w:tcPr>
          <w:p w14:paraId="1C90B1DA">
            <w:pPr>
              <w:spacing w:after="0" w:line="240" w:lineRule="auto"/>
              <w:ind w:firstLine="0"/>
              <w:rPr>
                <w:rFonts w:ascii="Cambria" w:hAnsi="Cambria"/>
              </w:rPr>
            </w:pPr>
            <w:r>
              <w:rPr>
                <w:rFonts w:ascii="Cambria" w:hAnsi="Cambria"/>
                <w:color w:val="1C2839"/>
                <w:sz w:val="18"/>
              </w:rPr>
              <w:t>4</w:t>
            </w:r>
          </w:p>
        </w:tc>
        <w:tc>
          <w:tcPr>
            <w:tcW w:w="0" w:type="auto"/>
            <w:shd w:val="clear" w:color="auto" w:fill="F2F6FA"/>
            <w:vAlign w:val="center"/>
          </w:tcPr>
          <w:p w14:paraId="7603AE11">
            <w:pPr>
              <w:spacing w:after="0" w:line="240" w:lineRule="auto"/>
              <w:ind w:firstLine="0"/>
              <w:jc w:val="left"/>
              <w:rPr>
                <w:rFonts w:ascii="Cambria" w:hAnsi="Cambria"/>
              </w:rPr>
            </w:pPr>
            <w:r>
              <w:rPr>
                <w:rFonts w:ascii="Cambria" w:hAnsi="Cambria"/>
                <w:color w:val="1C2839"/>
                <w:sz w:val="18"/>
              </w:rPr>
              <w:t>Өткізу және логистика</w:t>
            </w:r>
          </w:p>
        </w:tc>
        <w:tc>
          <w:tcPr>
            <w:tcW w:w="0" w:type="auto"/>
            <w:shd w:val="clear" w:color="auto" w:fill="F2F6FA"/>
            <w:vAlign w:val="center"/>
          </w:tcPr>
          <w:p w14:paraId="0639B306">
            <w:pPr>
              <w:spacing w:after="0" w:line="240" w:lineRule="auto"/>
              <w:ind w:firstLine="0"/>
              <w:jc w:val="left"/>
              <w:rPr>
                <w:rFonts w:ascii="Cambria" w:hAnsi="Cambria"/>
                <w:lang w:val="ru-RU"/>
              </w:rPr>
            </w:pPr>
            <w:r>
              <w:rPr>
                <w:rFonts w:ascii="Cambria" w:hAnsi="Cambria"/>
                <w:color w:val="1C2839"/>
                <w:sz w:val="18"/>
                <w:lang w:val="ru-RU"/>
              </w:rPr>
              <w:t>ИА-ның шалғайлығын, тасымалдау құнын және теміржолмен жөнелту мүмкіндігін ескере отырып, өткізу нарықтарының шынайылығы.</w:t>
            </w:r>
          </w:p>
        </w:tc>
      </w:tr>
      <w:tr w14:paraId="3A6F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vAlign w:val="center"/>
          </w:tcPr>
          <w:p w14:paraId="7AB1BC30">
            <w:pPr>
              <w:spacing w:after="0" w:line="240" w:lineRule="auto"/>
              <w:ind w:firstLine="0"/>
              <w:rPr>
                <w:rFonts w:ascii="Cambria" w:hAnsi="Cambria"/>
              </w:rPr>
            </w:pPr>
            <w:r>
              <w:rPr>
                <w:rFonts w:ascii="Cambria" w:hAnsi="Cambria"/>
                <w:color w:val="1C2839"/>
                <w:sz w:val="18"/>
              </w:rPr>
              <w:t>5</w:t>
            </w:r>
          </w:p>
        </w:tc>
        <w:tc>
          <w:tcPr>
            <w:tcW w:w="0" w:type="auto"/>
            <w:vAlign w:val="center"/>
          </w:tcPr>
          <w:p w14:paraId="0F8D69DD">
            <w:pPr>
              <w:spacing w:after="0" w:line="240" w:lineRule="auto"/>
              <w:ind w:firstLine="0"/>
              <w:jc w:val="left"/>
              <w:rPr>
                <w:rFonts w:ascii="Cambria" w:hAnsi="Cambria"/>
              </w:rPr>
            </w:pPr>
            <w:r>
              <w:rPr>
                <w:rFonts w:ascii="Cambria" w:hAnsi="Cambria"/>
                <w:color w:val="1C2839"/>
                <w:sz w:val="18"/>
              </w:rPr>
              <w:t>Инфрақұрылыммен қамтамасыз етілуі</w:t>
            </w:r>
          </w:p>
        </w:tc>
        <w:tc>
          <w:tcPr>
            <w:tcW w:w="0" w:type="auto"/>
            <w:vAlign w:val="center"/>
          </w:tcPr>
          <w:p w14:paraId="3F22F078">
            <w:pPr>
              <w:spacing w:after="0" w:line="240" w:lineRule="auto"/>
              <w:ind w:firstLine="0"/>
              <w:jc w:val="left"/>
              <w:rPr>
                <w:rFonts w:ascii="Cambria" w:hAnsi="Cambria"/>
                <w:lang w:val="ru-RU"/>
              </w:rPr>
            </w:pPr>
            <w:r>
              <w:rPr>
                <w:rFonts w:ascii="Cambria" w:hAnsi="Cambria"/>
                <w:color w:val="1C2839"/>
                <w:sz w:val="18"/>
                <w:lang w:val="ru-RU"/>
              </w:rPr>
              <w:t>Қуатқа, суға, су бұруға және көлікке қосылуға қажеттілік, қолжетімді ресурстармен үйлесімділігі.</w:t>
            </w:r>
          </w:p>
        </w:tc>
      </w:tr>
      <w:tr w14:paraId="77ED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shd w:val="clear" w:color="auto" w:fill="F2F6FA"/>
            <w:vAlign w:val="center"/>
          </w:tcPr>
          <w:p w14:paraId="73D88429">
            <w:pPr>
              <w:spacing w:after="0" w:line="240" w:lineRule="auto"/>
              <w:ind w:firstLine="0"/>
              <w:rPr>
                <w:rFonts w:ascii="Cambria" w:hAnsi="Cambria"/>
              </w:rPr>
            </w:pPr>
            <w:r>
              <w:rPr>
                <w:rFonts w:ascii="Cambria" w:hAnsi="Cambria"/>
                <w:color w:val="1C2839"/>
                <w:sz w:val="18"/>
              </w:rPr>
              <w:t>6</w:t>
            </w:r>
          </w:p>
        </w:tc>
        <w:tc>
          <w:tcPr>
            <w:tcW w:w="0" w:type="auto"/>
            <w:shd w:val="clear" w:color="auto" w:fill="F2F6FA"/>
            <w:vAlign w:val="center"/>
          </w:tcPr>
          <w:p w14:paraId="54531460">
            <w:pPr>
              <w:spacing w:after="0" w:line="240" w:lineRule="auto"/>
              <w:ind w:firstLine="0"/>
              <w:jc w:val="left"/>
              <w:rPr>
                <w:rFonts w:ascii="Cambria" w:hAnsi="Cambria"/>
              </w:rPr>
            </w:pPr>
            <w:r>
              <w:rPr>
                <w:rFonts w:ascii="Cambria" w:hAnsi="Cambria"/>
                <w:color w:val="1C2839"/>
                <w:sz w:val="18"/>
              </w:rPr>
              <w:t>Инвестициялар мен мерзімдер</w:t>
            </w:r>
          </w:p>
        </w:tc>
        <w:tc>
          <w:tcPr>
            <w:tcW w:w="0" w:type="auto"/>
            <w:shd w:val="clear" w:color="auto" w:fill="F2F6FA"/>
            <w:vAlign w:val="center"/>
          </w:tcPr>
          <w:p w14:paraId="12418DE8">
            <w:pPr>
              <w:spacing w:after="0" w:line="240" w:lineRule="auto"/>
              <w:ind w:firstLine="0"/>
              <w:jc w:val="left"/>
              <w:rPr>
                <w:rFonts w:ascii="Cambria" w:hAnsi="Cambria"/>
                <w:lang w:val="ru-RU"/>
              </w:rPr>
            </w:pPr>
            <w:r>
              <w:rPr>
                <w:rFonts w:ascii="Cambria" w:hAnsi="Cambria"/>
                <w:color w:val="1C2839"/>
                <w:sz w:val="18"/>
                <w:lang w:val="ru-RU"/>
              </w:rPr>
              <w:t>CAPEX негізділігі, іске асыру кезеңдері, өндірістерді жоспарлы пайдалануға беру мерзімдері және қаржыландыру көздері.</w:t>
            </w:r>
          </w:p>
        </w:tc>
      </w:tr>
      <w:tr w14:paraId="067F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vAlign w:val="center"/>
          </w:tcPr>
          <w:p w14:paraId="733B8450">
            <w:pPr>
              <w:spacing w:after="0" w:line="240" w:lineRule="auto"/>
              <w:ind w:firstLine="0"/>
              <w:rPr>
                <w:rFonts w:ascii="Cambria" w:hAnsi="Cambria"/>
              </w:rPr>
            </w:pPr>
            <w:r>
              <w:rPr>
                <w:rFonts w:ascii="Cambria" w:hAnsi="Cambria"/>
                <w:color w:val="1C2839"/>
                <w:sz w:val="18"/>
              </w:rPr>
              <w:t>7</w:t>
            </w:r>
          </w:p>
        </w:tc>
        <w:tc>
          <w:tcPr>
            <w:tcW w:w="0" w:type="auto"/>
            <w:vAlign w:val="center"/>
          </w:tcPr>
          <w:p w14:paraId="4D4FDAF0">
            <w:pPr>
              <w:spacing w:after="0" w:line="240" w:lineRule="auto"/>
              <w:ind w:firstLine="0"/>
              <w:jc w:val="left"/>
              <w:rPr>
                <w:rFonts w:ascii="Cambria" w:hAnsi="Cambria"/>
              </w:rPr>
            </w:pPr>
            <w:r>
              <w:rPr>
                <w:rFonts w:ascii="Cambria" w:hAnsi="Cambria"/>
                <w:color w:val="1C2839"/>
                <w:sz w:val="18"/>
              </w:rPr>
              <w:t>Әлеуметтік-экономикалық әсер</w:t>
            </w:r>
          </w:p>
        </w:tc>
        <w:tc>
          <w:tcPr>
            <w:tcW w:w="0" w:type="auto"/>
            <w:vAlign w:val="center"/>
          </w:tcPr>
          <w:p w14:paraId="0B8EF5FE">
            <w:pPr>
              <w:spacing w:after="0" w:line="240" w:lineRule="auto"/>
              <w:ind w:firstLine="0"/>
              <w:jc w:val="left"/>
              <w:rPr>
                <w:rFonts w:ascii="Cambria" w:hAnsi="Cambria"/>
                <w:lang w:val="ru-RU"/>
              </w:rPr>
            </w:pPr>
            <w:r>
              <w:rPr>
                <w:rFonts w:ascii="Cambria" w:hAnsi="Cambria"/>
                <w:color w:val="1C2839"/>
                <w:sz w:val="18"/>
                <w:lang w:val="ru-RU"/>
              </w:rPr>
              <w:t>Тұрақты жұмыс орындары, өнім шығару, ықтимал салық түсімдері, жергілікті жеткізушілердің қатысуы.</w:t>
            </w:r>
          </w:p>
        </w:tc>
      </w:tr>
      <w:tr w14:paraId="3741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70" w:type="dxa"/>
            <w:bottom w:w="88" w:type="dxa"/>
            <w:right w:w="70" w:type="dxa"/>
          </w:tblCellMar>
        </w:tblPrEx>
        <w:trPr>
          <w:jc w:val="center"/>
        </w:trPr>
        <w:tc>
          <w:tcPr>
            <w:tcW w:w="0" w:type="auto"/>
            <w:shd w:val="clear" w:color="auto" w:fill="F2F6FA"/>
            <w:vAlign w:val="center"/>
          </w:tcPr>
          <w:p w14:paraId="6FB71F64">
            <w:pPr>
              <w:spacing w:after="0" w:line="240" w:lineRule="auto"/>
              <w:ind w:firstLine="0"/>
              <w:rPr>
                <w:rFonts w:ascii="Cambria" w:hAnsi="Cambria"/>
              </w:rPr>
            </w:pPr>
            <w:r>
              <w:rPr>
                <w:rFonts w:ascii="Cambria" w:hAnsi="Cambria"/>
                <w:color w:val="1C2839"/>
                <w:sz w:val="18"/>
              </w:rPr>
              <w:t>8</w:t>
            </w:r>
          </w:p>
        </w:tc>
        <w:tc>
          <w:tcPr>
            <w:tcW w:w="0" w:type="auto"/>
            <w:shd w:val="clear" w:color="auto" w:fill="F2F6FA"/>
            <w:vAlign w:val="center"/>
          </w:tcPr>
          <w:p w14:paraId="5F3C3F74">
            <w:pPr>
              <w:spacing w:after="0" w:line="240" w:lineRule="auto"/>
              <w:ind w:firstLine="0"/>
              <w:jc w:val="left"/>
              <w:rPr>
                <w:rFonts w:ascii="Cambria" w:hAnsi="Cambria"/>
              </w:rPr>
            </w:pPr>
            <w:r>
              <w:rPr>
                <w:rFonts w:ascii="Cambria" w:hAnsi="Cambria"/>
                <w:color w:val="1C2839"/>
                <w:sz w:val="18"/>
              </w:rPr>
              <w:t>Экологиялық және өндірістік тәуекелдер</w:t>
            </w:r>
          </w:p>
        </w:tc>
        <w:tc>
          <w:tcPr>
            <w:tcW w:w="0" w:type="auto"/>
            <w:shd w:val="clear" w:color="auto" w:fill="F2F6FA"/>
            <w:vAlign w:val="center"/>
          </w:tcPr>
          <w:p w14:paraId="255B365C">
            <w:pPr>
              <w:spacing w:after="0" w:line="240" w:lineRule="auto"/>
              <w:ind w:firstLine="0"/>
              <w:jc w:val="left"/>
              <w:rPr>
                <w:rFonts w:ascii="Cambria" w:hAnsi="Cambria"/>
                <w:lang w:val="ru-RU"/>
              </w:rPr>
            </w:pPr>
            <w:r>
              <w:rPr>
                <w:rFonts w:ascii="Cambria" w:hAnsi="Cambria"/>
                <w:color w:val="1C2839"/>
                <w:sz w:val="18"/>
                <w:lang w:val="ru-RU"/>
              </w:rPr>
              <w:t>Шығарындылар мен қалдықтардың құрамы, табиғатты қорғау шараларына қажеттілік, өнеркәсіптік қауіпсіздік шаралары.</w:t>
            </w:r>
          </w:p>
        </w:tc>
      </w:tr>
    </w:tbl>
    <w:p w14:paraId="5A553CD5">
      <w:pPr>
        <w:spacing w:line="240" w:lineRule="auto"/>
        <w:rPr>
          <w:rFonts w:ascii="Cambria" w:hAnsi="Cambria"/>
          <w:lang w:val="ru-RU"/>
        </w:rPr>
      </w:pPr>
      <w:r>
        <w:rPr>
          <w:rFonts w:ascii="Cambria" w:hAnsi="Cambria"/>
          <w:lang w:val="ru-RU"/>
        </w:rPr>
        <w:t>Басқарушы компанияның практикалық жұмысында аталған параметрлерді талдау өтінімде көрсетілген учаске ауданының технологиялық қажеттілікке сәйкестігін бағалауға, көлік экономикасы жеткілікті пысықталмаған жобаларды анықтауға, қосылу кестелерін келісуге және аумақты негізсіз резервтеуге жол бермеуге мүмкіндік береді. Қажет болған жағдайда параметрлер инвестициялық паспорт әзірлеу және тиісті органдардың құзыреті шегінде ИА аумағын игеру кезектілігін жоспарлау үшін пайдаланылуы мүмкін.</w:t>
      </w:r>
    </w:p>
    <w:p w14:paraId="130BADC5">
      <w:pPr>
        <w:spacing w:line="240" w:lineRule="auto"/>
        <w:rPr>
          <w:rFonts w:ascii="Cambria" w:hAnsi="Cambria"/>
          <w:lang w:val="ru-RU"/>
        </w:rPr>
      </w:pPr>
      <w:r>
        <w:rPr>
          <w:rFonts w:ascii="Cambria" w:hAnsi="Cambria"/>
          <w:lang w:val="ru-RU"/>
        </w:rPr>
        <w:t>Жобаларды іріктеу қағидаларына сәйкес өтініш берушілер белгіленген құжаттар топтамасын ИА басқарушы компаниясына ұсынады. Басқарушы компания ұсынылған материалдардың толықтығын тексереді. Қызметті жүзеге асыру туралы шарт жасасу үшін әлеуетті қатысушыны жіберу жөнінде тиісті өңірлік үйлестіру кеңесінің оң шешімі қажет. Міндетті талаптарға сәйкес келмеген және (немесе) аталған кеңес теріс шешім қабылдаған жағдайда, шешімнің негіздері көрсетіле отырып, заңнамада көзделген бас тарту тәртібі қолданылады.</w:t>
      </w:r>
    </w:p>
    <w:p w14:paraId="421611BE">
      <w:pPr>
        <w:spacing w:line="240" w:lineRule="auto"/>
        <w:rPr>
          <w:rFonts w:ascii="Cambria" w:hAnsi="Cambria"/>
          <w:lang w:val="ru-RU"/>
        </w:rPr>
      </w:pPr>
      <w:r>
        <w:rPr>
          <w:rFonts w:ascii="Cambria" w:hAnsi="Cambria"/>
          <w:lang w:val="ru-RU"/>
        </w:rPr>
        <w:t>3.1-кестеде көрсетілген алдын ала жобалар іріктеу рәсімі аяқталғанға дейін нақты ұйымдарға бекітілмейді. Жобалық қуат, инвестициялар, жұмыспен қамту және түсім көрсеткіштері өтініш берушілердің материалдары бойынша нақтыланады. Ақтөбе облысының Байғанин ауданындағы «Байғанин» Индустриялық аймағы үшін басымдық – аумақты жер учаскелерімен формалды толтыру емес, технологиялық тұрғыдан өзара байланысты, инфрақұрылыммен қамтамасыз етілген және экономикалық тұрғыдан іске асырылатын өндірістік кешен қалыптастыру.</w:t>
      </w:r>
    </w:p>
    <w:p w14:paraId="63B3822F">
      <w:pPr>
        <w:pStyle w:val="75"/>
        <w:spacing w:line="240" w:lineRule="auto"/>
        <w:rPr>
          <w:rFonts w:ascii="Cambria" w:hAnsi="Cambria"/>
          <w:lang w:val="ru-RU"/>
        </w:rPr>
      </w:pPr>
      <w:r>
        <w:rPr>
          <w:rFonts w:ascii="Cambria" w:hAnsi="Cambria"/>
          <w:lang w:val="ru-RU"/>
        </w:rPr>
        <w:t>Нормативтік дереккөздер: Қазақстан Республикасының 2019 жылғы 3 сәуірдегі № 242-VI «Арнайы экономикалық және индустриялық аймақтар туралы» Заңы; ҚР Индустрия және инфрақұрылымдық даму министрінің 2019 жылғы 30 шілдедегі № 571 және 31 шілдедегі № 599 бұйрықтары (2026 жылғы 27 қаңтардағы редакциясы).</w:t>
      </w:r>
    </w:p>
    <w:p w14:paraId="1C0A402C">
      <w:pPr>
        <w:pStyle w:val="2"/>
        <w:spacing w:before="0" w:line="240" w:lineRule="auto"/>
        <w:rPr>
          <w:rFonts w:ascii="Cambria" w:hAnsi="Cambria"/>
          <w:lang w:val="ru-RU"/>
        </w:rPr>
      </w:pPr>
      <w:bookmarkStart w:id="14" w:name="__RefHeading___Toc9506_2617525462"/>
      <w:bookmarkEnd w:id="14"/>
    </w:p>
    <w:p w14:paraId="3493ED01">
      <w:pPr>
        <w:pStyle w:val="2"/>
        <w:pageBreakBefore/>
        <w:spacing w:before="0" w:line="240" w:lineRule="auto"/>
        <w:rPr>
          <w:rFonts w:ascii="Cambria" w:hAnsi="Cambria"/>
          <w:lang w:val="ru-RU"/>
        </w:rPr>
      </w:pPr>
      <w:r>
        <w:rPr>
          <w:rFonts w:ascii="Cambria" w:hAnsi="Cambria"/>
          <w:lang w:val="ru-RU"/>
        </w:rPr>
        <w:t>4. ҚОРШАҒАН ОРТАҒА ӘСЕРДІ БАҒАЛАУ</w:t>
      </w:r>
    </w:p>
    <w:p w14:paraId="29F81934">
      <w:pPr>
        <w:spacing w:line="240" w:lineRule="auto"/>
        <w:rPr>
          <w:rFonts w:ascii="Cambria" w:hAnsi="Cambria"/>
          <w:lang w:val="ru-RU"/>
        </w:rPr>
      </w:pPr>
      <w:r>
        <w:rPr>
          <w:rFonts w:ascii="Cambria" w:hAnsi="Cambria"/>
          <w:lang w:val="ru-RU"/>
        </w:rPr>
        <w:t>Осы бөлімде өңірлік маңызы бар индустриялық аймақты (бұдан әрі – ИА) құрудың экологиялық салдары келісілген 200 га аумақ, цементті көп қажет ететін маманданудағы жеті әлеуетті жоба және «QazCement Industries» ЖШС салып жатқан цемент зауытының инфрақұрылымына қосылудың болжамды схемасы негізінде алдын ала бағаланады. Бағалау тұжырымдамалық кезеңде жүргізілді. Қазіргі уақытта резиденттердің бекітілген жобалары, жабдық паспорттары, құрылысты ұйымдастыру жобасы, инженерлік-экологиялық іздестіру нәтижелері және қоршаған ортаның бастапқы жай-күйі туралы аспаптық деректер жоқ.</w:t>
      </w:r>
    </w:p>
    <w:p w14:paraId="2DEBB190">
      <w:pPr>
        <w:spacing w:line="240" w:lineRule="auto"/>
        <w:rPr>
          <w:rFonts w:ascii="Cambria" w:hAnsi="Cambria"/>
          <w:lang w:val="ru-RU"/>
        </w:rPr>
      </w:pPr>
      <w:r>
        <w:rPr>
          <w:rFonts w:ascii="Cambria" w:hAnsi="Cambria"/>
          <w:lang w:val="ru-RU"/>
        </w:rPr>
        <w:t>Осы кезеңдегі экологиялық талдаудың мақсаты – әсер етудің негізгі көздері мен өндірістерді орналастыру шарттарын анықтау, ластанудың алдын алудың кезек күттірмейтін шараларын белгілеу, табиғи ресурстарды пайдалану ауқымын алдын ала бағалау және одан әрі жобалауға арналған талаптарды қалыптастыру. Бұл бөлімнің тұжырымдары Қазақстан Республикасының заңнамасына сәйкес қажет болған жағдайда міндетті экологиялық бағалау, скрининг, сараптама, санитариялық-қорғау аймақтарын белгілеу және рұқсат құжаттарын алу рәсімдерін алмастырмайды.</w:t>
      </w:r>
    </w:p>
    <w:p w14:paraId="4607BAB4">
      <w:pPr>
        <w:spacing w:line="240" w:lineRule="auto"/>
        <w:rPr>
          <w:rFonts w:ascii="Cambria" w:hAnsi="Cambria"/>
          <w:lang w:val="ru-RU"/>
        </w:rPr>
      </w:pPr>
      <w:r>
        <w:rPr>
          <w:rFonts w:ascii="Cambria" w:hAnsi="Cambria"/>
          <w:lang w:val="ru-RU"/>
        </w:rPr>
        <w:t>Нормативтік негіз: Қазақстан Республикасының 2021 жылғы 2 қаңтардағы № 400-VI Экологиялық кодексі, Қазақстан Республикасының «Арнайы экономикалық және индустриялық аймақтар туралы» Заңы, 2019 жылғы 30 шілдедегі № 571 бұйрықпен бекітілген индустриялық аймақтар тұжырымдамаларына қойылатын талаптар, сондай-ақ қолданылатын санитариялық-эпидемиологиялық және құрылыс талаптары. Нақты объектіге қоршаған ортаға әсерді бағалаудың міндеттілігі Экологиялық кодекстің 65 және 69-баптарына және оған қосымша 1-ге сәйкес айқындалады. Стратегиялық экологиялық бағалау қажеттілігі мемлекеттік жоспарлау мен аумақтық даму құжаттарын әзірлеу немесе түзету кезінде жеке қарастырылады.</w:t>
      </w:r>
    </w:p>
    <w:p w14:paraId="3192599E">
      <w:pPr>
        <w:pStyle w:val="3"/>
        <w:spacing w:line="240" w:lineRule="auto"/>
        <w:rPr>
          <w:rFonts w:ascii="Cambria" w:hAnsi="Cambria"/>
          <w:lang w:val="ru-RU"/>
        </w:rPr>
      </w:pPr>
      <w:bookmarkStart w:id="15" w:name="__RefHeading___Toc9508_2617525462"/>
      <w:bookmarkEnd w:id="15"/>
      <w:r>
        <w:rPr>
          <w:rFonts w:ascii="Cambria" w:hAnsi="Cambria"/>
          <w:lang w:val="ru-RU"/>
        </w:rPr>
        <w:t>4.1. Аумақтың қазіргі экологиялық жай-күйінің сипаттамасы</w:t>
      </w:r>
    </w:p>
    <w:p w14:paraId="5684CE26">
      <w:pPr>
        <w:spacing w:line="240" w:lineRule="auto"/>
        <w:rPr>
          <w:rFonts w:ascii="Cambria" w:hAnsi="Cambria"/>
          <w:lang w:val="ru-RU"/>
        </w:rPr>
      </w:pPr>
      <w:r>
        <w:rPr>
          <w:rFonts w:ascii="Cambria" w:hAnsi="Cambria"/>
          <w:lang w:val="ru-RU"/>
        </w:rPr>
        <w:t>Жоспарланып отырған индустриялық аймақ цемент зауытының екі жағында орналасқан, шамамен 122 және 78 га болатын аумақтық тұрғыдан бөлінген екі алаңнан тұрады. Учаскелер Байғанин ауданының Қолтабан ауылдық округінде орналасқан, жалпы ауданы 2 204 га болатын «Қосбол» шаруа қожалығының бастапқы ауыл шаруашылығы мақсатындағы жер пайдалану аумағында (кадастрлық нөмірі 02-023-020-238) қалыптастырылады деп болжанады. Бөлінетін аумақтың ауданы аталған бастапқы учаскенің шамамен 9,07%-ын құрайды. Түпкілікті шекаралар, ауыстырылғаннан кейінгі жер санаттары, бүлінетін аумақтардың контурлары және экологиялық сезімтал объектілердің орналасуы жерге орналастыру мен жобалау кезінде нақтылануға тиіс.</w:t>
      </w:r>
    </w:p>
    <w:p w14:paraId="64B9BAA4">
      <w:pPr>
        <w:spacing w:line="240" w:lineRule="auto"/>
        <w:rPr>
          <w:rFonts w:ascii="Cambria" w:hAnsi="Cambria"/>
          <w:lang w:val="ru-RU"/>
        </w:rPr>
      </w:pPr>
      <w:r>
        <w:rPr>
          <w:rFonts w:ascii="Cambria" w:hAnsi="Cambria"/>
          <w:lang w:val="ru-RU"/>
        </w:rPr>
        <w:t>Жоспарланған Индустриялық аймақ тұрғын үй құрылысы аумағынан тыс, ең жақын елді мекен – Кенжалы ауылынан шамамен 8 км қашықтықта орналасқан. Бұл халыққа әсерді барынша азайту тұрғысынан өнеркәсіп өндірістерін орналастыруға қолайлы жағдай туғызады. ИА объектілерін жобалау кезінде желдің басым бағыттары, жер бедері, топырақ жамылғысының сипаттамалары, гидрогеологиялық жағдайлар және жерүсті ағынының ерекшеліктері сияқты аумақтың табиғи-климаттық факторлары ескеріледі. Өндірістердің экологиялық параметрлері, соның ішінде шығарындылар көлемі, шу деңгейі, су тұтыну және қалдықтардың түзілуі қолданылатын технологиялар мен Қазақстан Республикасының экологиялық заңнамасы талаптары негізінде айқындалады.</w:t>
      </w:r>
    </w:p>
    <w:p w14:paraId="034A180B">
      <w:pPr>
        <w:spacing w:line="240" w:lineRule="auto"/>
        <w:rPr>
          <w:rFonts w:ascii="Cambria" w:hAnsi="Cambria"/>
          <w:lang w:val="ru-RU"/>
        </w:rPr>
      </w:pPr>
      <w:r>
        <w:rPr>
          <w:rFonts w:ascii="Cambria" w:hAnsi="Cambria"/>
          <w:lang w:val="ru-RU"/>
        </w:rPr>
        <w:t>«QazCement Industries» ЖШС цемент зауытына аумақтық жақындықты ескере отырып, қалыптастырылып жатқан өнеркәсіптік тораптың қоршаған ортаға әсерін бағалауға кешенді тәсіл қолдану көзделеді. Шаң шығарындыларын бақылауға, су ресурстарын ұтымды пайдалануға, көлік ағындарын ұйымдастыруға және белгіленген экологиялық нормативтердің сақталуын қамтамасыз ететін заманауи технологиялық шешімдерді енгізуге баса назар аударылады.</w:t>
      </w:r>
    </w:p>
    <w:p w14:paraId="407EAB7F">
      <w:pPr>
        <w:spacing w:line="240" w:lineRule="auto"/>
        <w:rPr>
          <w:rFonts w:ascii="Cambria" w:hAnsi="Cambria"/>
          <w:lang w:val="ru-RU"/>
        </w:rPr>
      </w:pPr>
      <w:r>
        <w:rPr>
          <w:rFonts w:ascii="Cambria" w:hAnsi="Cambria"/>
          <w:lang w:val="ru-RU"/>
        </w:rPr>
        <w:t>Индустриялық аймақты ауыл шаруашылығы мақсатындағы жерлерден бөлінетін, жалпы ауданы 200 га болатын екі жер учаскесінде орналастыру көзделеді. Аумақты дайындау кезінде жер ресурстарын ұтымды пайдалану шаралары, оның ішінде құнарлы топырақ қабатын алу және сақтау, құрылыс алаңдарын ұйымдастыру, топырақтың ластануына жол бермеу және жерүсті суын бұру жүйесін салу қарастырылады. Сақталған құнарлы қабатты кейіннен жобалық шешімдерге сәйкес аумақты абаттандыру мен көгалдандыруға пайдалану көзделеді.</w:t>
      </w:r>
    </w:p>
    <w:p w14:paraId="28F5FE18">
      <w:pPr>
        <w:spacing w:line="240" w:lineRule="auto"/>
        <w:rPr>
          <w:rFonts w:ascii="Cambria" w:hAnsi="Cambria"/>
          <w:lang w:val="ru-RU"/>
        </w:rPr>
      </w:pPr>
      <w:r>
        <w:rPr>
          <w:rFonts w:ascii="Cambria" w:hAnsi="Cambria"/>
          <w:lang w:val="ru-RU"/>
        </w:rPr>
        <w:t>Осылайша, тұрғын үй құрылыстарынан шалғай орналасу, өндірістік объектілерді мамандандырылған өнеркәсіптік аумақта шоғырландыру және табиғатты қорғаудың заманауи технологияларын қолдану қолданыстағы табиғат қорғау және санитариялық-эпидемиологиялық талаптар сақталған жағдайда Индустриялық аймақты экологиялық бақылаумен дамытуға алғышарт жасайды.</w:t>
      </w:r>
    </w:p>
    <w:p w14:paraId="376A7E21">
      <w:pPr>
        <w:pStyle w:val="3"/>
        <w:spacing w:line="240" w:lineRule="auto"/>
        <w:rPr>
          <w:rFonts w:ascii="Cambria" w:hAnsi="Cambria"/>
          <w:lang w:val="ru-RU"/>
        </w:rPr>
      </w:pPr>
      <w:bookmarkStart w:id="16" w:name="__RefHeading___Toc9510_2617525462"/>
      <w:bookmarkEnd w:id="16"/>
      <w:r>
        <w:rPr>
          <w:rFonts w:ascii="Cambria" w:hAnsi="Cambria"/>
          <w:lang w:val="ru-RU"/>
        </w:rPr>
        <w:t>4.2. Қоршаған ортаға ықтимал әсерді бағалау</w:t>
      </w:r>
    </w:p>
    <w:p w14:paraId="0B758312">
      <w:pPr>
        <w:spacing w:line="240" w:lineRule="auto"/>
        <w:rPr>
          <w:rFonts w:ascii="Cambria" w:hAnsi="Cambria"/>
          <w:lang w:val="ru-RU"/>
        </w:rPr>
      </w:pPr>
      <w:r>
        <w:rPr>
          <w:rFonts w:ascii="Cambria" w:hAnsi="Cambria"/>
          <w:lang w:val="ru-RU"/>
        </w:rPr>
        <w:t>Әсер ету көздері екі топқа бөлінеді: инфрақұрылым мен кәсіпорындардың құрылысына байланысты уақытша көздер және кейінгі пайдалануға байланысты тұрақты көздер. Құрылыс кезеңінде жер жұмыстары кезінде шаң түзілуі, құрылыс техникасы қозғалтқыштарының шығарындылары, шу, топырақ жамылғысының бұзылуы, ауыр көліктің қозғалысы және құрылыс қалдықтарының пайда болуы ықтимал. Пайдалану кезеңінде цемент пен минералдық толтырғыштарды қайта тиеу және сақтау, материалдарды мөлшерлеу мен араластыру, бұйымдарды механикалық өңдеу, бетонды жылумен өңдеу, көлік жабдығының жұмысы және өндіріс қалдықтарымен жұмыс істеу негізгі әсер көздері болады.</w:t>
      </w:r>
    </w:p>
    <w:p w14:paraId="3631FD2A">
      <w:pPr>
        <w:spacing w:line="240" w:lineRule="auto"/>
        <w:rPr>
          <w:rFonts w:ascii="Cambria" w:hAnsi="Cambria"/>
          <w:lang w:val="ru-RU"/>
        </w:rPr>
      </w:pPr>
      <w:r>
        <w:rPr>
          <w:rFonts w:ascii="Cambria" w:hAnsi="Cambria"/>
          <w:lang w:val="ru-RU"/>
        </w:rPr>
        <w:t>Резиденттердің экологиялық бейіні біркелкі емес. № 1 алаңда арматура, қалыптау учаскелері мен бұйымдарды күтіп-баптау алаңдарын пайдаланатын төрт темірбетон конструкциялары өндірісін орналастыру көзделеді. № 2 алаңда құрғақ құрылыс қоспаларын, фиброцемент панельдері мен вибропрестелген бұйымдарды өндіру жоспарланған. Екінші алаң үшін құрғақ ұнтақ тәрізді компоненттермен орындалатын технологиялық операциялар ерекше маңызды; ал фиброцемент панельдерін өндіруде асбестсіз құрамды, су айналымы жүйесін және бұйымдарды өңдеу кезінде шаңды ұстау тәсілдерін таңдау қажет.</w:t>
      </w:r>
    </w:p>
    <w:p w14:paraId="36CA13DE">
      <w:pPr>
        <w:pStyle w:val="75"/>
        <w:keepNext/>
        <w:spacing w:line="240" w:lineRule="auto"/>
        <w:rPr>
          <w:rFonts w:ascii="Cambria" w:hAnsi="Cambria"/>
          <w:lang w:val="ru-RU"/>
        </w:rPr>
      </w:pPr>
      <w:r>
        <w:rPr>
          <w:rFonts w:ascii="Cambria" w:hAnsi="Cambria"/>
          <w:lang w:val="ru-RU"/>
        </w:rPr>
        <w:t>4.1-кесте – Жобалар бойынша әсер етудің алдын ала көздері және табиғатты қорғау шешімдері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369"/>
        <w:gridCol w:w="2031"/>
        <w:gridCol w:w="3307"/>
        <w:gridCol w:w="3782"/>
      </w:tblGrid>
      <w:tr w14:paraId="2F3EBA18">
        <w:tblPrEx>
          <w:tblCellMar>
            <w:top w:w="90" w:type="dxa"/>
            <w:left w:w="95" w:type="dxa"/>
            <w:bottom w:w="90" w:type="dxa"/>
            <w:right w:w="95" w:type="dxa"/>
          </w:tblCellMar>
        </w:tblPrEx>
        <w:trPr>
          <w:tblHeader/>
          <w:jc w:val="center"/>
        </w:trPr>
        <w:tc>
          <w:tcPr>
            <w:tcW w:w="0" w:type="auto"/>
            <w:shd w:val="clear" w:color="auto" w:fill="23486F"/>
            <w:vAlign w:val="center"/>
          </w:tcPr>
          <w:p w14:paraId="0168FCCD">
            <w:pPr>
              <w:spacing w:after="0" w:line="240" w:lineRule="auto"/>
              <w:ind w:firstLine="0"/>
              <w:jc w:val="center"/>
              <w:rPr>
                <w:rFonts w:ascii="Cambria" w:hAnsi="Cambria"/>
              </w:rPr>
            </w:pPr>
            <w:r>
              <w:rPr>
                <w:rFonts w:ascii="Cambria" w:hAnsi="Cambria"/>
                <w:b/>
                <w:color w:val="FFFFFF"/>
                <w:sz w:val="17"/>
              </w:rPr>
              <w:t>№</w:t>
            </w:r>
          </w:p>
        </w:tc>
        <w:tc>
          <w:tcPr>
            <w:tcW w:w="0" w:type="auto"/>
            <w:shd w:val="clear" w:color="auto" w:fill="23486F"/>
            <w:vAlign w:val="center"/>
          </w:tcPr>
          <w:p w14:paraId="33B6ED16">
            <w:pPr>
              <w:spacing w:after="0" w:line="240" w:lineRule="auto"/>
              <w:ind w:firstLine="0"/>
              <w:jc w:val="center"/>
              <w:rPr>
                <w:rFonts w:ascii="Cambria" w:hAnsi="Cambria"/>
              </w:rPr>
            </w:pPr>
            <w:r>
              <w:rPr>
                <w:rFonts w:ascii="Cambria" w:hAnsi="Cambria"/>
                <w:b/>
                <w:color w:val="FFFFFF"/>
                <w:sz w:val="17"/>
              </w:rPr>
              <w:t>Жоба</w:t>
            </w:r>
          </w:p>
        </w:tc>
        <w:tc>
          <w:tcPr>
            <w:tcW w:w="0" w:type="auto"/>
            <w:shd w:val="clear" w:color="auto" w:fill="23486F"/>
            <w:vAlign w:val="center"/>
          </w:tcPr>
          <w:p w14:paraId="0BB229B5">
            <w:pPr>
              <w:spacing w:after="0" w:line="240" w:lineRule="auto"/>
              <w:ind w:firstLine="0"/>
              <w:jc w:val="center"/>
              <w:rPr>
                <w:rFonts w:ascii="Cambria" w:hAnsi="Cambria"/>
              </w:rPr>
            </w:pPr>
            <w:r>
              <w:rPr>
                <w:rFonts w:ascii="Cambria" w:hAnsi="Cambria"/>
                <w:b/>
                <w:color w:val="FFFFFF"/>
                <w:sz w:val="17"/>
              </w:rPr>
              <w:t>Әсер етудің басым факторлары</w:t>
            </w:r>
          </w:p>
        </w:tc>
        <w:tc>
          <w:tcPr>
            <w:tcW w:w="0" w:type="auto"/>
            <w:shd w:val="clear" w:color="auto" w:fill="23486F"/>
            <w:vAlign w:val="center"/>
          </w:tcPr>
          <w:p w14:paraId="4CF6B306">
            <w:pPr>
              <w:spacing w:after="0" w:line="240" w:lineRule="auto"/>
              <w:ind w:firstLine="0"/>
              <w:jc w:val="center"/>
              <w:rPr>
                <w:rFonts w:ascii="Cambria" w:hAnsi="Cambria"/>
              </w:rPr>
            </w:pPr>
            <w:r>
              <w:rPr>
                <w:rFonts w:ascii="Cambria" w:hAnsi="Cambria"/>
                <w:b/>
                <w:color w:val="FFFFFF"/>
                <w:sz w:val="17"/>
              </w:rPr>
              <w:t>Басым шаралар</w:t>
            </w:r>
          </w:p>
        </w:tc>
      </w:tr>
      <w:tr w14:paraId="7970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147602D6">
            <w:pPr>
              <w:spacing w:after="0" w:line="240" w:lineRule="auto"/>
              <w:ind w:firstLine="0"/>
              <w:rPr>
                <w:rFonts w:ascii="Cambria" w:hAnsi="Cambria"/>
              </w:rPr>
            </w:pPr>
            <w:r>
              <w:rPr>
                <w:rFonts w:ascii="Cambria" w:hAnsi="Cambria"/>
                <w:color w:val="1C2839"/>
                <w:sz w:val="16"/>
              </w:rPr>
              <w:t>1</w:t>
            </w:r>
          </w:p>
        </w:tc>
        <w:tc>
          <w:tcPr>
            <w:tcW w:w="0" w:type="auto"/>
            <w:vAlign w:val="center"/>
          </w:tcPr>
          <w:p w14:paraId="0E579699">
            <w:pPr>
              <w:spacing w:after="0" w:line="240" w:lineRule="auto"/>
              <w:ind w:firstLine="0"/>
              <w:jc w:val="left"/>
              <w:rPr>
                <w:rFonts w:ascii="Cambria" w:hAnsi="Cambria"/>
                <w:lang w:val="ru-RU"/>
              </w:rPr>
            </w:pPr>
            <w:r>
              <w:rPr>
                <w:rFonts w:ascii="Cambria" w:hAnsi="Cambria"/>
                <w:color w:val="1C2839"/>
                <w:sz w:val="16"/>
                <w:lang w:val="ru-RU"/>
              </w:rPr>
              <w:t>Жол және инфрақұрылым құрылысына арналған ТББ</w:t>
            </w:r>
          </w:p>
        </w:tc>
        <w:tc>
          <w:tcPr>
            <w:tcW w:w="0" w:type="auto"/>
            <w:vAlign w:val="center"/>
          </w:tcPr>
          <w:p w14:paraId="513930AA">
            <w:pPr>
              <w:spacing w:after="0" w:line="240" w:lineRule="auto"/>
              <w:ind w:firstLine="0"/>
              <w:jc w:val="left"/>
              <w:rPr>
                <w:rFonts w:ascii="Cambria" w:hAnsi="Cambria"/>
                <w:lang w:val="ru-RU"/>
              </w:rPr>
            </w:pPr>
            <w:r>
              <w:rPr>
                <w:rFonts w:ascii="Cambria" w:hAnsi="Cambria"/>
                <w:color w:val="1C2839"/>
                <w:sz w:val="16"/>
                <w:lang w:val="ru-RU"/>
              </w:rPr>
              <w:t>Цемент және минералдық шаң, бетон қоспасының қалдықтары, жуу сулары, қалыптау кезіндегі шу.</w:t>
            </w:r>
          </w:p>
        </w:tc>
        <w:tc>
          <w:tcPr>
            <w:tcW w:w="0" w:type="auto"/>
            <w:vAlign w:val="center"/>
          </w:tcPr>
          <w:p w14:paraId="1A0CD5BB">
            <w:pPr>
              <w:spacing w:after="0" w:line="240" w:lineRule="auto"/>
              <w:ind w:firstLine="0"/>
              <w:jc w:val="left"/>
              <w:rPr>
                <w:rFonts w:ascii="Cambria" w:hAnsi="Cambria"/>
                <w:lang w:val="ru-RU"/>
              </w:rPr>
            </w:pPr>
            <w:r>
              <w:rPr>
                <w:rFonts w:ascii="Cambria" w:hAnsi="Cambria"/>
                <w:color w:val="1C2839"/>
                <w:sz w:val="16"/>
                <w:lang w:val="ru-RU"/>
              </w:rPr>
              <w:t>Сүзгілері бар жабық силостар, жергілікті шаң ұстау, жуу суларын жинау және қайталап пайдалану.</w:t>
            </w:r>
          </w:p>
        </w:tc>
      </w:tr>
      <w:tr w14:paraId="7D65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60F92E8B">
            <w:pPr>
              <w:spacing w:after="0" w:line="240" w:lineRule="auto"/>
              <w:ind w:firstLine="0"/>
              <w:rPr>
                <w:rFonts w:ascii="Cambria" w:hAnsi="Cambria"/>
              </w:rPr>
            </w:pPr>
            <w:r>
              <w:rPr>
                <w:rFonts w:ascii="Cambria" w:hAnsi="Cambria"/>
                <w:color w:val="1C2839"/>
                <w:sz w:val="16"/>
              </w:rPr>
              <w:t>2</w:t>
            </w:r>
          </w:p>
        </w:tc>
        <w:tc>
          <w:tcPr>
            <w:tcW w:w="0" w:type="auto"/>
            <w:shd w:val="clear" w:color="auto" w:fill="F0F5F9"/>
            <w:vAlign w:val="center"/>
          </w:tcPr>
          <w:p w14:paraId="527B66BB">
            <w:pPr>
              <w:spacing w:after="0" w:line="240" w:lineRule="auto"/>
              <w:ind w:firstLine="0"/>
              <w:jc w:val="left"/>
              <w:rPr>
                <w:rFonts w:ascii="Cambria" w:hAnsi="Cambria"/>
              </w:rPr>
            </w:pPr>
            <w:r>
              <w:rPr>
                <w:rFonts w:ascii="Cambria" w:hAnsi="Cambria"/>
                <w:color w:val="1C2839"/>
                <w:sz w:val="16"/>
              </w:rPr>
              <w:t>Темірбетон шпалдар</w:t>
            </w:r>
          </w:p>
        </w:tc>
        <w:tc>
          <w:tcPr>
            <w:tcW w:w="0" w:type="auto"/>
            <w:shd w:val="clear" w:color="auto" w:fill="F0F5F9"/>
            <w:vAlign w:val="center"/>
          </w:tcPr>
          <w:p w14:paraId="632104C6">
            <w:pPr>
              <w:spacing w:after="0" w:line="240" w:lineRule="auto"/>
              <w:ind w:firstLine="0"/>
              <w:jc w:val="left"/>
              <w:rPr>
                <w:rFonts w:ascii="Cambria" w:hAnsi="Cambria"/>
                <w:lang w:val="ru-RU"/>
              </w:rPr>
            </w:pPr>
            <w:r>
              <w:rPr>
                <w:rFonts w:ascii="Cambria" w:hAnsi="Cambria"/>
                <w:color w:val="1C2839"/>
                <w:sz w:val="16"/>
                <w:lang w:val="ru-RU"/>
              </w:rPr>
              <w:t>Мөлшерлеу кезіндегі шаң, жабдықтың шуы мен дірілі, бетон және металл қалдықтары, су шығыны.</w:t>
            </w:r>
          </w:p>
        </w:tc>
        <w:tc>
          <w:tcPr>
            <w:tcW w:w="0" w:type="auto"/>
            <w:shd w:val="clear" w:color="auto" w:fill="F0F5F9"/>
            <w:vAlign w:val="center"/>
          </w:tcPr>
          <w:p w14:paraId="04C10EE7">
            <w:pPr>
              <w:spacing w:after="0" w:line="240" w:lineRule="auto"/>
              <w:ind w:firstLine="0"/>
              <w:jc w:val="left"/>
              <w:rPr>
                <w:rFonts w:ascii="Cambria" w:hAnsi="Cambria"/>
                <w:lang w:val="ru-RU"/>
              </w:rPr>
            </w:pPr>
            <w:r>
              <w:rPr>
                <w:rFonts w:ascii="Cambria" w:hAnsi="Cambria"/>
                <w:color w:val="1C2839"/>
                <w:sz w:val="16"/>
                <w:lang w:val="ru-RU"/>
              </w:rPr>
              <w:t>Бетон араластыру торабын герметикалау, жергілікті аспирация, су айналымы, қалдықтарды сұрыптау.</w:t>
            </w:r>
          </w:p>
        </w:tc>
      </w:tr>
      <w:tr w14:paraId="4522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64ABEB8">
            <w:pPr>
              <w:spacing w:after="0" w:line="240" w:lineRule="auto"/>
              <w:ind w:firstLine="0"/>
              <w:rPr>
                <w:rFonts w:ascii="Cambria" w:hAnsi="Cambria"/>
              </w:rPr>
            </w:pPr>
            <w:r>
              <w:rPr>
                <w:rFonts w:ascii="Cambria" w:hAnsi="Cambria"/>
                <w:color w:val="1C2839"/>
                <w:sz w:val="16"/>
              </w:rPr>
              <w:t>3</w:t>
            </w:r>
          </w:p>
        </w:tc>
        <w:tc>
          <w:tcPr>
            <w:tcW w:w="0" w:type="auto"/>
            <w:vAlign w:val="center"/>
          </w:tcPr>
          <w:p w14:paraId="6C835DB3">
            <w:pPr>
              <w:spacing w:after="0" w:line="240" w:lineRule="auto"/>
              <w:ind w:firstLine="0"/>
              <w:jc w:val="left"/>
              <w:rPr>
                <w:rFonts w:ascii="Cambria" w:hAnsi="Cambria"/>
              </w:rPr>
            </w:pPr>
            <w:r>
              <w:rPr>
                <w:rFonts w:ascii="Cambria" w:hAnsi="Cambria"/>
                <w:color w:val="1C2839"/>
                <w:sz w:val="16"/>
              </w:rPr>
              <w:t>Электр беру желілерінің темірбетон тіректері</w:t>
            </w:r>
          </w:p>
        </w:tc>
        <w:tc>
          <w:tcPr>
            <w:tcW w:w="0" w:type="auto"/>
            <w:vAlign w:val="center"/>
          </w:tcPr>
          <w:p w14:paraId="06AE9976">
            <w:pPr>
              <w:spacing w:after="0" w:line="240" w:lineRule="auto"/>
              <w:ind w:firstLine="0"/>
              <w:jc w:val="left"/>
              <w:rPr>
                <w:rFonts w:ascii="Cambria" w:hAnsi="Cambria"/>
                <w:lang w:val="ru-RU"/>
              </w:rPr>
            </w:pPr>
            <w:r>
              <w:rPr>
                <w:rFonts w:ascii="Cambria" w:hAnsi="Cambria"/>
                <w:color w:val="1C2839"/>
                <w:sz w:val="16"/>
                <w:lang w:val="ru-RU"/>
              </w:rPr>
              <w:t>Цемент пен толтырғыштардың шаңдануы, арматуралау қалдықтары, шу, бұйымдарды жылумен өңдеу.</w:t>
            </w:r>
          </w:p>
        </w:tc>
        <w:tc>
          <w:tcPr>
            <w:tcW w:w="0" w:type="auto"/>
            <w:vAlign w:val="center"/>
          </w:tcPr>
          <w:p w14:paraId="7341FA0A">
            <w:pPr>
              <w:spacing w:after="0" w:line="240" w:lineRule="auto"/>
              <w:ind w:firstLine="0"/>
              <w:jc w:val="left"/>
              <w:rPr>
                <w:rFonts w:ascii="Cambria" w:hAnsi="Cambria"/>
                <w:lang w:val="ru-RU"/>
              </w:rPr>
            </w:pPr>
            <w:r>
              <w:rPr>
                <w:rFonts w:ascii="Cambria" w:hAnsi="Cambria"/>
                <w:color w:val="1C2839"/>
                <w:sz w:val="16"/>
                <w:lang w:val="ru-RU"/>
              </w:rPr>
              <w:t>Цементті жабық сақтау, отын мен энергияны есепке алу, металл қалдықтарын жинау, тұйық су айналымын ұйымдастыру.</w:t>
            </w:r>
          </w:p>
        </w:tc>
      </w:tr>
      <w:tr w14:paraId="0320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4CCA9D2E">
            <w:pPr>
              <w:spacing w:after="0" w:line="240" w:lineRule="auto"/>
              <w:ind w:firstLine="0"/>
              <w:rPr>
                <w:rFonts w:ascii="Cambria" w:hAnsi="Cambria"/>
              </w:rPr>
            </w:pPr>
            <w:r>
              <w:rPr>
                <w:rFonts w:ascii="Cambria" w:hAnsi="Cambria"/>
                <w:color w:val="1C2839"/>
                <w:sz w:val="16"/>
              </w:rPr>
              <w:t>4</w:t>
            </w:r>
          </w:p>
        </w:tc>
        <w:tc>
          <w:tcPr>
            <w:tcW w:w="0" w:type="auto"/>
            <w:shd w:val="clear" w:color="auto" w:fill="F0F5F9"/>
            <w:vAlign w:val="center"/>
          </w:tcPr>
          <w:p w14:paraId="13FCD75D">
            <w:pPr>
              <w:spacing w:after="0" w:line="240" w:lineRule="auto"/>
              <w:ind w:firstLine="0"/>
              <w:jc w:val="left"/>
              <w:rPr>
                <w:rFonts w:ascii="Cambria" w:hAnsi="Cambria"/>
              </w:rPr>
            </w:pPr>
            <w:r>
              <w:rPr>
                <w:rFonts w:ascii="Cambria" w:hAnsi="Cambria"/>
                <w:color w:val="1C2839"/>
                <w:sz w:val="16"/>
              </w:rPr>
              <w:t>Тұрғын үй құрылысына арналған ТББ</w:t>
            </w:r>
          </w:p>
        </w:tc>
        <w:tc>
          <w:tcPr>
            <w:tcW w:w="0" w:type="auto"/>
            <w:shd w:val="clear" w:color="auto" w:fill="F0F5F9"/>
            <w:vAlign w:val="center"/>
          </w:tcPr>
          <w:p w14:paraId="65DEC29B">
            <w:pPr>
              <w:spacing w:after="0" w:line="240" w:lineRule="auto"/>
              <w:ind w:firstLine="0"/>
              <w:jc w:val="left"/>
              <w:rPr>
                <w:rFonts w:ascii="Cambria" w:hAnsi="Cambria"/>
                <w:lang w:val="ru-RU"/>
              </w:rPr>
            </w:pPr>
            <w:r>
              <w:rPr>
                <w:rFonts w:ascii="Cambria" w:hAnsi="Cambria"/>
                <w:color w:val="1C2839"/>
                <w:sz w:val="16"/>
                <w:lang w:val="ru-RU"/>
              </w:rPr>
              <w:t>Бетон шаңы, қалыптау қалдықтары, жуу сулары, дайын бұйымдарды тасымалдау кезіндегі шу.</w:t>
            </w:r>
          </w:p>
        </w:tc>
        <w:tc>
          <w:tcPr>
            <w:tcW w:w="0" w:type="auto"/>
            <w:shd w:val="clear" w:color="auto" w:fill="F0F5F9"/>
            <w:vAlign w:val="center"/>
          </w:tcPr>
          <w:p w14:paraId="2DDC9A83">
            <w:pPr>
              <w:spacing w:after="0" w:line="240" w:lineRule="auto"/>
              <w:ind w:firstLine="0"/>
              <w:jc w:val="left"/>
              <w:rPr>
                <w:rFonts w:ascii="Cambria" w:hAnsi="Cambria"/>
                <w:lang w:val="ru-RU"/>
              </w:rPr>
            </w:pPr>
            <w:r>
              <w:rPr>
                <w:rFonts w:ascii="Cambria" w:hAnsi="Cambria"/>
                <w:color w:val="1C2839"/>
                <w:sz w:val="16"/>
                <w:lang w:val="ru-RU"/>
              </w:rPr>
              <w:t>Жергілікті аспирация, су айналымы, сапасы расталған жағдайда технологиялық қалдықтарды қайталап пайдалану.</w:t>
            </w:r>
          </w:p>
        </w:tc>
      </w:tr>
      <w:tr w14:paraId="00A2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0CAE76AC">
            <w:pPr>
              <w:spacing w:after="0" w:line="240" w:lineRule="auto"/>
              <w:ind w:firstLine="0"/>
              <w:rPr>
                <w:rFonts w:ascii="Cambria" w:hAnsi="Cambria"/>
              </w:rPr>
            </w:pPr>
            <w:r>
              <w:rPr>
                <w:rFonts w:ascii="Cambria" w:hAnsi="Cambria"/>
                <w:color w:val="1C2839"/>
                <w:sz w:val="16"/>
              </w:rPr>
              <w:t>5</w:t>
            </w:r>
          </w:p>
        </w:tc>
        <w:tc>
          <w:tcPr>
            <w:tcW w:w="0" w:type="auto"/>
            <w:vAlign w:val="center"/>
          </w:tcPr>
          <w:p w14:paraId="1C0B63CE">
            <w:pPr>
              <w:spacing w:after="0" w:line="240" w:lineRule="auto"/>
              <w:ind w:firstLine="0"/>
              <w:jc w:val="left"/>
              <w:rPr>
                <w:rFonts w:ascii="Cambria" w:hAnsi="Cambria"/>
              </w:rPr>
            </w:pPr>
            <w:r>
              <w:rPr>
                <w:rFonts w:ascii="Cambria" w:hAnsi="Cambria"/>
                <w:color w:val="1C2839"/>
                <w:sz w:val="16"/>
              </w:rPr>
              <w:t>Құрғақ құрылыс қоспалары</w:t>
            </w:r>
          </w:p>
        </w:tc>
        <w:tc>
          <w:tcPr>
            <w:tcW w:w="0" w:type="auto"/>
            <w:vAlign w:val="center"/>
          </w:tcPr>
          <w:p w14:paraId="7C008C99">
            <w:pPr>
              <w:spacing w:after="0" w:line="240" w:lineRule="auto"/>
              <w:ind w:firstLine="0"/>
              <w:jc w:val="left"/>
              <w:rPr>
                <w:rFonts w:ascii="Cambria" w:hAnsi="Cambria"/>
                <w:lang w:val="ru-RU"/>
              </w:rPr>
            </w:pPr>
            <w:r>
              <w:rPr>
                <w:rFonts w:ascii="Cambria" w:hAnsi="Cambria"/>
                <w:color w:val="1C2839"/>
                <w:sz w:val="16"/>
                <w:lang w:val="ru-RU"/>
              </w:rPr>
              <w:t>Мөлшерлеу, араластыру және қаптау кезінде шаңның көбеюі; қаптама қалдықтары.</w:t>
            </w:r>
          </w:p>
        </w:tc>
        <w:tc>
          <w:tcPr>
            <w:tcW w:w="0" w:type="auto"/>
            <w:vAlign w:val="center"/>
          </w:tcPr>
          <w:p w14:paraId="3C1EB212">
            <w:pPr>
              <w:spacing w:after="0" w:line="240" w:lineRule="auto"/>
              <w:ind w:firstLine="0"/>
              <w:jc w:val="left"/>
              <w:rPr>
                <w:rFonts w:ascii="Cambria" w:hAnsi="Cambria"/>
                <w:lang w:val="ru-RU"/>
              </w:rPr>
            </w:pPr>
            <w:r>
              <w:rPr>
                <w:rFonts w:ascii="Cambria" w:hAnsi="Cambria"/>
                <w:color w:val="1C2839"/>
                <w:sz w:val="16"/>
                <w:lang w:val="ru-RU"/>
              </w:rPr>
              <w:t>Жабық араластырғыштар мен силостар, ауаны сүзу, ұнтақтарды герметикаланған тасымалдау.</w:t>
            </w:r>
          </w:p>
        </w:tc>
      </w:tr>
      <w:tr w14:paraId="39BC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68E7C619">
            <w:pPr>
              <w:spacing w:after="0" w:line="240" w:lineRule="auto"/>
              <w:ind w:firstLine="0"/>
              <w:rPr>
                <w:rFonts w:ascii="Cambria" w:hAnsi="Cambria"/>
              </w:rPr>
            </w:pPr>
            <w:r>
              <w:rPr>
                <w:rFonts w:ascii="Cambria" w:hAnsi="Cambria"/>
                <w:color w:val="1C2839"/>
                <w:sz w:val="16"/>
              </w:rPr>
              <w:t>6</w:t>
            </w:r>
          </w:p>
        </w:tc>
        <w:tc>
          <w:tcPr>
            <w:tcW w:w="0" w:type="auto"/>
            <w:shd w:val="clear" w:color="auto" w:fill="F0F5F9"/>
            <w:vAlign w:val="center"/>
          </w:tcPr>
          <w:p w14:paraId="1EA7AB31">
            <w:pPr>
              <w:spacing w:after="0" w:line="240" w:lineRule="auto"/>
              <w:ind w:firstLine="0"/>
              <w:jc w:val="left"/>
              <w:rPr>
                <w:rFonts w:ascii="Cambria" w:hAnsi="Cambria"/>
              </w:rPr>
            </w:pPr>
            <w:r>
              <w:rPr>
                <w:rFonts w:ascii="Cambria" w:hAnsi="Cambria"/>
                <w:color w:val="1C2839"/>
                <w:sz w:val="16"/>
              </w:rPr>
              <w:t>Фиброцемент панельдері</w:t>
            </w:r>
          </w:p>
        </w:tc>
        <w:tc>
          <w:tcPr>
            <w:tcW w:w="0" w:type="auto"/>
            <w:shd w:val="clear" w:color="auto" w:fill="F0F5F9"/>
            <w:vAlign w:val="center"/>
          </w:tcPr>
          <w:p w14:paraId="215F2A47">
            <w:pPr>
              <w:spacing w:after="0" w:line="240" w:lineRule="auto"/>
              <w:ind w:firstLine="0"/>
              <w:jc w:val="left"/>
              <w:rPr>
                <w:rFonts w:ascii="Cambria" w:hAnsi="Cambria"/>
                <w:lang w:val="ru-RU"/>
              </w:rPr>
            </w:pPr>
            <w:r>
              <w:rPr>
                <w:rFonts w:ascii="Cambria" w:hAnsi="Cambria"/>
                <w:color w:val="1C2839"/>
                <w:sz w:val="16"/>
                <w:lang w:val="ru-RU"/>
              </w:rPr>
              <w:t>Цемент пен толтырғыштардың шаңдануы, технологиялық су, шлам, кесу мен ажарлау шаңы.</w:t>
            </w:r>
          </w:p>
        </w:tc>
        <w:tc>
          <w:tcPr>
            <w:tcW w:w="0" w:type="auto"/>
            <w:shd w:val="clear" w:color="auto" w:fill="F0F5F9"/>
            <w:vAlign w:val="center"/>
          </w:tcPr>
          <w:p w14:paraId="5AE5B777">
            <w:pPr>
              <w:spacing w:after="0" w:line="240" w:lineRule="auto"/>
              <w:ind w:firstLine="0"/>
              <w:jc w:val="left"/>
              <w:rPr>
                <w:rFonts w:ascii="Cambria" w:hAnsi="Cambria"/>
                <w:lang w:val="ru-RU"/>
              </w:rPr>
            </w:pPr>
            <w:r>
              <w:rPr>
                <w:rFonts w:ascii="Cambria" w:hAnsi="Cambria"/>
                <w:color w:val="1C2839"/>
                <w:sz w:val="16"/>
                <w:lang w:val="ru-RU"/>
              </w:rPr>
              <w:t>Асбестсіз технология, өңдеу кезіндегі аспирация, технологиялық суды тазарту және қайтару, шламды сусыздандыру.</w:t>
            </w:r>
          </w:p>
        </w:tc>
      </w:tr>
      <w:tr w14:paraId="7ABD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029586FE">
            <w:pPr>
              <w:spacing w:after="0" w:line="240" w:lineRule="auto"/>
              <w:ind w:firstLine="0"/>
              <w:rPr>
                <w:rFonts w:ascii="Cambria" w:hAnsi="Cambria"/>
              </w:rPr>
            </w:pPr>
            <w:r>
              <w:rPr>
                <w:rFonts w:ascii="Cambria" w:hAnsi="Cambria"/>
                <w:color w:val="1C2839"/>
                <w:sz w:val="16"/>
              </w:rPr>
              <w:t>7</w:t>
            </w:r>
          </w:p>
        </w:tc>
        <w:tc>
          <w:tcPr>
            <w:tcW w:w="0" w:type="auto"/>
            <w:vAlign w:val="center"/>
          </w:tcPr>
          <w:p w14:paraId="3D6863AA">
            <w:pPr>
              <w:spacing w:after="0" w:line="240" w:lineRule="auto"/>
              <w:ind w:firstLine="0"/>
              <w:jc w:val="left"/>
              <w:rPr>
                <w:rFonts w:ascii="Cambria" w:hAnsi="Cambria"/>
              </w:rPr>
            </w:pPr>
            <w:r>
              <w:rPr>
                <w:rFonts w:ascii="Cambria" w:hAnsi="Cambria"/>
                <w:color w:val="1C2839"/>
                <w:sz w:val="16"/>
              </w:rPr>
              <w:t>Абаттандыруға арналған бетон бұйымдары</w:t>
            </w:r>
          </w:p>
        </w:tc>
        <w:tc>
          <w:tcPr>
            <w:tcW w:w="0" w:type="auto"/>
            <w:vAlign w:val="center"/>
          </w:tcPr>
          <w:p w14:paraId="68C43CBC">
            <w:pPr>
              <w:spacing w:after="0" w:line="240" w:lineRule="auto"/>
              <w:ind w:firstLine="0"/>
              <w:jc w:val="left"/>
              <w:rPr>
                <w:rFonts w:ascii="Cambria" w:hAnsi="Cambria"/>
                <w:lang w:val="ru-RU"/>
              </w:rPr>
            </w:pPr>
            <w:r>
              <w:rPr>
                <w:rFonts w:ascii="Cambria" w:hAnsi="Cambria"/>
                <w:color w:val="1C2839"/>
                <w:sz w:val="16"/>
                <w:lang w:val="ru-RU"/>
              </w:rPr>
              <w:t>Минералдық шаң, вибропрестеу шуы, бұйым сынықтары, ашық алаңдардан түсетін ағын.</w:t>
            </w:r>
          </w:p>
        </w:tc>
        <w:tc>
          <w:tcPr>
            <w:tcW w:w="0" w:type="auto"/>
            <w:vAlign w:val="center"/>
          </w:tcPr>
          <w:p w14:paraId="4B5AF02F">
            <w:pPr>
              <w:spacing w:after="0" w:line="240" w:lineRule="auto"/>
              <w:ind w:firstLine="0"/>
              <w:jc w:val="left"/>
              <w:rPr>
                <w:rFonts w:ascii="Cambria" w:hAnsi="Cambria"/>
                <w:lang w:val="ru-RU"/>
              </w:rPr>
            </w:pPr>
            <w:r>
              <w:rPr>
                <w:rFonts w:ascii="Cambria" w:hAnsi="Cambria"/>
                <w:color w:val="1C2839"/>
                <w:sz w:val="16"/>
                <w:lang w:val="ru-RU"/>
              </w:rPr>
              <w:t>Сусымалы шикізатты жабу, жергілікті сүзу, ақаулы өнімді жинау, жерүсті суын бақыланатын түрде бұру.</w:t>
            </w:r>
          </w:p>
        </w:tc>
      </w:tr>
    </w:tbl>
    <w:p w14:paraId="40B03F83">
      <w:pPr>
        <w:spacing w:line="240" w:lineRule="auto"/>
        <w:rPr>
          <w:rFonts w:ascii="Cambria" w:hAnsi="Cambria"/>
          <w:lang w:val="ru-RU"/>
        </w:rPr>
      </w:pPr>
      <w:r>
        <w:rPr>
          <w:rFonts w:ascii="Cambria" w:hAnsi="Cambria"/>
          <w:lang w:val="ru-RU"/>
        </w:rPr>
        <w:t>Пайдалану кезеңіндегі негізгі ластаушы фактор атмосфералық ауаға әсер ету, ең алдымен цемент пен инертті материалдардан пайда болатын шаң болады деп күтіледі. Шикізатты түсіру, силостарға тиеу, конвейерлер, мөлшерлеу және араластыру тораптары, кесу мен ажарлау учаскелері, сондай-ақ жүктерді ашық жолдармен тасымалдау орындарында жергілікті шығарындылардың қарқындылығы жоғары болуы мүмкін. Автомобиль техникасы қозғалтқыштары мен ықтимал жылу өндіретін агрегаттардың үлесі түпкілікті технологиялық схемаға байланысты болады. Заттардың тізбесі, эмиссия көлемі және таралу есебі әр кәсіпорын үшін жеке, жақын маңдағы цемент зауытының жиынтық әсері ескеріле отырып айқындалуға тиіс.</w:t>
      </w:r>
    </w:p>
    <w:p w14:paraId="44814FBE">
      <w:pPr>
        <w:spacing w:line="240" w:lineRule="auto"/>
        <w:rPr>
          <w:rFonts w:ascii="Cambria" w:hAnsi="Cambria"/>
          <w:lang w:val="ru-RU"/>
        </w:rPr>
      </w:pPr>
      <w:r>
        <w:rPr>
          <w:rFonts w:ascii="Cambria" w:hAnsi="Cambria"/>
          <w:lang w:val="ru-RU"/>
        </w:rPr>
        <w:t>Су ресурстарына әсер бетон қоспаларын дайындауға, технологиялық жабдықтар мен қалыптарды жууға, жекелеген өңдеу процестеріне, жұмыскерлерді сумен жабдықтауға, өрт сөндіру қажеттіліктеріне және фиброцемент желісінің өндірістік қажеттіліктеріне байланысты болады. Тұщы су алуды азайту үшін айналымды жүйелерге басымдық беріледі. Бетон араластырғыш жабдықты жуғаннан пайда болатын ағынды суларда әдетте өлшенген заттар мөлшері жоғары әрі реакциясы сілтілі болады; тиісті тазартусыз оларды ағызуға жол берілмейді. Тазарту, жинақтау, қайталап пайдалану және су бұрудың нақты схемасы резиденттердің жобалары мен желілерге қосылу шарттарында айқындалады.</w:t>
      </w:r>
    </w:p>
    <w:p w14:paraId="2FDD0CFB">
      <w:pPr>
        <w:spacing w:line="240" w:lineRule="auto"/>
        <w:rPr>
          <w:rFonts w:ascii="Cambria" w:hAnsi="Cambria"/>
          <w:lang w:val="ru-RU"/>
        </w:rPr>
      </w:pPr>
      <w:r>
        <w:rPr>
          <w:rFonts w:ascii="Cambria" w:hAnsi="Cambria"/>
          <w:lang w:val="ru-RU"/>
        </w:rPr>
        <w:t>ИА-ның судың жалпы болжамды қажеттілігі тәулігіне 300–500 м³ деңгейінде қабылданған. Жылына шартты түрде 300 күн жұмыс істеген жағдайда мұндай тәуліктік қажеттілік жылына 90–150 мың м³ суға сәйкес келеді. Бұл табиғи су алудың немесе сарқынды су төгудің расталған көлемі емес: көрсеткіштер таңдалған технологияларға, айналымды сумен жабдықтауға, нақты жұмыс күнтізбесіне және цемент зауытының инфрақұрылымына қосылу шарттарына байланысты болады.</w:t>
      </w:r>
    </w:p>
    <w:p w14:paraId="4E47D4AC">
      <w:pPr>
        <w:spacing w:line="240" w:lineRule="auto"/>
        <w:rPr>
          <w:rFonts w:ascii="Cambria" w:hAnsi="Cambria"/>
          <w:lang w:val="ru-RU"/>
        </w:rPr>
      </w:pPr>
      <w:r>
        <w:rPr>
          <w:rFonts w:ascii="Cambria" w:hAnsi="Cambria"/>
          <w:lang w:val="ru-RU"/>
        </w:rPr>
        <w:t>Қалдықтармен жұмыс істеу негізінен қатқан бетон қалдықтарына, талапқа сай емес бұйымдарға, арматура кесінділеріне, сүзгі шаңына, қаптама қалдықтарына, өндірістік суды тазарту шламына және коммуналдық қалдықтарға байланысты болады. Инертті қалдықтардың бір бөлігі түпкілікті өнімнің сапа талаптарына сәйкестігі расталғаннан кейін қайта өңделіп, қайталап пайдаланылуы мүмкін. Жабдыққа техникалық қызмет көрсетуден шығатын қалдықтар, сүзгі материалдары мен химиялық реагенттер олардың сипаттамалары мен рұқсат етілген тәсілдері айқындалып, бөлек есепке алынуға тиіс.</w:t>
      </w:r>
    </w:p>
    <w:p w14:paraId="34B69C02">
      <w:pPr>
        <w:spacing w:line="240" w:lineRule="auto"/>
        <w:rPr>
          <w:rFonts w:ascii="Cambria" w:hAnsi="Cambria"/>
          <w:lang w:val="ru-RU"/>
        </w:rPr>
      </w:pPr>
      <w:r>
        <w:rPr>
          <w:rFonts w:ascii="Cambria" w:hAnsi="Cambria"/>
          <w:lang w:val="ru-RU"/>
        </w:rPr>
        <w:t>Теміржол және автомобиль жолдарымен, әсіресе ауыр темірбетон конструкцияларын тиеу кезінде жүк тасымалдау қосымша әсер туғызуы мүмкін. Әсердің маңыздылығы рейстер санына, маршруттарға, аумақ ішіндегі қозғалыс жылдамдығына, жол жабынының жай-күйіне және тиеу техникасының жұмыс шарттарына байланысты. Дайын бұйымдарды ашық алаңда сақтау жеке қойма салуды өздігінен талап етпейді, алайда сақтау алаңдарын шаңды, ластанған жерүсті ағынын және көлік маневрлерінің қауіпсіздігін ескере отырып жобалау қажет.</w:t>
      </w:r>
    </w:p>
    <w:p w14:paraId="5C8BC42E">
      <w:pPr>
        <w:pStyle w:val="75"/>
        <w:spacing w:line="240" w:lineRule="auto"/>
        <w:rPr>
          <w:rFonts w:ascii="Cambria" w:hAnsi="Cambria"/>
          <w:lang w:val="ru-RU"/>
        </w:rPr>
      </w:pPr>
      <w:r>
        <w:rPr>
          <w:rFonts w:ascii="Cambria" w:hAnsi="Cambria"/>
          <w:lang w:val="ru-RU"/>
        </w:rPr>
        <w:t>4.2-кесте – Аумақ пен ресурстарды пайдаланудың алдын ала сандық ауқымы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2939"/>
        <w:gridCol w:w="2152"/>
        <w:gridCol w:w="4398"/>
      </w:tblGrid>
      <w:tr w14:paraId="2A34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0" w:type="auto"/>
            <w:shd w:val="clear" w:color="auto" w:fill="23486F"/>
            <w:vAlign w:val="center"/>
          </w:tcPr>
          <w:p w14:paraId="78F1EF2D">
            <w:pPr>
              <w:spacing w:after="0" w:line="240" w:lineRule="auto"/>
              <w:ind w:firstLine="0"/>
              <w:jc w:val="center"/>
              <w:rPr>
                <w:rFonts w:ascii="Cambria" w:hAnsi="Cambria"/>
              </w:rPr>
            </w:pPr>
            <w:r>
              <w:rPr>
                <w:rFonts w:ascii="Cambria" w:hAnsi="Cambria"/>
                <w:b/>
                <w:color w:val="FFFFFF"/>
                <w:sz w:val="17"/>
              </w:rPr>
              <w:t>Көрсеткіш</w:t>
            </w:r>
          </w:p>
        </w:tc>
        <w:tc>
          <w:tcPr>
            <w:tcW w:w="0" w:type="auto"/>
            <w:shd w:val="clear" w:color="auto" w:fill="23486F"/>
            <w:vAlign w:val="center"/>
          </w:tcPr>
          <w:p w14:paraId="747182B6">
            <w:pPr>
              <w:spacing w:after="0" w:line="240" w:lineRule="auto"/>
              <w:ind w:firstLine="0"/>
              <w:jc w:val="center"/>
              <w:rPr>
                <w:rFonts w:ascii="Cambria" w:hAnsi="Cambria"/>
              </w:rPr>
            </w:pPr>
            <w:r>
              <w:rPr>
                <w:rFonts w:ascii="Cambria" w:hAnsi="Cambria"/>
                <w:b/>
                <w:color w:val="FFFFFF"/>
                <w:sz w:val="17"/>
              </w:rPr>
              <w:t>Есептік мән</w:t>
            </w:r>
          </w:p>
        </w:tc>
        <w:tc>
          <w:tcPr>
            <w:tcW w:w="0" w:type="auto"/>
            <w:shd w:val="clear" w:color="auto" w:fill="23486F"/>
            <w:vAlign w:val="center"/>
          </w:tcPr>
          <w:p w14:paraId="41B07994">
            <w:pPr>
              <w:spacing w:after="0" w:line="240" w:lineRule="auto"/>
              <w:ind w:firstLine="0"/>
              <w:jc w:val="center"/>
              <w:rPr>
                <w:rFonts w:ascii="Cambria" w:hAnsi="Cambria"/>
              </w:rPr>
            </w:pPr>
            <w:r>
              <w:rPr>
                <w:rFonts w:ascii="Cambria" w:hAnsi="Cambria"/>
                <w:b/>
                <w:color w:val="FFFFFF"/>
                <w:sz w:val="17"/>
              </w:rPr>
              <w:t>Бағалаудың негізі мен шектеуі</w:t>
            </w:r>
          </w:p>
        </w:tc>
      </w:tr>
      <w:tr w14:paraId="6868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4A957CF8">
            <w:pPr>
              <w:spacing w:after="0" w:line="240" w:lineRule="auto"/>
              <w:ind w:firstLine="0"/>
              <w:jc w:val="left"/>
              <w:rPr>
                <w:rFonts w:ascii="Cambria" w:hAnsi="Cambria"/>
              </w:rPr>
            </w:pPr>
            <w:r>
              <w:rPr>
                <w:rFonts w:ascii="Cambria" w:hAnsi="Cambria"/>
                <w:color w:val="1C2839"/>
                <w:sz w:val="17"/>
              </w:rPr>
              <w:t>Индустриялық аймақтың ауданы</w:t>
            </w:r>
          </w:p>
        </w:tc>
        <w:tc>
          <w:tcPr>
            <w:tcW w:w="0" w:type="auto"/>
            <w:vAlign w:val="center"/>
          </w:tcPr>
          <w:p w14:paraId="63E804D7">
            <w:pPr>
              <w:spacing w:after="0" w:line="240" w:lineRule="auto"/>
              <w:ind w:firstLine="0"/>
              <w:jc w:val="center"/>
              <w:rPr>
                <w:rFonts w:ascii="Cambria" w:hAnsi="Cambria"/>
                <w:lang w:val="ru-RU"/>
              </w:rPr>
            </w:pPr>
            <w:r>
              <w:rPr>
                <w:rFonts w:ascii="Cambria" w:hAnsi="Cambria"/>
                <w:color w:val="1C2839"/>
                <w:sz w:val="17"/>
                <w:lang w:val="ru-RU"/>
              </w:rPr>
              <w:t>200 га, оның ішінде 122 га және 78 га</w:t>
            </w:r>
          </w:p>
        </w:tc>
        <w:tc>
          <w:tcPr>
            <w:tcW w:w="0" w:type="auto"/>
            <w:vAlign w:val="center"/>
          </w:tcPr>
          <w:p w14:paraId="570EA8A3">
            <w:pPr>
              <w:spacing w:after="0" w:line="240" w:lineRule="auto"/>
              <w:ind w:firstLine="0"/>
              <w:jc w:val="left"/>
              <w:rPr>
                <w:rFonts w:ascii="Cambria" w:hAnsi="Cambria"/>
                <w:lang w:val="ru-RU"/>
              </w:rPr>
            </w:pPr>
            <w:r>
              <w:rPr>
                <w:rFonts w:ascii="Cambria" w:hAnsi="Cambria"/>
                <w:color w:val="1C2839"/>
                <w:sz w:val="17"/>
                <w:lang w:val="ru-RU"/>
              </w:rPr>
              <w:t>Қабылданған аумақтық орналастыру нұсқасы; шекаралары белгіленуге тиіс.</w:t>
            </w:r>
          </w:p>
        </w:tc>
      </w:tr>
      <w:tr w14:paraId="0D9A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0406E543">
            <w:pPr>
              <w:spacing w:after="0" w:line="240" w:lineRule="auto"/>
              <w:ind w:firstLine="0"/>
              <w:jc w:val="left"/>
              <w:rPr>
                <w:rFonts w:ascii="Cambria" w:hAnsi="Cambria"/>
                <w:lang w:val="ru-RU"/>
              </w:rPr>
            </w:pPr>
            <w:r>
              <w:rPr>
                <w:rFonts w:ascii="Cambria" w:hAnsi="Cambria"/>
                <w:color w:val="1C2839"/>
                <w:sz w:val="17"/>
                <w:lang w:val="ru-RU"/>
              </w:rPr>
              <w:t>Бастапқы жер пайдаланудан бөлінетін үлес</w:t>
            </w:r>
          </w:p>
        </w:tc>
        <w:tc>
          <w:tcPr>
            <w:tcW w:w="0" w:type="auto"/>
            <w:shd w:val="clear" w:color="auto" w:fill="F0F5F9"/>
            <w:vAlign w:val="center"/>
          </w:tcPr>
          <w:p w14:paraId="1795F736">
            <w:pPr>
              <w:spacing w:after="0" w:line="240" w:lineRule="auto"/>
              <w:ind w:firstLine="0"/>
              <w:jc w:val="center"/>
              <w:rPr>
                <w:rFonts w:ascii="Cambria" w:hAnsi="Cambria"/>
              </w:rPr>
            </w:pPr>
            <w:r>
              <w:rPr>
                <w:rFonts w:ascii="Cambria" w:hAnsi="Cambria"/>
                <w:color w:val="1C2839"/>
                <w:sz w:val="17"/>
              </w:rPr>
              <w:t>Шамамен 9,07%</w:t>
            </w:r>
          </w:p>
        </w:tc>
        <w:tc>
          <w:tcPr>
            <w:tcW w:w="0" w:type="auto"/>
            <w:shd w:val="clear" w:color="auto" w:fill="F0F5F9"/>
            <w:vAlign w:val="center"/>
          </w:tcPr>
          <w:p w14:paraId="6F398B1C">
            <w:pPr>
              <w:spacing w:after="0" w:line="240" w:lineRule="auto"/>
              <w:ind w:firstLine="0"/>
              <w:jc w:val="left"/>
              <w:rPr>
                <w:rFonts w:ascii="Cambria" w:hAnsi="Cambria"/>
                <w:lang w:val="ru-RU"/>
              </w:rPr>
            </w:pPr>
            <w:r>
              <w:rPr>
                <w:rFonts w:ascii="Cambria" w:hAnsi="Cambria"/>
                <w:color w:val="1C2839"/>
                <w:sz w:val="17"/>
                <w:lang w:val="ru-RU"/>
              </w:rPr>
              <w:t>200 га / 2 204 га × 100%; топырақтың нақты бұзылу көлемін көрсетпейді.</w:t>
            </w:r>
          </w:p>
        </w:tc>
      </w:tr>
      <w:tr w14:paraId="4676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02544479">
            <w:pPr>
              <w:spacing w:after="0" w:line="240" w:lineRule="auto"/>
              <w:ind w:firstLine="0"/>
              <w:jc w:val="left"/>
              <w:rPr>
                <w:rFonts w:ascii="Cambria" w:hAnsi="Cambria"/>
              </w:rPr>
            </w:pPr>
            <w:r>
              <w:rPr>
                <w:rFonts w:ascii="Cambria" w:hAnsi="Cambria"/>
                <w:color w:val="1C2839"/>
                <w:sz w:val="17"/>
              </w:rPr>
              <w:t>Болжанатын өндірістер саны</w:t>
            </w:r>
          </w:p>
        </w:tc>
        <w:tc>
          <w:tcPr>
            <w:tcW w:w="0" w:type="auto"/>
            <w:vAlign w:val="center"/>
          </w:tcPr>
          <w:p w14:paraId="75D37786">
            <w:pPr>
              <w:spacing w:after="0" w:line="240" w:lineRule="auto"/>
              <w:ind w:firstLine="0"/>
              <w:jc w:val="center"/>
              <w:rPr>
                <w:rFonts w:ascii="Cambria" w:hAnsi="Cambria"/>
              </w:rPr>
            </w:pPr>
            <w:r>
              <w:rPr>
                <w:rFonts w:ascii="Cambria" w:hAnsi="Cambria"/>
                <w:color w:val="1C2839"/>
                <w:sz w:val="17"/>
              </w:rPr>
              <w:t>7 жоба</w:t>
            </w:r>
          </w:p>
        </w:tc>
        <w:tc>
          <w:tcPr>
            <w:tcW w:w="0" w:type="auto"/>
            <w:vAlign w:val="center"/>
          </w:tcPr>
          <w:p w14:paraId="4C9D37E8">
            <w:pPr>
              <w:spacing w:after="0" w:line="240" w:lineRule="auto"/>
              <w:ind w:firstLine="0"/>
              <w:jc w:val="left"/>
              <w:rPr>
                <w:rFonts w:ascii="Cambria" w:hAnsi="Cambria"/>
                <w:lang w:val="ru-RU"/>
              </w:rPr>
            </w:pPr>
            <w:r>
              <w:rPr>
                <w:rFonts w:ascii="Cambria" w:hAnsi="Cambria"/>
                <w:color w:val="1C2839"/>
                <w:sz w:val="17"/>
                <w:lang w:val="ru-RU"/>
              </w:rPr>
              <w:t>Келісілген инвестициялық портфель; келіссөз кезеңінде нақты инвесторлар айқындалмаған.</w:t>
            </w:r>
          </w:p>
        </w:tc>
      </w:tr>
      <w:tr w14:paraId="2036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3DDE55D9">
            <w:pPr>
              <w:spacing w:after="0" w:line="240" w:lineRule="auto"/>
              <w:ind w:firstLine="0"/>
              <w:jc w:val="left"/>
              <w:rPr>
                <w:rFonts w:ascii="Cambria" w:hAnsi="Cambria"/>
                <w:sz w:val="17"/>
                <w:szCs w:val="17"/>
                <w:lang w:val="ru-RU"/>
              </w:rPr>
            </w:pPr>
            <w:r>
              <w:rPr>
                <w:rFonts w:ascii="Cambria" w:hAnsi="Cambria"/>
                <w:sz w:val="17"/>
                <w:szCs w:val="17"/>
                <w:lang w:val="ru-RU"/>
              </w:rPr>
              <w:t>Әлеуетті инвесторлар жобаларына арналған аумақ</w:t>
            </w:r>
          </w:p>
        </w:tc>
        <w:tc>
          <w:tcPr>
            <w:tcW w:w="0" w:type="auto"/>
            <w:shd w:val="clear" w:color="auto" w:fill="F0F5F9"/>
            <w:vAlign w:val="center"/>
          </w:tcPr>
          <w:p w14:paraId="15904832">
            <w:pPr>
              <w:spacing w:after="0" w:line="240" w:lineRule="auto"/>
              <w:ind w:firstLine="0"/>
              <w:jc w:val="center"/>
              <w:rPr>
                <w:rFonts w:ascii="Cambria" w:hAnsi="Cambria"/>
                <w:sz w:val="17"/>
                <w:szCs w:val="17"/>
                <w:lang w:val="ru-RU"/>
              </w:rPr>
            </w:pPr>
            <w:r>
              <w:rPr>
                <w:rFonts w:ascii="Cambria" w:hAnsi="Cambria"/>
                <w:sz w:val="17"/>
                <w:szCs w:val="17"/>
                <w:lang w:val="ru-RU"/>
              </w:rPr>
              <w:t>53 га</w:t>
            </w:r>
          </w:p>
        </w:tc>
        <w:tc>
          <w:tcPr>
            <w:tcW w:w="0" w:type="auto"/>
            <w:shd w:val="clear" w:color="auto" w:fill="F0F5F9"/>
            <w:vAlign w:val="center"/>
          </w:tcPr>
          <w:p w14:paraId="5B2E7476">
            <w:pPr>
              <w:spacing w:after="0" w:line="240" w:lineRule="auto"/>
              <w:ind w:firstLine="0"/>
              <w:jc w:val="left"/>
              <w:rPr>
                <w:rFonts w:ascii="Cambria" w:hAnsi="Cambria"/>
                <w:sz w:val="17"/>
                <w:szCs w:val="17"/>
                <w:lang w:val="ru-RU"/>
              </w:rPr>
            </w:pPr>
            <w:r>
              <w:rPr>
                <w:rFonts w:ascii="Cambria" w:hAnsi="Cambria"/>
                <w:color w:val="1C2839"/>
                <w:sz w:val="17"/>
                <w:lang w:val="ru-RU"/>
              </w:rPr>
              <w:t>Келісілген инвестициялық портфель; келіссөз кезеңінде нақты инвесторлар айқындалмаған.</w:t>
            </w:r>
          </w:p>
        </w:tc>
      </w:tr>
      <w:tr w14:paraId="0AD9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21B007B">
            <w:pPr>
              <w:spacing w:after="0" w:line="240" w:lineRule="auto"/>
              <w:ind w:firstLine="0"/>
              <w:jc w:val="left"/>
              <w:rPr>
                <w:rFonts w:ascii="Cambria" w:hAnsi="Cambria"/>
                <w:color w:val="1C2839"/>
                <w:sz w:val="17"/>
                <w:szCs w:val="17"/>
                <w:lang w:val="ru-RU"/>
              </w:rPr>
            </w:pPr>
            <w:r>
              <w:rPr>
                <w:rFonts w:ascii="Cambria" w:hAnsi="Cambria"/>
                <w:color w:val="1C2839"/>
                <w:sz w:val="17"/>
                <w:szCs w:val="17"/>
                <w:lang w:val="ru-RU"/>
              </w:rPr>
              <w:t>Бос аумақ</w:t>
            </w:r>
          </w:p>
        </w:tc>
        <w:tc>
          <w:tcPr>
            <w:tcW w:w="0" w:type="auto"/>
            <w:vAlign w:val="center"/>
          </w:tcPr>
          <w:p w14:paraId="50EE3591">
            <w:pPr>
              <w:spacing w:after="0" w:line="240" w:lineRule="auto"/>
              <w:ind w:firstLine="0"/>
              <w:jc w:val="center"/>
              <w:rPr>
                <w:rFonts w:ascii="Cambria" w:hAnsi="Cambria"/>
                <w:color w:val="1C2839"/>
                <w:sz w:val="17"/>
                <w:szCs w:val="17"/>
                <w:lang w:val="ru-RU"/>
              </w:rPr>
            </w:pPr>
            <w:r>
              <w:rPr>
                <w:rFonts w:ascii="Cambria" w:hAnsi="Cambria"/>
                <w:color w:val="1C2839"/>
                <w:sz w:val="17"/>
                <w:szCs w:val="17"/>
                <w:lang w:val="ru-RU"/>
              </w:rPr>
              <w:t>147 га</w:t>
            </w:r>
          </w:p>
        </w:tc>
        <w:tc>
          <w:tcPr>
            <w:tcW w:w="0" w:type="auto"/>
            <w:vAlign w:val="center"/>
          </w:tcPr>
          <w:p w14:paraId="5D89CF12">
            <w:pPr>
              <w:spacing w:after="0" w:line="240" w:lineRule="auto"/>
              <w:ind w:firstLine="0"/>
              <w:jc w:val="left"/>
              <w:rPr>
                <w:rFonts w:ascii="Cambria" w:hAnsi="Cambria"/>
                <w:color w:val="1C2839"/>
                <w:sz w:val="17"/>
                <w:szCs w:val="17"/>
                <w:lang w:val="ru-RU"/>
              </w:rPr>
            </w:pPr>
            <w:r>
              <w:rPr>
                <w:rFonts w:ascii="Cambria" w:hAnsi="Cambria"/>
                <w:color w:val="1C2839"/>
                <w:sz w:val="17"/>
                <w:lang w:val="ru-RU"/>
              </w:rPr>
              <w:t>Өңдеу өнеркәсібінің басқа жобаларына арналған бос алаңдар (№ 1 алаңда 97 га және № 2 алаңда 50 га).</w:t>
            </w:r>
          </w:p>
        </w:tc>
      </w:tr>
      <w:tr w14:paraId="7253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505E3A9A">
            <w:pPr>
              <w:spacing w:after="0" w:line="240" w:lineRule="auto"/>
              <w:ind w:firstLine="0"/>
              <w:jc w:val="left"/>
              <w:rPr>
                <w:rFonts w:ascii="Cambria" w:hAnsi="Cambria"/>
              </w:rPr>
            </w:pPr>
            <w:r>
              <w:rPr>
                <w:rFonts w:ascii="Cambria" w:hAnsi="Cambria"/>
                <w:color w:val="1C2839"/>
                <w:sz w:val="17"/>
              </w:rPr>
              <w:t>Есептік электр қуаты</w:t>
            </w:r>
          </w:p>
        </w:tc>
        <w:tc>
          <w:tcPr>
            <w:tcW w:w="0" w:type="auto"/>
            <w:shd w:val="clear" w:color="auto" w:fill="F0F5F9"/>
            <w:vAlign w:val="center"/>
          </w:tcPr>
          <w:p w14:paraId="49FB1690">
            <w:pPr>
              <w:spacing w:after="0" w:line="240" w:lineRule="auto"/>
              <w:ind w:firstLine="0"/>
              <w:jc w:val="center"/>
              <w:rPr>
                <w:rFonts w:ascii="Cambria" w:hAnsi="Cambria"/>
              </w:rPr>
            </w:pPr>
            <w:r>
              <w:rPr>
                <w:rFonts w:ascii="Cambria" w:hAnsi="Cambria"/>
                <w:color w:val="1C2839"/>
                <w:sz w:val="17"/>
              </w:rPr>
              <w:t>10 МВт</w:t>
            </w:r>
          </w:p>
        </w:tc>
        <w:tc>
          <w:tcPr>
            <w:tcW w:w="0" w:type="auto"/>
            <w:shd w:val="clear" w:color="auto" w:fill="F0F5F9"/>
            <w:vAlign w:val="center"/>
          </w:tcPr>
          <w:p w14:paraId="409D6C60">
            <w:pPr>
              <w:spacing w:after="0" w:line="240" w:lineRule="auto"/>
              <w:ind w:firstLine="0"/>
              <w:jc w:val="left"/>
              <w:rPr>
                <w:rFonts w:ascii="Cambria" w:hAnsi="Cambria"/>
                <w:lang w:val="ru-RU"/>
              </w:rPr>
            </w:pPr>
            <w:r>
              <w:rPr>
                <w:rFonts w:ascii="Cambria" w:hAnsi="Cambria"/>
                <w:color w:val="1C2839"/>
                <w:sz w:val="17"/>
                <w:lang w:val="ru-RU"/>
              </w:rPr>
              <w:t>Цемент зауытында резерв бар деген тұжырымдамаға арналған жорамал.</w:t>
            </w:r>
          </w:p>
        </w:tc>
      </w:tr>
      <w:tr w14:paraId="0D3A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0933802C">
            <w:pPr>
              <w:spacing w:after="0" w:line="240" w:lineRule="auto"/>
              <w:ind w:firstLine="0"/>
              <w:jc w:val="left"/>
              <w:rPr>
                <w:rFonts w:ascii="Cambria" w:hAnsi="Cambria"/>
                <w:lang w:val="ru-RU"/>
              </w:rPr>
            </w:pPr>
            <w:r>
              <w:rPr>
                <w:rFonts w:ascii="Cambria" w:hAnsi="Cambria"/>
                <w:color w:val="1C2839"/>
                <w:sz w:val="17"/>
                <w:lang w:val="ru-RU"/>
              </w:rPr>
              <w:t>Суға тәуліктік алдын ала қажеттілік</w:t>
            </w:r>
          </w:p>
        </w:tc>
        <w:tc>
          <w:tcPr>
            <w:tcW w:w="0" w:type="auto"/>
            <w:vAlign w:val="center"/>
          </w:tcPr>
          <w:p w14:paraId="17C8C0F9">
            <w:pPr>
              <w:spacing w:after="0" w:line="240" w:lineRule="auto"/>
              <w:ind w:firstLine="0"/>
              <w:jc w:val="center"/>
              <w:rPr>
                <w:rFonts w:ascii="Cambria" w:hAnsi="Cambria"/>
              </w:rPr>
            </w:pPr>
            <w:r>
              <w:rPr>
                <w:rFonts w:ascii="Cambria" w:hAnsi="Cambria"/>
                <w:color w:val="1C2839"/>
                <w:sz w:val="17"/>
              </w:rPr>
              <w:t>300–500 м³/тәулік</w:t>
            </w:r>
          </w:p>
        </w:tc>
        <w:tc>
          <w:tcPr>
            <w:tcW w:w="0" w:type="auto"/>
            <w:vAlign w:val="center"/>
          </w:tcPr>
          <w:p w14:paraId="0B9FD1A6">
            <w:pPr>
              <w:spacing w:after="0" w:line="240" w:lineRule="auto"/>
              <w:ind w:firstLine="0"/>
              <w:jc w:val="left"/>
              <w:rPr>
                <w:rFonts w:ascii="Cambria" w:hAnsi="Cambria"/>
                <w:lang w:val="ru-RU"/>
              </w:rPr>
            </w:pPr>
            <w:r>
              <w:rPr>
                <w:rFonts w:ascii="Cambria" w:hAnsi="Cambria"/>
                <w:color w:val="1C2839"/>
                <w:sz w:val="17"/>
                <w:lang w:val="ru-RU"/>
              </w:rPr>
              <w:t>Жабдық таңдалып, су шаруашылығы схемасы әзірленгенге дейінгі ірілендірілген жорамал.</w:t>
            </w:r>
          </w:p>
        </w:tc>
      </w:tr>
      <w:tr w14:paraId="10B3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18938885">
            <w:pPr>
              <w:spacing w:after="0" w:line="240" w:lineRule="auto"/>
              <w:ind w:firstLine="0"/>
              <w:jc w:val="left"/>
              <w:rPr>
                <w:rFonts w:ascii="Cambria" w:hAnsi="Cambria"/>
                <w:lang w:val="ru-RU"/>
              </w:rPr>
            </w:pPr>
            <w:r>
              <w:rPr>
                <w:rFonts w:ascii="Cambria" w:hAnsi="Cambria"/>
                <w:color w:val="1C2839"/>
                <w:sz w:val="17"/>
                <w:lang w:val="ru-RU"/>
              </w:rPr>
              <w:t>Судың жылдық қажеттілігінің баламасы</w:t>
            </w:r>
          </w:p>
        </w:tc>
        <w:tc>
          <w:tcPr>
            <w:tcW w:w="0" w:type="auto"/>
            <w:shd w:val="clear" w:color="auto" w:fill="F0F5F9"/>
            <w:vAlign w:val="center"/>
          </w:tcPr>
          <w:p w14:paraId="6EE91C5F">
            <w:pPr>
              <w:spacing w:after="0" w:line="240" w:lineRule="auto"/>
              <w:ind w:firstLine="0"/>
              <w:jc w:val="center"/>
              <w:rPr>
                <w:rFonts w:ascii="Cambria" w:hAnsi="Cambria"/>
              </w:rPr>
            </w:pPr>
            <w:r>
              <w:rPr>
                <w:rFonts w:ascii="Cambria" w:hAnsi="Cambria"/>
                <w:color w:val="1C2839"/>
                <w:sz w:val="17"/>
              </w:rPr>
              <w:t>90–150 мың м³/жыл</w:t>
            </w:r>
          </w:p>
        </w:tc>
        <w:tc>
          <w:tcPr>
            <w:tcW w:w="0" w:type="auto"/>
            <w:shd w:val="clear" w:color="auto" w:fill="F0F5F9"/>
            <w:vAlign w:val="center"/>
          </w:tcPr>
          <w:p w14:paraId="7FF26257">
            <w:pPr>
              <w:spacing w:after="0" w:line="240" w:lineRule="auto"/>
              <w:ind w:firstLine="0"/>
              <w:jc w:val="left"/>
              <w:rPr>
                <w:rFonts w:ascii="Cambria" w:hAnsi="Cambria"/>
                <w:lang w:val="ru-RU"/>
              </w:rPr>
            </w:pPr>
            <w:r>
              <w:rPr>
                <w:rFonts w:ascii="Cambria" w:hAnsi="Cambria"/>
                <w:color w:val="1C2839"/>
                <w:sz w:val="17"/>
                <w:lang w:val="ru-RU"/>
              </w:rPr>
              <w:t>Жылына 300 өндірістік күнге есептелген; су алу/ағызу көлеміне тең емес.</w:t>
            </w:r>
          </w:p>
        </w:tc>
      </w:tr>
      <w:tr w14:paraId="7FA9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58A576AB">
            <w:pPr>
              <w:spacing w:after="0" w:line="240" w:lineRule="auto"/>
              <w:ind w:firstLine="0"/>
              <w:jc w:val="left"/>
              <w:rPr>
                <w:rFonts w:ascii="Cambria" w:hAnsi="Cambria"/>
                <w:lang w:val="ru-RU"/>
              </w:rPr>
            </w:pPr>
            <w:r>
              <w:rPr>
                <w:rFonts w:ascii="Cambria" w:hAnsi="Cambria"/>
                <w:color w:val="1C2839"/>
                <w:sz w:val="17"/>
                <w:lang w:val="ru-RU"/>
              </w:rPr>
              <w:t>Шығарындылар массасы, қалдықтар мен ағынды сулардың түзілуі</w:t>
            </w:r>
          </w:p>
        </w:tc>
        <w:tc>
          <w:tcPr>
            <w:tcW w:w="0" w:type="auto"/>
            <w:vAlign w:val="center"/>
          </w:tcPr>
          <w:p w14:paraId="5EC65197">
            <w:pPr>
              <w:spacing w:after="0" w:line="240" w:lineRule="auto"/>
              <w:ind w:firstLine="0"/>
              <w:jc w:val="center"/>
              <w:rPr>
                <w:rFonts w:ascii="Cambria" w:hAnsi="Cambria"/>
              </w:rPr>
            </w:pPr>
            <w:r>
              <w:rPr>
                <w:rFonts w:ascii="Cambria" w:hAnsi="Cambria"/>
                <w:color w:val="1C2839"/>
                <w:sz w:val="17"/>
              </w:rPr>
              <w:t>Айқындалмаған</w:t>
            </w:r>
          </w:p>
        </w:tc>
        <w:tc>
          <w:tcPr>
            <w:tcW w:w="0" w:type="auto"/>
            <w:vAlign w:val="center"/>
          </w:tcPr>
          <w:p w14:paraId="7934F507">
            <w:pPr>
              <w:spacing w:after="0" w:line="240" w:lineRule="auto"/>
              <w:ind w:firstLine="0"/>
              <w:jc w:val="left"/>
              <w:rPr>
                <w:rFonts w:ascii="Cambria" w:hAnsi="Cambria"/>
                <w:lang w:val="ru-RU"/>
              </w:rPr>
            </w:pPr>
            <w:r>
              <w:rPr>
                <w:rFonts w:ascii="Cambria" w:hAnsi="Cambria"/>
                <w:color w:val="1C2839"/>
                <w:sz w:val="17"/>
                <w:lang w:val="ru-RU"/>
              </w:rPr>
              <w:t>Технологиялық теңгерімдер, жабдық паспорттары және жобалық есептер қажет.</w:t>
            </w:r>
          </w:p>
        </w:tc>
      </w:tr>
    </w:tbl>
    <w:p w14:paraId="4B3D453F">
      <w:pPr>
        <w:spacing w:line="240" w:lineRule="auto"/>
        <w:rPr>
          <w:rFonts w:ascii="Cambria" w:hAnsi="Cambria"/>
          <w:lang w:val="ru-RU"/>
        </w:rPr>
      </w:pPr>
      <w:r>
        <w:rPr>
          <w:rFonts w:ascii="Cambria" w:hAnsi="Cambria"/>
          <w:lang w:val="ru-RU"/>
        </w:rPr>
        <w:t>Ақтөбе облысы Байғанин ауданындағы «Байғанин» Индустриялық аймағына әсер етудің алдын ала сандық бағасы жалпы ауданы 200 га болатын екі алаңға жеті өндірістік кәсіпорынды орналастыру жоспары, болжанатын технологиялық процестер және инженерлік ресурстарға қажеттілік ескеріле отырып орындалды.</w:t>
      </w:r>
    </w:p>
    <w:p w14:paraId="08964FE4">
      <w:pPr>
        <w:spacing w:line="240" w:lineRule="auto"/>
        <w:rPr>
          <w:rFonts w:ascii="Cambria" w:hAnsi="Cambria"/>
          <w:lang w:val="ru-RU"/>
        </w:rPr>
      </w:pPr>
      <w:r>
        <w:rPr>
          <w:rFonts w:ascii="Cambria" w:hAnsi="Cambria"/>
          <w:lang w:val="ru-RU"/>
        </w:rPr>
        <w:t>Қоршаған ортаға ықтимал негізгі әсер жердің өзгеруіне, су ресурстарын тұтынуға, цемент пен толтырғыштарды өңдеу кезінде минералдық шаң шығарындыларына, өндіріс қалдықтарының түзілуіне және көлік қызметіне байланысты болады.</w:t>
      </w:r>
    </w:p>
    <w:p w14:paraId="098394AE">
      <w:pPr>
        <w:pStyle w:val="75"/>
        <w:keepNext/>
        <w:spacing w:line="240" w:lineRule="auto"/>
        <w:rPr>
          <w:rFonts w:ascii="Cambria" w:hAnsi="Cambria"/>
          <w:lang w:val="ru-RU"/>
        </w:rPr>
      </w:pPr>
      <w:r>
        <w:rPr>
          <w:rFonts w:ascii="Cambria" w:hAnsi="Cambria"/>
          <w:lang w:val="ru-RU"/>
        </w:rPr>
        <w:t>4.3-кесте – Индустриялық аймақтың экологиялық параметрлерін алдын ала сандық бағалау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6658"/>
        <w:gridCol w:w="2631"/>
      </w:tblGrid>
      <w:tr w14:paraId="5659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6658" w:type="dxa"/>
            <w:shd w:val="clear" w:color="auto" w:fill="23486F"/>
            <w:vAlign w:val="center"/>
          </w:tcPr>
          <w:p w14:paraId="488F5A02">
            <w:pPr>
              <w:spacing w:after="0" w:line="240" w:lineRule="auto"/>
              <w:ind w:firstLine="0"/>
              <w:jc w:val="center"/>
              <w:rPr>
                <w:rFonts w:ascii="Cambria" w:hAnsi="Cambria"/>
                <w:color w:val="FFFFFF" w:themeColor="background1"/>
                <w:sz w:val="17"/>
                <w:szCs w:val="17"/>
                <w14:textFill>
                  <w14:solidFill>
                    <w14:schemeClr w14:val="bg1"/>
                  </w14:solidFill>
                </w14:textFill>
              </w:rPr>
            </w:pPr>
            <w:r>
              <w:rPr>
                <w:rFonts w:ascii="Cambria" w:hAnsi="Cambria" w:eastAsia="Times New Roman" w:cs="Times New Roman"/>
                <w:b/>
                <w:bCs/>
                <w:color w:val="FFFFFF" w:themeColor="background1"/>
                <w:sz w:val="17"/>
                <w:szCs w:val="17"/>
                <w:lang w:val="ru-RU" w:eastAsia="ru-RU"/>
                <w14:textFill>
                  <w14:solidFill>
                    <w14:schemeClr w14:val="bg1"/>
                  </w14:solidFill>
                </w14:textFill>
              </w:rPr>
              <w:t>Көрсеткіш</w:t>
            </w:r>
          </w:p>
        </w:tc>
        <w:tc>
          <w:tcPr>
            <w:tcW w:w="2631" w:type="dxa"/>
            <w:shd w:val="clear" w:color="auto" w:fill="23486F"/>
            <w:vAlign w:val="center"/>
          </w:tcPr>
          <w:p w14:paraId="3E7CD738">
            <w:pPr>
              <w:spacing w:after="0" w:line="240" w:lineRule="auto"/>
              <w:ind w:firstLine="0"/>
              <w:jc w:val="center"/>
              <w:rPr>
                <w:rFonts w:ascii="Cambria" w:hAnsi="Cambria"/>
                <w:color w:val="FFFFFF" w:themeColor="background1"/>
                <w:sz w:val="17"/>
                <w:szCs w:val="17"/>
                <w14:textFill>
                  <w14:solidFill>
                    <w14:schemeClr w14:val="bg1"/>
                  </w14:solidFill>
                </w14:textFill>
              </w:rPr>
            </w:pPr>
            <w:r>
              <w:rPr>
                <w:rFonts w:ascii="Cambria" w:hAnsi="Cambria" w:eastAsia="Times New Roman" w:cs="Times New Roman"/>
                <w:b/>
                <w:bCs/>
                <w:color w:val="FFFFFF" w:themeColor="background1"/>
                <w:sz w:val="17"/>
                <w:szCs w:val="17"/>
                <w:lang w:val="ru-RU" w:eastAsia="ru-RU"/>
                <w14:textFill>
                  <w14:solidFill>
                    <w14:schemeClr w14:val="bg1"/>
                  </w14:solidFill>
                </w14:textFill>
              </w:rPr>
              <w:t>Есептік мән</w:t>
            </w:r>
          </w:p>
        </w:tc>
      </w:tr>
      <w:tr w14:paraId="5AB4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vAlign w:val="center"/>
          </w:tcPr>
          <w:p w14:paraId="39F931B1">
            <w:pPr>
              <w:spacing w:after="0" w:line="240" w:lineRule="auto"/>
              <w:ind w:firstLine="0"/>
              <w:jc w:val="left"/>
              <w:rPr>
                <w:rFonts w:ascii="Cambria" w:hAnsi="Cambria"/>
                <w:sz w:val="17"/>
                <w:szCs w:val="17"/>
              </w:rPr>
            </w:pPr>
            <w:r>
              <w:rPr>
                <w:rFonts w:ascii="Cambria" w:hAnsi="Cambria" w:eastAsia="Times New Roman" w:cs="Times New Roman"/>
                <w:color w:val="auto"/>
                <w:sz w:val="17"/>
                <w:szCs w:val="17"/>
                <w:lang w:val="ru-RU" w:eastAsia="ru-RU"/>
              </w:rPr>
              <w:t>ИА-ның жалпы ауданы</w:t>
            </w:r>
          </w:p>
        </w:tc>
        <w:tc>
          <w:tcPr>
            <w:tcW w:w="2631" w:type="dxa"/>
            <w:vAlign w:val="center"/>
          </w:tcPr>
          <w:p w14:paraId="27F41AC9">
            <w:pPr>
              <w:spacing w:after="0" w:line="240" w:lineRule="auto"/>
              <w:ind w:firstLine="0"/>
              <w:jc w:val="center"/>
              <w:rPr>
                <w:rFonts w:ascii="Cambria" w:hAnsi="Cambria"/>
                <w:sz w:val="17"/>
                <w:szCs w:val="17"/>
                <w:lang w:val="ru-RU"/>
              </w:rPr>
            </w:pPr>
            <w:r>
              <w:rPr>
                <w:rFonts w:ascii="Cambria" w:hAnsi="Cambria" w:eastAsia="Times New Roman" w:cs="Times New Roman"/>
                <w:color w:val="auto"/>
                <w:sz w:val="17"/>
                <w:szCs w:val="17"/>
                <w:lang w:val="ru-RU" w:eastAsia="ru-RU"/>
              </w:rPr>
              <w:t>200 га (2 000 мың м²)</w:t>
            </w:r>
          </w:p>
        </w:tc>
      </w:tr>
      <w:tr w14:paraId="3B68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shd w:val="clear" w:color="auto" w:fill="F0F5F9"/>
            <w:vAlign w:val="center"/>
          </w:tcPr>
          <w:p w14:paraId="52583AED">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Өндірістік объектілер саны</w:t>
            </w:r>
          </w:p>
        </w:tc>
        <w:tc>
          <w:tcPr>
            <w:tcW w:w="2631" w:type="dxa"/>
            <w:shd w:val="clear" w:color="auto" w:fill="F0F5F9"/>
            <w:vAlign w:val="center"/>
          </w:tcPr>
          <w:p w14:paraId="1DD97BA1">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7</w:t>
            </w:r>
          </w:p>
        </w:tc>
      </w:tr>
      <w:tr w14:paraId="7AE5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vAlign w:val="center"/>
          </w:tcPr>
          <w:p w14:paraId="342A2741">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Топырақ жамылғысы бұзылады деп болжанатын жердің ауданы</w:t>
            </w:r>
          </w:p>
        </w:tc>
        <w:tc>
          <w:tcPr>
            <w:tcW w:w="2631" w:type="dxa"/>
            <w:vAlign w:val="center"/>
          </w:tcPr>
          <w:p w14:paraId="5030CAEB">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27–37 га</w:t>
            </w:r>
          </w:p>
        </w:tc>
      </w:tr>
      <w:tr w14:paraId="0BE4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shd w:val="clear" w:color="auto" w:fill="F0F5F9"/>
            <w:vAlign w:val="center"/>
          </w:tcPr>
          <w:p w14:paraId="514D9B99">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Алынатын құнарлы қабаттың есептік көлемі</w:t>
            </w:r>
          </w:p>
        </w:tc>
        <w:tc>
          <w:tcPr>
            <w:tcW w:w="2631" w:type="dxa"/>
            <w:shd w:val="clear" w:color="auto" w:fill="F0F5F9"/>
            <w:vAlign w:val="center"/>
          </w:tcPr>
          <w:p w14:paraId="29570EEE">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40–74 мың м³</w:t>
            </w:r>
          </w:p>
        </w:tc>
      </w:tr>
      <w:tr w14:paraId="771E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vAlign w:val="center"/>
          </w:tcPr>
          <w:p w14:paraId="59D5869A">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Өндірістік және шаруашылық-тұрмыстық суға қажеттілік</w:t>
            </w:r>
          </w:p>
        </w:tc>
        <w:tc>
          <w:tcPr>
            <w:tcW w:w="2631" w:type="dxa"/>
            <w:vAlign w:val="center"/>
          </w:tcPr>
          <w:p w14:paraId="6F99B76E">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300–500 м³/тәулік</w:t>
            </w:r>
          </w:p>
        </w:tc>
      </w:tr>
      <w:tr w14:paraId="3C2A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shd w:val="clear" w:color="auto" w:fill="F0F5F9"/>
            <w:vAlign w:val="center"/>
          </w:tcPr>
          <w:p w14:paraId="78E8E46B">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300 жұмыс күні болғандағы судың жылдық қажеттілігі</w:t>
            </w:r>
          </w:p>
        </w:tc>
        <w:tc>
          <w:tcPr>
            <w:tcW w:w="2631" w:type="dxa"/>
            <w:shd w:val="clear" w:color="auto" w:fill="F0F5F9"/>
            <w:vAlign w:val="center"/>
          </w:tcPr>
          <w:p w14:paraId="198FC94C">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90–150 мың м³</w:t>
            </w:r>
          </w:p>
        </w:tc>
      </w:tr>
      <w:tr w14:paraId="0208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vAlign w:val="center"/>
          </w:tcPr>
          <w:p w14:paraId="3592D487">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Жергілікті шаң ұстау сүзгілерінің тиімділігі бойынша белгіленген технологиялық бағдар</w:t>
            </w:r>
          </w:p>
        </w:tc>
        <w:tc>
          <w:tcPr>
            <w:tcW w:w="2631" w:type="dxa"/>
            <w:vAlign w:val="center"/>
          </w:tcPr>
          <w:p w14:paraId="5CF01955">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Кемінде 99%</w:t>
            </w:r>
          </w:p>
        </w:tc>
      </w:tr>
      <w:tr w14:paraId="661F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6658" w:type="dxa"/>
            <w:shd w:val="clear" w:color="auto" w:fill="F0F5F9"/>
            <w:vAlign w:val="center"/>
          </w:tcPr>
          <w:p w14:paraId="5C04B123">
            <w:pPr>
              <w:spacing w:after="0" w:line="240" w:lineRule="auto"/>
              <w:ind w:firstLine="0"/>
              <w:jc w:val="left"/>
              <w:rPr>
                <w:rFonts w:ascii="Cambria" w:hAnsi="Cambria"/>
                <w:sz w:val="17"/>
                <w:szCs w:val="17"/>
                <w:lang w:val="ru-RU"/>
              </w:rPr>
            </w:pPr>
            <w:r>
              <w:rPr>
                <w:rFonts w:ascii="Cambria" w:hAnsi="Cambria" w:eastAsia="Times New Roman" w:cs="Times New Roman"/>
                <w:color w:val="auto"/>
                <w:sz w:val="17"/>
                <w:szCs w:val="17"/>
                <w:lang w:val="ru-RU" w:eastAsia="ru-RU"/>
              </w:rPr>
              <w:t>Ең жақын елді мекен – Кенжалы ауылына дейінгі қашықтық</w:t>
            </w:r>
          </w:p>
        </w:tc>
        <w:tc>
          <w:tcPr>
            <w:tcW w:w="2631" w:type="dxa"/>
            <w:shd w:val="clear" w:color="auto" w:fill="F0F5F9"/>
            <w:vAlign w:val="center"/>
          </w:tcPr>
          <w:p w14:paraId="3B0C68DA">
            <w:pPr>
              <w:spacing w:after="0" w:line="240" w:lineRule="auto"/>
              <w:ind w:firstLine="0"/>
              <w:jc w:val="center"/>
              <w:rPr>
                <w:rFonts w:ascii="Cambria" w:hAnsi="Cambria"/>
                <w:sz w:val="17"/>
                <w:szCs w:val="17"/>
              </w:rPr>
            </w:pPr>
            <w:r>
              <w:rPr>
                <w:rFonts w:ascii="Cambria" w:hAnsi="Cambria" w:eastAsia="Times New Roman" w:cs="Times New Roman"/>
                <w:color w:val="auto"/>
                <w:sz w:val="17"/>
                <w:szCs w:val="17"/>
                <w:lang w:val="ru-RU" w:eastAsia="ru-RU"/>
              </w:rPr>
              <w:t>Шамамен 8 км</w:t>
            </w:r>
          </w:p>
        </w:tc>
      </w:tr>
    </w:tbl>
    <w:p w14:paraId="62E0008B">
      <w:pPr>
        <w:pStyle w:val="75"/>
        <w:spacing w:line="240" w:lineRule="auto"/>
        <w:rPr>
          <w:rFonts w:ascii="Cambria" w:hAnsi="Cambria"/>
          <w:lang w:val="ru-RU"/>
        </w:rPr>
      </w:pPr>
      <w:r>
        <w:rPr>
          <w:rFonts w:ascii="Cambria" w:hAnsi="Cambria"/>
          <w:lang w:val="ru-RU"/>
        </w:rPr>
        <w:t>Ескертпе. Жердің бұзылуы мен құнарлы қабат көлемінің көрсеткіштері әлеуетті инвесторлардың жобалары алып жатқан аумақтың (53 га) 50–70%-ы игеріледі деген алдын ала сценарий және алынатын қабат қалыңдығы шартты түрде 0,15–0,20 м деген болжам бойынша есептелді. Бұл мәндер жоспарлау бағалары болып табылады және инженерлік-экологиялық іздестіру нәтижелері бойынша нақтыланады. Суға қажеттілік айналым циклдары нақтыланғанға дейінгі жалпы технологиялық сұранысты сипаттайды және табиғи су алу көлеміне тең емес.</w:t>
      </w:r>
    </w:p>
    <w:p w14:paraId="4681B7DA">
      <w:pPr>
        <w:spacing w:line="240" w:lineRule="auto"/>
        <w:rPr>
          <w:rFonts w:ascii="Cambria" w:hAnsi="Cambria"/>
          <w:lang w:val="ru-RU"/>
        </w:rPr>
      </w:pPr>
      <w:r>
        <w:rPr>
          <w:rFonts w:ascii="Cambria" w:hAnsi="Cambria"/>
          <w:b/>
          <w:bCs/>
          <w:lang w:val="ru-RU"/>
        </w:rPr>
        <w:t>Жер ресурстарына әсері.</w:t>
      </w:r>
      <w:r>
        <w:rPr>
          <w:rFonts w:ascii="Cambria" w:hAnsi="Cambria"/>
          <w:lang w:val="ru-RU"/>
        </w:rPr>
        <w:t xml:space="preserve"> Әлеуетті инвесторлардың жобалары алып жатқан аумақтың (53 га) есептік игерілу үлесі 50–70% болған жағдайда, топырақ жамылғысы ықтимал бұзылатын аумақ 27–37 га құрайды. Алынатын құнарлы қабаттың қалыңдығы шартты түрде 0,15–0,20 м болған кезде арнайы тәртіппен алынуға және сақталуға тиіс топырақ массасының көлемі 40–74 мың м³ деп бағаланады. Кейін рекультивация мен аумақты абаттандыруға пайдалану үшін жарамды құнарлы топырақты бөлек жинау көзделеді.</w:t>
      </w:r>
    </w:p>
    <w:p w14:paraId="7976FA7D">
      <w:pPr>
        <w:spacing w:line="240" w:lineRule="auto"/>
        <w:rPr>
          <w:rFonts w:ascii="Cambria" w:hAnsi="Cambria"/>
          <w:lang w:val="ru-RU"/>
        </w:rPr>
      </w:pPr>
      <w:r>
        <w:rPr>
          <w:rFonts w:ascii="Cambria" w:hAnsi="Cambria"/>
          <w:b/>
          <w:bCs/>
          <w:lang w:val="ru-RU"/>
        </w:rPr>
        <w:t>Су ресурстарына әсері.</w:t>
      </w:r>
      <w:r>
        <w:rPr>
          <w:rFonts w:ascii="Cambria" w:hAnsi="Cambria"/>
          <w:lang w:val="ru-RU"/>
        </w:rPr>
        <w:t xml:space="preserve"> Жеті өндірістің суға есептік қажеттілігі тәулігіне 300–500 м³ немесе жылына 300 жұмыс күні болғанда 90–150 мың м³ құрайды. Тұщы су тұтынуды азайту үшін айналымды сумен жабдықтау, өндірістік ағынды суларды жергілікті тазарту және технологиялық суды өндірістік процестерде жол берілетін жағдайларда қайталап пайдалану қарастырылады.</w:t>
      </w:r>
    </w:p>
    <w:p w14:paraId="64747482">
      <w:pPr>
        <w:spacing w:line="240" w:lineRule="auto"/>
        <w:rPr>
          <w:rFonts w:ascii="Cambria" w:hAnsi="Cambria"/>
          <w:lang w:val="ru-RU"/>
        </w:rPr>
      </w:pPr>
      <w:r>
        <w:rPr>
          <w:rFonts w:ascii="Cambria" w:hAnsi="Cambria"/>
          <w:b/>
          <w:bCs/>
          <w:lang w:val="ru-RU"/>
        </w:rPr>
        <w:t>Атмосфералық ауаға әсері.</w:t>
      </w:r>
      <w:r>
        <w:rPr>
          <w:rFonts w:ascii="Cambria" w:hAnsi="Cambria"/>
          <w:lang w:val="ru-RU"/>
        </w:rPr>
        <w:t xml:space="preserve"> Шығарындылардың негізгі ықтимал көздері құрғақ компоненттерді сақтау, тасымалдау, мөлшерлеу және араластыру операциялары болады. Шаңның әсерін барынша азайту үшін жабық силостарды, герметикаланған тасымалдау жүйелері мен аспирациялық жабдықты қолдану көзделеді. Жобалық бағдар ретінде жергілікті сүзгі қондырғыларында шаңды ұстау тиімділігі кемінде 99% болуы қабылданады. Нақты массалық шығарындылар жабдық өнімділігін, пайдалану режимдерін және ұйымдастырылмаған көздерді ескере отырып айқындалады.</w:t>
      </w:r>
    </w:p>
    <w:p w14:paraId="62A69D08">
      <w:pPr>
        <w:spacing w:line="240" w:lineRule="auto"/>
        <w:rPr>
          <w:rFonts w:ascii="Cambria" w:hAnsi="Cambria"/>
          <w:lang w:val="ru-RU"/>
        </w:rPr>
      </w:pPr>
      <w:r>
        <w:rPr>
          <w:rFonts w:ascii="Cambria" w:hAnsi="Cambria"/>
          <w:b/>
          <w:bCs/>
          <w:lang w:val="ru-RU"/>
        </w:rPr>
        <w:t>Қалдықтармен жұмыс істеу.</w:t>
      </w:r>
      <w:r>
        <w:rPr>
          <w:rFonts w:ascii="Cambria" w:hAnsi="Cambria"/>
          <w:lang w:val="ru-RU"/>
        </w:rPr>
        <w:t xml:space="preserve"> Өндірістік қалдықтардың негізгі ағындары бетон сынықтары, талапқа сай емес бұйымдар, металл кесінділері, шикізат қалдықтары, қаптама материалдары және тазарту жүйелерінің тұнбалары болады. Қалдықтарды бөлек жинап, технологиялық тұрғыдан жарамды материалдарды өндірістік циклге қайтаруға және қалған қалдықтарды мамандандырылған ұйымдарға тапсыруға басымдық беріледі.</w:t>
      </w:r>
    </w:p>
    <w:p w14:paraId="1430822C">
      <w:pPr>
        <w:spacing w:line="240" w:lineRule="auto"/>
        <w:rPr>
          <w:rFonts w:ascii="Cambria" w:hAnsi="Cambria"/>
          <w:lang w:val="ru-RU"/>
        </w:rPr>
      </w:pPr>
      <w:r>
        <w:rPr>
          <w:rFonts w:ascii="Cambria" w:hAnsi="Cambria"/>
          <w:lang w:val="ru-RU"/>
        </w:rPr>
        <w:t>Жақын елді мекенге дейінгі шамамен 8 км қашықтықты, өндірістердің мамандануын және көзделген табиғатты қорғау шараларын ескерсек, ИА аумағын осылай орналастыру тұрғын үй ортасына әсерді шектеуге қолайлы алғышарт қалыптастырады. Ұсынылған есептер жер және су ресурстарына әсер етудің алдын ала ауқымын айқындап, табиғатты қорғау шешімдеріне қойылатын талаптарды белгілеуге мүмкіндік береді.</w:t>
      </w:r>
    </w:p>
    <w:p w14:paraId="23FE963F">
      <w:pPr>
        <w:pStyle w:val="3"/>
        <w:spacing w:line="240" w:lineRule="auto"/>
        <w:rPr>
          <w:rFonts w:ascii="Cambria" w:hAnsi="Cambria"/>
          <w:lang w:val="ru-RU"/>
        </w:rPr>
      </w:pPr>
      <w:r>
        <w:rPr>
          <w:rFonts w:ascii="Cambria" w:hAnsi="Cambria"/>
          <w:lang w:val="ru-RU"/>
        </w:rPr>
        <w:t>4.3. Теріс әсердің алдын алу және оны азайту жөніндегі шаралар</w:t>
      </w:r>
    </w:p>
    <w:p w14:paraId="78D6B491">
      <w:pPr>
        <w:spacing w:line="240" w:lineRule="auto"/>
        <w:rPr>
          <w:rFonts w:ascii="Cambria" w:hAnsi="Cambria"/>
          <w:lang w:val="ru-RU"/>
        </w:rPr>
      </w:pPr>
      <w:r>
        <w:rPr>
          <w:rFonts w:ascii="Cambria" w:hAnsi="Cambria"/>
          <w:lang w:val="ru-RU"/>
        </w:rPr>
        <w:t>ИА қалыптастыру кезінде ластанудың туындаған салдарын жоюдан гөрі оның көзінде алдын алуға басымдық беріледі. Ол үшін әлеуетті резиденттердің технологиялық тапсырмаларында цемент пен шаң шығаратын басқа компоненттерді негізінен жабық сақтау, материалды қайта тиеу және мөлшерлеу орындарында жергілікті аспирация қолдану, паспорттық сипаттамалары расталған сүзгілер орнату, шаң ұстау жабдығының жұмысын автоматты бақылау және заңнама талап еткен жағдайда өндірістік экологиялық бақылауды ұйымдастыру көзделуге тиіс.</w:t>
      </w:r>
    </w:p>
    <w:p w14:paraId="5FDA1C07">
      <w:pPr>
        <w:spacing w:line="240" w:lineRule="auto"/>
        <w:rPr>
          <w:rFonts w:ascii="Cambria" w:hAnsi="Cambria"/>
          <w:lang w:val="ru-RU"/>
        </w:rPr>
      </w:pPr>
      <w:r>
        <w:rPr>
          <w:rFonts w:ascii="Cambria" w:hAnsi="Cambria"/>
          <w:lang w:val="ru-RU"/>
        </w:rPr>
        <w:t>Шаң көп бөлінетін өндірістік операциялар үшін тиісті сүзгі қондырғыларында шаң ұстаудың техникалық тиімділігін кемінде 99% деңгейінде белгілеу орынды. Бұл көрсеткіш жабдықты өндіруші және жұмыс жобасы тарапынан расталуға тиіс. Мұндай бағдар жекелеген техникалық құралдардың тиімділігіне қатысты, ИА бойынша жиынтық шығарындылардың 99%-ға міндетті түрде азаятынына кепілдік бермейді. Нақты шығарындыларға ұйымдастырылмаған көздер мен жабдықтың жұмыс режимдері де әсер етеді.</w:t>
      </w:r>
    </w:p>
    <w:p w14:paraId="4D723466">
      <w:pPr>
        <w:spacing w:line="240" w:lineRule="auto"/>
        <w:rPr>
          <w:rFonts w:ascii="Cambria" w:hAnsi="Cambria"/>
          <w:lang w:val="ru-RU"/>
        </w:rPr>
      </w:pPr>
      <w:r>
        <w:rPr>
          <w:rFonts w:ascii="Cambria" w:hAnsi="Cambria"/>
          <w:lang w:val="ru-RU"/>
        </w:rPr>
        <w:t>Суды пайдалану бойынша өндірістік және шаруашылық-тұрмыстық ағынды суларды бөлек жинау, жергілікті тұндырғыштар мен тазартылған технологиялық суды айналымды пайдалануға жол беретін процестерге қайтару жүйелерін қарастыру қажет. ТББ, вибропрестелген бұйымдар және фиброцемент панельдері өндірістерінде су айналымын тұйықтау мүмкіндігі жобалық шешімдер құрамында қаралуға тиіс; қайтарылатын судың рұқсат етілген үлесі рецептуралар мен су сапасына қойылатын талаптармен айқындалады. Ластанған өндірістік суды заңнамада көзделген рұқсатсыз және тиісті тазартусыз жер бедеріне немесе топыраққа ағызу көзделмейді.</w:t>
      </w:r>
    </w:p>
    <w:p w14:paraId="31511090">
      <w:pPr>
        <w:spacing w:line="240" w:lineRule="auto"/>
        <w:rPr>
          <w:rFonts w:ascii="Cambria" w:hAnsi="Cambria"/>
          <w:lang w:val="ru-RU"/>
        </w:rPr>
      </w:pPr>
      <w:r>
        <w:rPr>
          <w:rFonts w:ascii="Cambria" w:hAnsi="Cambria"/>
          <w:lang w:val="ru-RU"/>
        </w:rPr>
        <w:t>Қалдықтармен жұмыс істеу үшін бетон сынықтарын, металды, қаптаманы, шламды және басқа технологиялық қалдықтарды бөлек жинауды, оларды уақытша жинақтауға арналған жабдықталған орындарды ұйымдастыруды, сондай-ақ тиісті қалдықтарды мамандандырылған ұйымдарға беруді немесе экологиялық және техникалық талаптарды сақтай отырып өндірісте қайталап пайдалануды қамтамасыз ету қажет. Кәсіпорындар объектінің санаты мен нақты қалдық түрлерін ескере отырып, заңнамада көзделген қалдықтарды басқару жөніндегі құжаттаманы әзірлеуге тиіс.</w:t>
      </w:r>
    </w:p>
    <w:p w14:paraId="0DF5202F">
      <w:pPr>
        <w:spacing w:line="240" w:lineRule="auto"/>
        <w:rPr>
          <w:rFonts w:ascii="Cambria" w:hAnsi="Cambria"/>
          <w:lang w:val="ru-RU"/>
        </w:rPr>
      </w:pPr>
      <w:r>
        <w:rPr>
          <w:rFonts w:ascii="Cambria" w:hAnsi="Cambria"/>
          <w:lang w:val="ru-RU"/>
        </w:rPr>
        <w:t>Топыраққа теріс әсерді азайту жер жұмыстарының көлемін барынша қысқартуды, техникалық тұрғыдан негізделген жерлерде құнарлы қабатты алып, сақтауды, жанар-жағармай материалдарының төгілуіне жол бермеуді, жерүсті суын ұйымдасқан түрде бұруды және құрылыс аяқталған соң бұзылған учаскелерді қалпына келтіруді көздейді. Жауын суын бұру схемасында цемент шаңы, өлшенген заттар немесе мұнай өнімдері түсуі мүмкін өндірістік алаңдар ескерілуге тиіс.</w:t>
      </w:r>
    </w:p>
    <w:p w14:paraId="0FE06393">
      <w:pPr>
        <w:spacing w:line="240" w:lineRule="auto"/>
        <w:rPr>
          <w:rFonts w:ascii="Cambria" w:hAnsi="Cambria"/>
          <w:lang w:val="ru-RU"/>
        </w:rPr>
      </w:pPr>
      <w:r>
        <w:rPr>
          <w:rFonts w:ascii="Cambria" w:hAnsi="Cambria"/>
          <w:lang w:val="ru-RU"/>
        </w:rPr>
        <w:t>Жоспарлау шараларына шу мен шаң шығаратын тораптарды желдің басым бағыттары мен сезімтал объектілерге дейінгі қашықтықты ескере отырып орналастыру, автомобиль және теміржол маршруттарын тұрақты жұмыс орындарынан бөлу, тиеу техникасын ұтымды пайдалану, кірме жолдардың жабындарын күтіп ұстау және аумақта қозғалыс жылдамдығын шектеу кіреді. Қажетті санитариялық-қорғау аймақтарының өлшемдері мен оларды пайдалану режимі нақты өндірістердің сипаттамалары және цемент зауытымен жиынтық әсері ескеріліп, қолданыстағы санитариялық қағидаларға сәйкес айқындалуға тиіс; тұжырымдамалық кезеңде бұл аймақтардың нақты өлшемдері белгіленбейді.</w:t>
      </w:r>
    </w:p>
    <w:p w14:paraId="2E58B03B">
      <w:pPr>
        <w:pStyle w:val="75"/>
        <w:keepNext/>
        <w:spacing w:line="240" w:lineRule="auto"/>
        <w:rPr>
          <w:rFonts w:ascii="Cambria" w:hAnsi="Cambria"/>
          <w:lang w:val="ru-RU"/>
        </w:rPr>
      </w:pPr>
      <w:r>
        <w:rPr>
          <w:rFonts w:ascii="Cambria" w:hAnsi="Cambria"/>
          <w:lang w:val="ru-RU"/>
        </w:rPr>
        <w:t>4.4-кесте – Бірінші кезектегі табиғатты қорғау шараларының кешені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1601"/>
        <w:gridCol w:w="4302"/>
        <w:gridCol w:w="3586"/>
      </w:tblGrid>
      <w:tr w14:paraId="591C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0" w:type="auto"/>
            <w:shd w:val="clear" w:color="auto" w:fill="23486F"/>
            <w:vAlign w:val="center"/>
          </w:tcPr>
          <w:p w14:paraId="1B6D9942">
            <w:pPr>
              <w:spacing w:after="0" w:line="240" w:lineRule="auto"/>
              <w:ind w:firstLine="0"/>
              <w:jc w:val="center"/>
              <w:rPr>
                <w:rFonts w:ascii="Cambria" w:hAnsi="Cambria"/>
              </w:rPr>
            </w:pPr>
            <w:r>
              <w:rPr>
                <w:rFonts w:ascii="Cambria" w:hAnsi="Cambria"/>
                <w:b/>
                <w:color w:val="FFFFFF"/>
                <w:sz w:val="17"/>
              </w:rPr>
              <w:t>Қоршаған орта компоненті</w:t>
            </w:r>
          </w:p>
        </w:tc>
        <w:tc>
          <w:tcPr>
            <w:tcW w:w="0" w:type="auto"/>
            <w:shd w:val="clear" w:color="auto" w:fill="23486F"/>
            <w:vAlign w:val="center"/>
          </w:tcPr>
          <w:p w14:paraId="569D39F0">
            <w:pPr>
              <w:spacing w:after="0" w:line="240" w:lineRule="auto"/>
              <w:ind w:firstLine="0"/>
              <w:jc w:val="center"/>
              <w:rPr>
                <w:rFonts w:ascii="Cambria" w:hAnsi="Cambria"/>
              </w:rPr>
            </w:pPr>
            <w:r>
              <w:rPr>
                <w:rFonts w:ascii="Cambria" w:hAnsi="Cambria"/>
                <w:b/>
                <w:color w:val="FFFFFF"/>
                <w:sz w:val="17"/>
              </w:rPr>
              <w:t>Көзделіп отырған шаралар</w:t>
            </w:r>
          </w:p>
        </w:tc>
        <w:tc>
          <w:tcPr>
            <w:tcW w:w="0" w:type="auto"/>
            <w:shd w:val="clear" w:color="auto" w:fill="23486F"/>
            <w:vAlign w:val="center"/>
          </w:tcPr>
          <w:p w14:paraId="68C49888">
            <w:pPr>
              <w:spacing w:after="0" w:line="240" w:lineRule="auto"/>
              <w:ind w:firstLine="0"/>
              <w:jc w:val="center"/>
              <w:rPr>
                <w:rFonts w:ascii="Cambria" w:hAnsi="Cambria"/>
              </w:rPr>
            </w:pPr>
            <w:r>
              <w:rPr>
                <w:rFonts w:ascii="Cambria" w:hAnsi="Cambria"/>
                <w:b/>
                <w:color w:val="FFFFFF"/>
                <w:sz w:val="17"/>
              </w:rPr>
              <w:t>Нәтижесі және растау тәсілі</w:t>
            </w:r>
          </w:p>
        </w:tc>
      </w:tr>
      <w:tr w14:paraId="6825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73E1E5D">
            <w:pPr>
              <w:spacing w:after="0" w:line="240" w:lineRule="auto"/>
              <w:ind w:firstLine="0"/>
              <w:jc w:val="left"/>
              <w:rPr>
                <w:rFonts w:ascii="Cambria" w:hAnsi="Cambria"/>
              </w:rPr>
            </w:pPr>
            <w:r>
              <w:rPr>
                <w:rFonts w:ascii="Cambria" w:hAnsi="Cambria"/>
                <w:color w:val="1C2839"/>
                <w:sz w:val="17"/>
              </w:rPr>
              <w:t>Атмосфералық ауа</w:t>
            </w:r>
          </w:p>
        </w:tc>
        <w:tc>
          <w:tcPr>
            <w:tcW w:w="0" w:type="auto"/>
            <w:vAlign w:val="center"/>
          </w:tcPr>
          <w:p w14:paraId="651FB3D1">
            <w:pPr>
              <w:spacing w:after="0" w:line="240" w:lineRule="auto"/>
              <w:ind w:firstLine="0"/>
              <w:jc w:val="left"/>
              <w:rPr>
                <w:rFonts w:ascii="Cambria" w:hAnsi="Cambria"/>
                <w:lang w:val="ru-RU"/>
              </w:rPr>
            </w:pPr>
            <w:r>
              <w:rPr>
                <w:rFonts w:ascii="Cambria" w:hAnsi="Cambria"/>
                <w:color w:val="1C2839"/>
                <w:sz w:val="17"/>
                <w:lang w:val="ru-RU"/>
              </w:rPr>
              <w:t>Жабық силостар; жергілікті аспирация жүйелері; сүзгілер; сусымалы материалдарды жабу; жолдарды шаңсыздандыру.</w:t>
            </w:r>
          </w:p>
        </w:tc>
        <w:tc>
          <w:tcPr>
            <w:tcW w:w="0" w:type="auto"/>
            <w:vAlign w:val="center"/>
          </w:tcPr>
          <w:p w14:paraId="0C42578F">
            <w:pPr>
              <w:spacing w:after="0" w:line="240" w:lineRule="auto"/>
              <w:ind w:firstLine="0"/>
              <w:jc w:val="left"/>
              <w:rPr>
                <w:rFonts w:ascii="Cambria" w:hAnsi="Cambria"/>
                <w:lang w:val="ru-RU"/>
              </w:rPr>
            </w:pPr>
            <w:r>
              <w:rPr>
                <w:rFonts w:ascii="Cambria" w:hAnsi="Cambria"/>
                <w:color w:val="1C2839"/>
                <w:sz w:val="17"/>
                <w:lang w:val="ru-RU"/>
              </w:rPr>
              <w:t>Ұйымдасқан және ұйымдастырылмаған шаң шығарындыларын азайту; жобалық есептер мен көздерді бақылау.</w:t>
            </w:r>
          </w:p>
        </w:tc>
      </w:tr>
      <w:tr w14:paraId="7547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0A923515">
            <w:pPr>
              <w:spacing w:after="0" w:line="240" w:lineRule="auto"/>
              <w:ind w:firstLine="0"/>
              <w:jc w:val="left"/>
              <w:rPr>
                <w:rFonts w:ascii="Cambria" w:hAnsi="Cambria"/>
              </w:rPr>
            </w:pPr>
            <w:r>
              <w:rPr>
                <w:rFonts w:ascii="Cambria" w:hAnsi="Cambria"/>
                <w:color w:val="1C2839"/>
                <w:sz w:val="17"/>
              </w:rPr>
              <w:t>Су ресурстары</w:t>
            </w:r>
          </w:p>
        </w:tc>
        <w:tc>
          <w:tcPr>
            <w:tcW w:w="0" w:type="auto"/>
            <w:shd w:val="clear" w:color="auto" w:fill="F0F5F9"/>
            <w:vAlign w:val="center"/>
          </w:tcPr>
          <w:p w14:paraId="260B2CFD">
            <w:pPr>
              <w:spacing w:after="0" w:line="240" w:lineRule="auto"/>
              <w:ind w:firstLine="0"/>
              <w:jc w:val="left"/>
              <w:rPr>
                <w:rFonts w:ascii="Cambria" w:hAnsi="Cambria"/>
                <w:lang w:val="ru-RU"/>
              </w:rPr>
            </w:pPr>
            <w:r>
              <w:rPr>
                <w:rFonts w:ascii="Cambria" w:hAnsi="Cambria"/>
                <w:color w:val="1C2839"/>
                <w:sz w:val="17"/>
                <w:lang w:val="ru-RU"/>
              </w:rPr>
              <w:t>Айналымды су; ағынды суларды бөлу; тұндырғыштар; pH пен өлшенген заттарды бақылау; герметикалық коммуникациялар.</w:t>
            </w:r>
          </w:p>
        </w:tc>
        <w:tc>
          <w:tcPr>
            <w:tcW w:w="0" w:type="auto"/>
            <w:shd w:val="clear" w:color="auto" w:fill="F0F5F9"/>
            <w:vAlign w:val="center"/>
          </w:tcPr>
          <w:p w14:paraId="15C9AEE5">
            <w:pPr>
              <w:spacing w:after="0" w:line="240" w:lineRule="auto"/>
              <w:ind w:firstLine="0"/>
              <w:jc w:val="left"/>
              <w:rPr>
                <w:rFonts w:ascii="Cambria" w:hAnsi="Cambria"/>
                <w:lang w:val="ru-RU"/>
              </w:rPr>
            </w:pPr>
            <w:r>
              <w:rPr>
                <w:rFonts w:ascii="Cambria" w:hAnsi="Cambria"/>
                <w:color w:val="1C2839"/>
                <w:sz w:val="17"/>
                <w:lang w:val="ru-RU"/>
              </w:rPr>
              <w:t>Су алуды қысқарту және бақылаусыз ағызуды болдырмау; су теңгерімі және зертханалық бақылау.</w:t>
            </w:r>
          </w:p>
        </w:tc>
      </w:tr>
      <w:tr w14:paraId="2492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4829C939">
            <w:pPr>
              <w:spacing w:after="0" w:line="240" w:lineRule="auto"/>
              <w:ind w:firstLine="0"/>
              <w:jc w:val="left"/>
              <w:rPr>
                <w:rFonts w:ascii="Cambria" w:hAnsi="Cambria"/>
              </w:rPr>
            </w:pPr>
            <w:r>
              <w:rPr>
                <w:rFonts w:ascii="Cambria" w:hAnsi="Cambria"/>
                <w:color w:val="1C2839"/>
                <w:sz w:val="17"/>
              </w:rPr>
              <w:t>Топырақ және жер ресурстары</w:t>
            </w:r>
          </w:p>
        </w:tc>
        <w:tc>
          <w:tcPr>
            <w:tcW w:w="0" w:type="auto"/>
            <w:vAlign w:val="center"/>
          </w:tcPr>
          <w:p w14:paraId="06197CBB">
            <w:pPr>
              <w:spacing w:after="0" w:line="240" w:lineRule="auto"/>
              <w:ind w:firstLine="0"/>
              <w:jc w:val="left"/>
              <w:rPr>
                <w:rFonts w:ascii="Cambria" w:hAnsi="Cambria"/>
                <w:lang w:val="ru-RU"/>
              </w:rPr>
            </w:pPr>
            <w:r>
              <w:rPr>
                <w:rFonts w:ascii="Cambria" w:hAnsi="Cambria"/>
                <w:color w:val="1C2839"/>
                <w:sz w:val="17"/>
                <w:lang w:val="ru-RU"/>
              </w:rPr>
              <w:t>Жер жұмыстарын шектеу; жарамды құнарлы қабатты сақтау; төгілуге жол бермеу; бұзылған жерлерді қалпына келтіру.</w:t>
            </w:r>
          </w:p>
        </w:tc>
        <w:tc>
          <w:tcPr>
            <w:tcW w:w="0" w:type="auto"/>
            <w:vAlign w:val="center"/>
          </w:tcPr>
          <w:p w14:paraId="1AD2D06D">
            <w:pPr>
              <w:spacing w:after="0" w:line="240" w:lineRule="auto"/>
              <w:ind w:firstLine="0"/>
              <w:jc w:val="left"/>
              <w:rPr>
                <w:rFonts w:ascii="Cambria" w:hAnsi="Cambria"/>
                <w:lang w:val="ru-RU"/>
              </w:rPr>
            </w:pPr>
            <w:r>
              <w:rPr>
                <w:rFonts w:ascii="Cambria" w:hAnsi="Cambria"/>
                <w:color w:val="1C2839"/>
                <w:sz w:val="17"/>
                <w:lang w:val="ru-RU"/>
              </w:rPr>
              <w:t>Бұзылатын аумақты шектеу; жұмыстар актілері мен тексеру деректері.</w:t>
            </w:r>
          </w:p>
        </w:tc>
      </w:tr>
      <w:tr w14:paraId="648C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29D5DF3F">
            <w:pPr>
              <w:spacing w:after="0" w:line="240" w:lineRule="auto"/>
              <w:ind w:firstLine="0"/>
              <w:jc w:val="left"/>
              <w:rPr>
                <w:rFonts w:ascii="Cambria" w:hAnsi="Cambria"/>
              </w:rPr>
            </w:pPr>
            <w:r>
              <w:rPr>
                <w:rFonts w:ascii="Cambria" w:hAnsi="Cambria"/>
                <w:color w:val="1C2839"/>
                <w:sz w:val="17"/>
              </w:rPr>
              <w:t>Қалдықтар</w:t>
            </w:r>
          </w:p>
        </w:tc>
        <w:tc>
          <w:tcPr>
            <w:tcW w:w="0" w:type="auto"/>
            <w:shd w:val="clear" w:color="auto" w:fill="F0F5F9"/>
            <w:vAlign w:val="center"/>
          </w:tcPr>
          <w:p w14:paraId="0CE22C76">
            <w:pPr>
              <w:spacing w:after="0" w:line="240" w:lineRule="auto"/>
              <w:ind w:firstLine="0"/>
              <w:jc w:val="left"/>
              <w:rPr>
                <w:rFonts w:ascii="Cambria" w:hAnsi="Cambria"/>
                <w:lang w:val="ru-RU"/>
              </w:rPr>
            </w:pPr>
            <w:r>
              <w:rPr>
                <w:rFonts w:ascii="Cambria" w:hAnsi="Cambria"/>
                <w:color w:val="1C2839"/>
                <w:sz w:val="17"/>
                <w:lang w:val="ru-RU"/>
              </w:rPr>
              <w:t>Бөлек жинақтау; жарамды бетон сынықтары мен металды өндіріске қайтару; өзге қалдықтарды шығару шарттары.</w:t>
            </w:r>
          </w:p>
        </w:tc>
        <w:tc>
          <w:tcPr>
            <w:tcW w:w="0" w:type="auto"/>
            <w:shd w:val="clear" w:color="auto" w:fill="F0F5F9"/>
            <w:vAlign w:val="center"/>
          </w:tcPr>
          <w:p w14:paraId="5BD063A9">
            <w:pPr>
              <w:spacing w:after="0" w:line="240" w:lineRule="auto"/>
              <w:ind w:firstLine="0"/>
              <w:jc w:val="left"/>
              <w:rPr>
                <w:rFonts w:ascii="Cambria" w:hAnsi="Cambria"/>
                <w:lang w:val="ru-RU"/>
              </w:rPr>
            </w:pPr>
            <w:r>
              <w:rPr>
                <w:rFonts w:ascii="Cambria" w:hAnsi="Cambria"/>
                <w:color w:val="1C2839"/>
                <w:sz w:val="17"/>
                <w:lang w:val="ru-RU"/>
              </w:rPr>
              <w:t>Көмуді азайту; қалдықтардың түзілуі мен қозғалысын сандық есепке алу.</w:t>
            </w:r>
          </w:p>
        </w:tc>
      </w:tr>
      <w:tr w14:paraId="6EBB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7344F634">
            <w:pPr>
              <w:spacing w:after="0" w:line="240" w:lineRule="auto"/>
              <w:ind w:firstLine="0"/>
              <w:jc w:val="left"/>
              <w:rPr>
                <w:rFonts w:ascii="Cambria" w:hAnsi="Cambria"/>
              </w:rPr>
            </w:pPr>
            <w:r>
              <w:rPr>
                <w:rFonts w:ascii="Cambria" w:hAnsi="Cambria"/>
                <w:color w:val="1C2839"/>
                <w:sz w:val="17"/>
              </w:rPr>
              <w:t>Шу мен діріл</w:t>
            </w:r>
          </w:p>
        </w:tc>
        <w:tc>
          <w:tcPr>
            <w:tcW w:w="0" w:type="auto"/>
            <w:vAlign w:val="center"/>
          </w:tcPr>
          <w:p w14:paraId="37A611B7">
            <w:pPr>
              <w:spacing w:after="0" w:line="240" w:lineRule="auto"/>
              <w:ind w:firstLine="0"/>
              <w:jc w:val="left"/>
              <w:rPr>
                <w:rFonts w:ascii="Cambria" w:hAnsi="Cambria"/>
                <w:lang w:val="ru-RU"/>
              </w:rPr>
            </w:pPr>
            <w:r>
              <w:rPr>
                <w:rFonts w:ascii="Cambria" w:hAnsi="Cambria"/>
                <w:color w:val="1C2839"/>
                <w:sz w:val="17"/>
                <w:lang w:val="ru-RU"/>
              </w:rPr>
              <w:t>Ұтымды жоспарлау; экрандау; жабдық режимдерін бақылау; қозғалысты шектеу.</w:t>
            </w:r>
          </w:p>
        </w:tc>
        <w:tc>
          <w:tcPr>
            <w:tcW w:w="0" w:type="auto"/>
            <w:vAlign w:val="center"/>
          </w:tcPr>
          <w:p w14:paraId="790277D0">
            <w:pPr>
              <w:spacing w:after="0" w:line="240" w:lineRule="auto"/>
              <w:ind w:firstLine="0"/>
              <w:jc w:val="left"/>
              <w:rPr>
                <w:rFonts w:ascii="Cambria" w:hAnsi="Cambria"/>
                <w:lang w:val="ru-RU"/>
              </w:rPr>
            </w:pPr>
            <w:r>
              <w:rPr>
                <w:rFonts w:ascii="Cambria" w:hAnsi="Cambria"/>
                <w:color w:val="1C2839"/>
                <w:sz w:val="17"/>
                <w:lang w:val="ru-RU"/>
              </w:rPr>
              <w:t>Гигиеналық деңгейлерді сақтау; есептер мен аспаптық өлшемдер.</w:t>
            </w:r>
          </w:p>
        </w:tc>
      </w:tr>
      <w:tr w14:paraId="51E3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249373D9">
            <w:pPr>
              <w:spacing w:after="0" w:line="240" w:lineRule="auto"/>
              <w:ind w:firstLine="0"/>
              <w:jc w:val="left"/>
              <w:rPr>
                <w:rFonts w:ascii="Cambria" w:hAnsi="Cambria"/>
              </w:rPr>
            </w:pPr>
            <w:r>
              <w:rPr>
                <w:rFonts w:ascii="Cambria" w:hAnsi="Cambria"/>
                <w:color w:val="1C2839"/>
                <w:sz w:val="17"/>
              </w:rPr>
              <w:t>Биота және ландшафт</w:t>
            </w:r>
          </w:p>
        </w:tc>
        <w:tc>
          <w:tcPr>
            <w:tcW w:w="0" w:type="auto"/>
            <w:shd w:val="clear" w:color="auto" w:fill="F0F5F9"/>
            <w:vAlign w:val="center"/>
          </w:tcPr>
          <w:p w14:paraId="47D0182F">
            <w:pPr>
              <w:spacing w:after="0" w:line="240" w:lineRule="auto"/>
              <w:ind w:firstLine="0"/>
              <w:jc w:val="left"/>
              <w:rPr>
                <w:rFonts w:ascii="Cambria" w:hAnsi="Cambria"/>
                <w:lang w:val="ru-RU"/>
              </w:rPr>
            </w:pPr>
            <w:r>
              <w:rPr>
                <w:rFonts w:ascii="Cambria" w:hAnsi="Cambria"/>
                <w:color w:val="1C2839"/>
                <w:sz w:val="17"/>
                <w:lang w:val="ru-RU"/>
              </w:rPr>
              <w:t>Аумақты зерттеу; жоспарлау кезінде құнды мекен ету орындарын айналып өту; әсер еткен аумақтарды қалпына келтіру.</w:t>
            </w:r>
          </w:p>
        </w:tc>
        <w:tc>
          <w:tcPr>
            <w:tcW w:w="0" w:type="auto"/>
            <w:shd w:val="clear" w:color="auto" w:fill="F0F5F9"/>
            <w:vAlign w:val="center"/>
          </w:tcPr>
          <w:p w14:paraId="153CA070">
            <w:pPr>
              <w:spacing w:after="0" w:line="240" w:lineRule="auto"/>
              <w:ind w:firstLine="0"/>
              <w:jc w:val="left"/>
              <w:rPr>
                <w:rFonts w:ascii="Cambria" w:hAnsi="Cambria"/>
                <w:lang w:val="ru-RU"/>
              </w:rPr>
            </w:pPr>
            <w:r>
              <w:rPr>
                <w:rFonts w:ascii="Cambria" w:hAnsi="Cambria"/>
                <w:color w:val="1C2839"/>
                <w:sz w:val="17"/>
                <w:lang w:val="ru-RU"/>
              </w:rPr>
              <w:t>Қайтымсыз бұзылуды азайту; зерттеу материалдары және қалпына келтіру шараларын бақылау.</w:t>
            </w:r>
          </w:p>
        </w:tc>
      </w:tr>
    </w:tbl>
    <w:p w14:paraId="25C7F377">
      <w:pPr>
        <w:pStyle w:val="3"/>
        <w:spacing w:line="240" w:lineRule="auto"/>
        <w:rPr>
          <w:rFonts w:ascii="Cambria" w:hAnsi="Cambria"/>
          <w:lang w:val="ru-RU"/>
        </w:rPr>
      </w:pPr>
      <w:bookmarkStart w:id="17" w:name="__RefHeading___Toc9514_2617525462"/>
      <w:bookmarkEnd w:id="17"/>
      <w:r>
        <w:rPr>
          <w:rFonts w:ascii="Cambria" w:hAnsi="Cambria"/>
          <w:lang w:val="ru-RU"/>
        </w:rPr>
        <w:t>4.4. Экологиялық жағдайды жақсарту шаралары және күтілетін нәтижелер</w:t>
      </w:r>
    </w:p>
    <w:p w14:paraId="02D3D5B4">
      <w:pPr>
        <w:spacing w:line="240" w:lineRule="auto"/>
        <w:rPr>
          <w:rFonts w:ascii="Cambria" w:hAnsi="Cambria"/>
          <w:lang w:val="ru-RU"/>
        </w:rPr>
      </w:pPr>
      <w:r>
        <w:rPr>
          <w:rFonts w:ascii="Cambria" w:hAnsi="Cambria"/>
          <w:lang w:val="ru-RU"/>
        </w:rPr>
        <w:t>ИА құру қалыптасып жатқан өнеркәсіптік торапқа қосымша экологиялық жүктемені болдырмау және шикізат пен инфрақұрылымды ұтымдырақ пайдалану қағидаттары бойынша жүзеге асырылады. Ықтимал оң әсер жаңа кәсіпорындарды орналастыру фактісінің өзінен туындамайды, өйткені ол керісінше қосымша әсер көздерін қалыптастырады. Оң әсер жекелеген объектілерді қайталап салудың орнына заманауи технологиялық шешімдерді қолдану және инженерлік әрі көлік инфрақұрылымын бірлесіп пайдалану нәтижесінде қалыптасады.</w:t>
      </w:r>
    </w:p>
    <w:p w14:paraId="4774C6BC">
      <w:pPr>
        <w:spacing w:line="240" w:lineRule="auto"/>
        <w:rPr>
          <w:rFonts w:ascii="Cambria" w:hAnsi="Cambria"/>
          <w:lang w:val="ru-RU"/>
        </w:rPr>
      </w:pPr>
      <w:r>
        <w:rPr>
          <w:rFonts w:ascii="Cambria" w:hAnsi="Cambria"/>
          <w:lang w:val="ru-RU"/>
        </w:rPr>
        <w:t>Ақтөбе облысының Байғанин ауданындағы «Байғанин» Индустриялық аймағының қосымша экологиялық артықшылығы – жылына шамамен 1,3 млн тонна цемент өндіретін «QazCement Industries» ЖШС зауытына тікелей жақын орналасуы. Кейінгі өңдеумен айналысатын жеті кәсіпорынды цементтің негізгі жеткізушісіне жақын орналастыру негізгі шикізатты шалғай өндіріс орталықтарынан жеткізумен салыстырғанда тасымалдау қашықтығын едәуір қысқартуға мүмкіндік береді. Цементті зауыттан өндірістік алаңдарға тікелей жеткізуді ұйымдастыру жүк ағындарын оңтайландыруға, дизель отынын тұтынуды және автомобиль тасымалына байланысты ластаушы заттар мен парниктік газдар шығарындыларын азайтуға жағдай жасайды.</w:t>
      </w:r>
    </w:p>
    <w:p w14:paraId="1BA0AA0B">
      <w:pPr>
        <w:spacing w:line="240" w:lineRule="auto"/>
        <w:rPr>
          <w:rFonts w:ascii="Cambria" w:hAnsi="Cambria"/>
          <w:lang w:val="ru-RU"/>
        </w:rPr>
      </w:pPr>
      <w:r>
        <w:rPr>
          <w:rFonts w:ascii="Cambria" w:hAnsi="Cambria"/>
          <w:lang w:val="ru-RU"/>
        </w:rPr>
        <w:t>Көлік әсерін төмендететін қосымша фактор – ИА аумағына тікелей жақын жерде қолданыстағы теміржол магистралінің болуы. Құмды, қиыршықтасты, металл прокатын және басқа материалдарды ірі көлемде жеткізу, сондай-ақ дайын темірбетон конструкцияларын жөнелту үшін теміржол көлігін пайдалану өңіраралық бағыттарда ауыр жүк автомобильдерінің қозғалыс қарқындылығын азайтуға мүмкіндік береді. Ауыр және ірі габаритті өнім, оның ішінде темірбетон шпалдар, жол плиталары мен электр беру желілерінің тіректері үшін қажетті кірме инфрақұрылым болған жағдайда теміржол логистикасы тасымалдауды ұйымдастырудың басым нұсқасы ретінде қарастырылады.</w:t>
      </w:r>
    </w:p>
    <w:p w14:paraId="0ADE95ED">
      <w:pPr>
        <w:spacing w:line="240" w:lineRule="auto"/>
        <w:rPr>
          <w:rFonts w:ascii="Cambria" w:hAnsi="Cambria"/>
          <w:lang w:val="ru-RU"/>
        </w:rPr>
      </w:pPr>
      <w:r>
        <w:rPr>
          <w:rFonts w:ascii="Cambria" w:hAnsi="Cambria"/>
          <w:lang w:val="ru-RU"/>
        </w:rPr>
        <w:t>Осылайша, Тұжырымдамада көзделген өнеркәсіптік кооперация моделі негізгі шикізатты жергілікті жеткізуді, көлік инфрақұрылымын орталықтан пайдалану мүмкіндігін және дайын өнімді теміржолмен жөнелтуді біріктіреді. Бұл өнім бірлігіне шаққандағы көлік шығындарын, отын тұтынуды және шығарындыларды азайтуға алғышарт жасайды. Экологиялық әсер нақты жүк тасымалы көлемдері, маршруттардың ұзындығы және автомобиль мен теміржол көлігі арасындағы жүк ағындарының бөлінуі негізінде сандық расталады.</w:t>
      </w:r>
    </w:p>
    <w:p w14:paraId="65875A3E">
      <w:pPr>
        <w:spacing w:line="240" w:lineRule="auto"/>
        <w:rPr>
          <w:rFonts w:ascii="Cambria" w:hAnsi="Cambria"/>
          <w:lang w:val="ru-RU"/>
        </w:rPr>
      </w:pPr>
      <w:r>
        <w:rPr>
          <w:rFonts w:ascii="Cambria" w:hAnsi="Cambria"/>
          <w:lang w:val="ru-RU"/>
        </w:rPr>
        <w:t>Басым табиғатты қорғау нәтижелерінің қатарына айналымды сумен жабдықтау үлесін арттыру, цементпен жұмыс істегенде шаңдануды азайту, орналастыруға жіберілетін қалдықтар санын қысқарту және топыраққа әсерді бақылау жатады. Құрғақ құрылыс қоспалары мен фиброцемент панельдерін өндіру үшін аспирация мен технологиялық желілердің герметикалығы, ал темірбетон өндірістері үшін технологиялық суды қайтару, бетон сынықтарын жинау және сақтау алаңдарын қауіпсіз пайдалану шешуші мәнге ие.</w:t>
      </w:r>
    </w:p>
    <w:p w14:paraId="149DD95D">
      <w:pPr>
        <w:pStyle w:val="75"/>
        <w:spacing w:line="240" w:lineRule="auto"/>
        <w:rPr>
          <w:rFonts w:ascii="Cambria" w:hAnsi="Cambria"/>
          <w:lang w:val="ru-RU"/>
        </w:rPr>
      </w:pPr>
      <w:r>
        <w:rPr>
          <w:rFonts w:ascii="Cambria" w:hAnsi="Cambria"/>
          <w:lang w:val="ru-RU"/>
        </w:rPr>
        <w:t>4.5-кесте – Алдын ала экологиялық бағдарлар және бақылаудың өлшенетін көрсеткіштері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1868"/>
        <w:gridCol w:w="4410"/>
        <w:gridCol w:w="3211"/>
      </w:tblGrid>
      <w:tr w14:paraId="31B1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0" w:type="auto"/>
            <w:shd w:val="clear" w:color="auto" w:fill="23486F"/>
            <w:vAlign w:val="center"/>
          </w:tcPr>
          <w:p w14:paraId="06A87A4A">
            <w:pPr>
              <w:spacing w:after="0" w:line="240" w:lineRule="auto"/>
              <w:ind w:firstLine="0"/>
              <w:jc w:val="center"/>
              <w:rPr>
                <w:rFonts w:ascii="Cambria" w:hAnsi="Cambria"/>
              </w:rPr>
            </w:pPr>
            <w:r>
              <w:rPr>
                <w:rFonts w:ascii="Cambria" w:hAnsi="Cambria"/>
                <w:b/>
                <w:color w:val="FFFFFF"/>
                <w:sz w:val="17"/>
              </w:rPr>
              <w:t>Бағыт</w:t>
            </w:r>
          </w:p>
        </w:tc>
        <w:tc>
          <w:tcPr>
            <w:tcW w:w="0" w:type="auto"/>
            <w:shd w:val="clear" w:color="auto" w:fill="23486F"/>
            <w:vAlign w:val="center"/>
          </w:tcPr>
          <w:p w14:paraId="08681086">
            <w:pPr>
              <w:spacing w:after="0" w:line="240" w:lineRule="auto"/>
              <w:ind w:firstLine="0"/>
              <w:jc w:val="center"/>
              <w:rPr>
                <w:rFonts w:ascii="Cambria" w:hAnsi="Cambria"/>
              </w:rPr>
            </w:pPr>
            <w:r>
              <w:rPr>
                <w:rFonts w:ascii="Cambria" w:hAnsi="Cambria"/>
                <w:b/>
                <w:color w:val="FFFFFF"/>
                <w:sz w:val="17"/>
              </w:rPr>
              <w:t>Ұсынылатын бағдар</w:t>
            </w:r>
          </w:p>
        </w:tc>
        <w:tc>
          <w:tcPr>
            <w:tcW w:w="0" w:type="auto"/>
            <w:shd w:val="clear" w:color="auto" w:fill="23486F"/>
            <w:vAlign w:val="center"/>
          </w:tcPr>
          <w:p w14:paraId="1B4E9B88">
            <w:pPr>
              <w:spacing w:after="0" w:line="240" w:lineRule="auto"/>
              <w:ind w:firstLine="0"/>
              <w:jc w:val="center"/>
              <w:rPr>
                <w:rFonts w:ascii="Cambria" w:hAnsi="Cambria"/>
              </w:rPr>
            </w:pPr>
            <w:r>
              <w:rPr>
                <w:rFonts w:ascii="Cambria" w:hAnsi="Cambria"/>
                <w:b/>
                <w:color w:val="FFFFFF"/>
                <w:sz w:val="17"/>
              </w:rPr>
              <w:t>Нәтижені растау тәртібі</w:t>
            </w:r>
          </w:p>
        </w:tc>
      </w:tr>
      <w:tr w14:paraId="2A08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7D18295B">
            <w:pPr>
              <w:spacing w:after="0" w:line="240" w:lineRule="auto"/>
              <w:ind w:firstLine="0"/>
              <w:jc w:val="left"/>
              <w:rPr>
                <w:rFonts w:ascii="Cambria" w:hAnsi="Cambria"/>
              </w:rPr>
            </w:pPr>
            <w:r>
              <w:rPr>
                <w:rFonts w:ascii="Cambria" w:hAnsi="Cambria"/>
                <w:color w:val="1C2839"/>
                <w:sz w:val="17"/>
              </w:rPr>
              <w:t>Шаң ұстау</w:t>
            </w:r>
          </w:p>
        </w:tc>
        <w:tc>
          <w:tcPr>
            <w:tcW w:w="0" w:type="auto"/>
            <w:vAlign w:val="center"/>
          </w:tcPr>
          <w:p w14:paraId="22F78D82">
            <w:pPr>
              <w:spacing w:after="0" w:line="240" w:lineRule="auto"/>
              <w:ind w:firstLine="0"/>
              <w:jc w:val="left"/>
              <w:rPr>
                <w:rFonts w:ascii="Cambria" w:hAnsi="Cambria"/>
                <w:lang w:val="ru-RU"/>
              </w:rPr>
            </w:pPr>
            <w:r>
              <w:rPr>
                <w:rFonts w:ascii="Cambria" w:hAnsi="Cambria"/>
                <w:color w:val="1C2839"/>
                <w:sz w:val="17"/>
                <w:lang w:val="ru-RU"/>
              </w:rPr>
              <w:t>Жобамен расталған жағдайда жекелеген сүзгі қондырғыларының техникалық тиімділігі шамамен ≥99%.</w:t>
            </w:r>
          </w:p>
        </w:tc>
        <w:tc>
          <w:tcPr>
            <w:tcW w:w="0" w:type="auto"/>
            <w:vAlign w:val="center"/>
          </w:tcPr>
          <w:p w14:paraId="0DFC7B0A">
            <w:pPr>
              <w:spacing w:after="0" w:line="240" w:lineRule="auto"/>
              <w:ind w:firstLine="0"/>
              <w:jc w:val="left"/>
              <w:rPr>
                <w:rFonts w:ascii="Cambria" w:hAnsi="Cambria"/>
                <w:lang w:val="ru-RU"/>
              </w:rPr>
            </w:pPr>
            <w:r>
              <w:rPr>
                <w:rFonts w:ascii="Cambria" w:hAnsi="Cambria"/>
                <w:color w:val="1C2839"/>
                <w:sz w:val="17"/>
                <w:lang w:val="ru-RU"/>
              </w:rPr>
              <w:t>Жабдық паспорттары, жобалық деректер, ұйымдасқан көздердегі өлшемдер.</w:t>
            </w:r>
          </w:p>
        </w:tc>
      </w:tr>
      <w:tr w14:paraId="5397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2FD494FF">
            <w:pPr>
              <w:spacing w:after="0" w:line="240" w:lineRule="auto"/>
              <w:ind w:firstLine="0"/>
              <w:jc w:val="left"/>
              <w:rPr>
                <w:rFonts w:ascii="Cambria" w:hAnsi="Cambria"/>
              </w:rPr>
            </w:pPr>
            <w:r>
              <w:rPr>
                <w:rFonts w:ascii="Cambria" w:hAnsi="Cambria"/>
                <w:color w:val="1C2839"/>
                <w:sz w:val="17"/>
              </w:rPr>
              <w:t>Айналымды сумен жабдықтау</w:t>
            </w:r>
          </w:p>
        </w:tc>
        <w:tc>
          <w:tcPr>
            <w:tcW w:w="0" w:type="auto"/>
            <w:shd w:val="clear" w:color="auto" w:fill="F0F5F9"/>
            <w:vAlign w:val="center"/>
          </w:tcPr>
          <w:p w14:paraId="0964B66F">
            <w:pPr>
              <w:spacing w:after="0" w:line="240" w:lineRule="auto"/>
              <w:ind w:firstLine="0"/>
              <w:jc w:val="left"/>
              <w:rPr>
                <w:rFonts w:ascii="Cambria" w:hAnsi="Cambria"/>
                <w:lang w:val="ru-RU"/>
              </w:rPr>
            </w:pPr>
            <w:r>
              <w:rPr>
                <w:rFonts w:ascii="Cambria" w:hAnsi="Cambria"/>
                <w:color w:val="1C2839"/>
                <w:sz w:val="17"/>
                <w:lang w:val="ru-RU"/>
              </w:rPr>
              <w:t>Технология жол беретін жерде технологиялық суды барынша қайтару; технология таңдалғанға дейін пайыз белгіленбейді.</w:t>
            </w:r>
          </w:p>
        </w:tc>
        <w:tc>
          <w:tcPr>
            <w:tcW w:w="0" w:type="auto"/>
            <w:shd w:val="clear" w:color="auto" w:fill="F0F5F9"/>
            <w:vAlign w:val="center"/>
          </w:tcPr>
          <w:p w14:paraId="77B771D9">
            <w:pPr>
              <w:spacing w:after="0" w:line="240" w:lineRule="auto"/>
              <w:ind w:firstLine="0"/>
              <w:jc w:val="left"/>
              <w:rPr>
                <w:rFonts w:ascii="Cambria" w:hAnsi="Cambria"/>
                <w:lang w:val="ru-RU"/>
              </w:rPr>
            </w:pPr>
            <w:r>
              <w:rPr>
                <w:rFonts w:ascii="Cambria" w:hAnsi="Cambria"/>
                <w:color w:val="1C2839"/>
                <w:sz w:val="17"/>
                <w:lang w:val="ru-RU"/>
              </w:rPr>
              <w:t>Кәсіпорындардың су шаруашылығы теңгерімі, есепке алу құралдарының көрсеткіштері.</w:t>
            </w:r>
          </w:p>
        </w:tc>
      </w:tr>
      <w:tr w14:paraId="5335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792910AC">
            <w:pPr>
              <w:spacing w:after="0" w:line="240" w:lineRule="auto"/>
              <w:ind w:firstLine="0"/>
              <w:jc w:val="left"/>
              <w:rPr>
                <w:rFonts w:ascii="Cambria" w:hAnsi="Cambria"/>
              </w:rPr>
            </w:pPr>
            <w:r>
              <w:rPr>
                <w:rFonts w:ascii="Cambria" w:hAnsi="Cambria"/>
                <w:color w:val="1C2839"/>
                <w:sz w:val="17"/>
              </w:rPr>
              <w:t>Өндірістік қалдықтарды қайталап пайдалану</w:t>
            </w:r>
          </w:p>
        </w:tc>
        <w:tc>
          <w:tcPr>
            <w:tcW w:w="0" w:type="auto"/>
            <w:vAlign w:val="center"/>
          </w:tcPr>
          <w:p w14:paraId="37718155">
            <w:pPr>
              <w:spacing w:after="0" w:line="240" w:lineRule="auto"/>
              <w:ind w:firstLine="0"/>
              <w:jc w:val="left"/>
              <w:rPr>
                <w:rFonts w:ascii="Cambria" w:hAnsi="Cambria"/>
                <w:lang w:val="ru-RU"/>
              </w:rPr>
            </w:pPr>
            <w:r>
              <w:rPr>
                <w:rFonts w:ascii="Cambria" w:hAnsi="Cambria"/>
                <w:color w:val="1C2839"/>
                <w:sz w:val="17"/>
                <w:lang w:val="ru-RU"/>
              </w:rPr>
              <w:t>Бетон сынықтары, металл және қаптаманың анықталған негізгі ағындарының 100%-ын бөлек жинау; қайта өңдеудің нақты үлесі нақтыланады.</w:t>
            </w:r>
          </w:p>
        </w:tc>
        <w:tc>
          <w:tcPr>
            <w:tcW w:w="0" w:type="auto"/>
            <w:vAlign w:val="center"/>
          </w:tcPr>
          <w:p w14:paraId="187B749F">
            <w:pPr>
              <w:spacing w:after="0" w:line="240" w:lineRule="auto"/>
              <w:ind w:firstLine="0"/>
              <w:jc w:val="left"/>
              <w:rPr>
                <w:rFonts w:ascii="Cambria" w:hAnsi="Cambria"/>
                <w:lang w:val="ru-RU"/>
              </w:rPr>
            </w:pPr>
            <w:r>
              <w:rPr>
                <w:rFonts w:ascii="Cambria" w:hAnsi="Cambria"/>
                <w:color w:val="1C2839"/>
                <w:sz w:val="17"/>
                <w:lang w:val="ru-RU"/>
              </w:rPr>
              <w:t>Қалдықтар жөніндегі журналдар мен есептілік, шарттар, технологиялық регламенттер.</w:t>
            </w:r>
          </w:p>
        </w:tc>
      </w:tr>
      <w:tr w14:paraId="747C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4CC63708">
            <w:pPr>
              <w:spacing w:after="0" w:line="240" w:lineRule="auto"/>
              <w:ind w:firstLine="0"/>
              <w:jc w:val="left"/>
              <w:rPr>
                <w:rFonts w:ascii="Cambria" w:hAnsi="Cambria"/>
              </w:rPr>
            </w:pPr>
            <w:r>
              <w:rPr>
                <w:rFonts w:ascii="Cambria" w:hAnsi="Cambria"/>
                <w:color w:val="1C2839"/>
                <w:sz w:val="17"/>
              </w:rPr>
              <w:t>Жерге әсерді шектеу</w:t>
            </w:r>
          </w:p>
        </w:tc>
        <w:tc>
          <w:tcPr>
            <w:tcW w:w="0" w:type="auto"/>
            <w:shd w:val="clear" w:color="auto" w:fill="F0F5F9"/>
            <w:vAlign w:val="center"/>
          </w:tcPr>
          <w:p w14:paraId="6B3A00A0">
            <w:pPr>
              <w:spacing w:after="0" w:line="240" w:lineRule="auto"/>
              <w:ind w:firstLine="0"/>
              <w:jc w:val="left"/>
              <w:rPr>
                <w:rFonts w:ascii="Cambria" w:hAnsi="Cambria"/>
                <w:lang w:val="ru-RU"/>
              </w:rPr>
            </w:pPr>
            <w:r>
              <w:rPr>
                <w:rFonts w:ascii="Cambria" w:hAnsi="Cambria"/>
                <w:color w:val="1C2839"/>
                <w:sz w:val="17"/>
                <w:lang w:val="ru-RU"/>
              </w:rPr>
              <w:t>ИА-ны 200 гектардан аспайтын шекарада құру; нақты бұзылу мен кейінгі рекультивация жоба бойынша айқындалады.</w:t>
            </w:r>
          </w:p>
        </w:tc>
        <w:tc>
          <w:tcPr>
            <w:tcW w:w="0" w:type="auto"/>
            <w:shd w:val="clear" w:color="auto" w:fill="F0F5F9"/>
            <w:vAlign w:val="center"/>
          </w:tcPr>
          <w:p w14:paraId="2B36E859">
            <w:pPr>
              <w:spacing w:after="0" w:line="240" w:lineRule="auto"/>
              <w:ind w:firstLine="0"/>
              <w:jc w:val="left"/>
              <w:rPr>
                <w:rFonts w:ascii="Cambria" w:hAnsi="Cambria"/>
                <w:lang w:val="ru-RU"/>
              </w:rPr>
            </w:pPr>
            <w:r>
              <w:rPr>
                <w:rFonts w:ascii="Cambria" w:hAnsi="Cambria"/>
                <w:color w:val="1C2839"/>
                <w:sz w:val="17"/>
                <w:lang w:val="ru-RU"/>
              </w:rPr>
              <w:t>Жерге орналастыру материалдары, топырақ қабатын алу актілері, атқарушылық құжаттама.</w:t>
            </w:r>
          </w:p>
        </w:tc>
      </w:tr>
      <w:tr w14:paraId="3B7E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617AB6F0">
            <w:pPr>
              <w:spacing w:after="0" w:line="240" w:lineRule="auto"/>
              <w:ind w:firstLine="0"/>
              <w:jc w:val="left"/>
              <w:rPr>
                <w:rFonts w:ascii="Cambria" w:hAnsi="Cambria"/>
              </w:rPr>
            </w:pPr>
            <w:r>
              <w:rPr>
                <w:rFonts w:ascii="Cambria" w:hAnsi="Cambria"/>
                <w:color w:val="1C2839"/>
                <w:sz w:val="17"/>
              </w:rPr>
              <w:t>Су тұтыну</w:t>
            </w:r>
          </w:p>
        </w:tc>
        <w:tc>
          <w:tcPr>
            <w:tcW w:w="0" w:type="auto"/>
            <w:vAlign w:val="center"/>
          </w:tcPr>
          <w:p w14:paraId="3BC8F89E">
            <w:pPr>
              <w:spacing w:after="0" w:line="240" w:lineRule="auto"/>
              <w:ind w:firstLine="0"/>
              <w:jc w:val="left"/>
              <w:rPr>
                <w:rFonts w:ascii="Cambria" w:hAnsi="Cambria"/>
                <w:lang w:val="ru-RU"/>
              </w:rPr>
            </w:pPr>
            <w:r>
              <w:rPr>
                <w:rFonts w:ascii="Cambria" w:hAnsi="Cambria"/>
                <w:color w:val="1C2839"/>
                <w:sz w:val="17"/>
                <w:lang w:val="ru-RU"/>
              </w:rPr>
              <w:t>Су жабдығы таңдалғаннан кейін нақтылау; 300–500 м³/тәулік алдын ала диапазонымен салыстырып бақылау.</w:t>
            </w:r>
          </w:p>
        </w:tc>
        <w:tc>
          <w:tcPr>
            <w:tcW w:w="0" w:type="auto"/>
            <w:vAlign w:val="center"/>
          </w:tcPr>
          <w:p w14:paraId="27F6A0AA">
            <w:pPr>
              <w:spacing w:after="0" w:line="240" w:lineRule="auto"/>
              <w:ind w:firstLine="0"/>
              <w:jc w:val="left"/>
              <w:rPr>
                <w:rFonts w:ascii="Cambria" w:hAnsi="Cambria"/>
                <w:lang w:val="ru-RU"/>
              </w:rPr>
            </w:pPr>
            <w:r>
              <w:rPr>
                <w:rFonts w:ascii="Cambria" w:hAnsi="Cambria"/>
                <w:color w:val="1C2839"/>
                <w:sz w:val="17"/>
                <w:lang w:val="ru-RU"/>
              </w:rPr>
              <w:t>Жобалық теңгерімдер мен су шығынын нақты есепке алу.</w:t>
            </w:r>
          </w:p>
        </w:tc>
      </w:tr>
      <w:tr w14:paraId="11AE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78C478B0">
            <w:pPr>
              <w:spacing w:after="0" w:line="240" w:lineRule="auto"/>
              <w:ind w:firstLine="0"/>
              <w:jc w:val="left"/>
              <w:rPr>
                <w:rFonts w:ascii="Cambria" w:hAnsi="Cambria"/>
              </w:rPr>
            </w:pPr>
            <w:r>
              <w:rPr>
                <w:rFonts w:ascii="Cambria" w:hAnsi="Cambria"/>
                <w:color w:val="1C2839"/>
                <w:sz w:val="17"/>
              </w:rPr>
              <w:t>Қоршаған орта сапасын бақылау</w:t>
            </w:r>
          </w:p>
        </w:tc>
        <w:tc>
          <w:tcPr>
            <w:tcW w:w="0" w:type="auto"/>
            <w:shd w:val="clear" w:color="auto" w:fill="F0F5F9"/>
            <w:vAlign w:val="center"/>
          </w:tcPr>
          <w:p w14:paraId="2456F3A5">
            <w:pPr>
              <w:spacing w:after="0" w:line="240" w:lineRule="auto"/>
              <w:ind w:firstLine="0"/>
              <w:jc w:val="left"/>
              <w:rPr>
                <w:rFonts w:ascii="Cambria" w:hAnsi="Cambria"/>
                <w:lang w:val="ru-RU"/>
              </w:rPr>
            </w:pPr>
            <w:r>
              <w:rPr>
                <w:rFonts w:ascii="Cambria" w:hAnsi="Cambria"/>
                <w:color w:val="1C2839"/>
                <w:sz w:val="17"/>
                <w:lang w:val="ru-RU"/>
              </w:rPr>
              <w:t>Тиісті объектілер үшін көзделген көлемде ауа, шу, су мен топырақты бақылау.</w:t>
            </w:r>
          </w:p>
        </w:tc>
        <w:tc>
          <w:tcPr>
            <w:tcW w:w="0" w:type="auto"/>
            <w:shd w:val="clear" w:color="auto" w:fill="F0F5F9"/>
            <w:vAlign w:val="center"/>
          </w:tcPr>
          <w:p w14:paraId="36CDD696">
            <w:pPr>
              <w:spacing w:after="0" w:line="240" w:lineRule="auto"/>
              <w:ind w:firstLine="0"/>
              <w:jc w:val="left"/>
              <w:rPr>
                <w:rFonts w:ascii="Cambria" w:hAnsi="Cambria"/>
                <w:lang w:val="ru-RU"/>
              </w:rPr>
            </w:pPr>
            <w:r>
              <w:rPr>
                <w:rFonts w:ascii="Cambria" w:hAnsi="Cambria"/>
                <w:color w:val="1C2839"/>
                <w:sz w:val="17"/>
                <w:lang w:val="ru-RU"/>
              </w:rPr>
              <w:t>Экологиялық бақылау бағдарламалары және өлшеу хаттамалары.</w:t>
            </w:r>
          </w:p>
        </w:tc>
      </w:tr>
    </w:tbl>
    <w:p w14:paraId="219321F7">
      <w:pPr>
        <w:spacing w:line="240" w:lineRule="auto"/>
        <w:rPr>
          <w:rFonts w:ascii="Cambria" w:hAnsi="Cambria"/>
          <w:lang w:val="ru-RU"/>
        </w:rPr>
      </w:pPr>
      <w:bookmarkStart w:id="18" w:name="__RefHeading___Toc9516_2617525462"/>
      <w:bookmarkEnd w:id="18"/>
      <w:r>
        <w:rPr>
          <w:rFonts w:ascii="Cambria" w:hAnsi="Cambria"/>
          <w:lang w:val="ru-RU"/>
        </w:rPr>
        <w:t>Ақтөбе облысының Байғанин ауданындағы «Байғанин» Индустриялық аймағын құрудан күтілетін экологиялық әсерді айқындау үшін жоспарланған жеті өндірістік кәсіпорында табиғатты қорғау технологияларын енгізу нәтижелеріне алдын ала сценарийлік бағалау жүргізілді.</w:t>
      </w:r>
    </w:p>
    <w:p w14:paraId="248ABB1A">
      <w:pPr>
        <w:spacing w:line="240" w:lineRule="auto"/>
        <w:rPr>
          <w:rFonts w:ascii="Cambria" w:hAnsi="Cambria"/>
          <w:lang w:val="ru-RU"/>
        </w:rPr>
      </w:pPr>
      <w:r>
        <w:rPr>
          <w:rFonts w:ascii="Cambria" w:hAnsi="Cambria"/>
          <w:lang w:val="ru-RU"/>
        </w:rPr>
        <w:t>Есеп өндірістік процестерді ұйымдастырудың екі нұсқасын салыстыруды көздейді: қарастырылып отырған табиғатты қорғау шаралары жоқ базалық нұсқа және аспирация мен шаң ұстаудың заманауи жүйелерін, айналымды сумен жабдықтауды, технологиялық қалдықтарды бөлек жинау мен қайталап пайдалануды қарастыратын жобалық нұсқа.</w:t>
      </w:r>
    </w:p>
    <w:p w14:paraId="7F707E5E">
      <w:pPr>
        <w:pStyle w:val="75"/>
        <w:keepNext/>
        <w:spacing w:line="240" w:lineRule="auto"/>
        <w:rPr>
          <w:rFonts w:ascii="Cambria" w:hAnsi="Cambria"/>
          <w:lang w:val="ru-RU"/>
        </w:rPr>
      </w:pPr>
      <w:r>
        <w:rPr>
          <w:rFonts w:ascii="Cambria" w:hAnsi="Cambria"/>
          <w:lang w:val="ru-RU"/>
        </w:rPr>
        <w:t>4.6-кесте – Табиғатты қорғау шараларын іске асырудың экологиялық әсерін алдын ала бағалау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5198"/>
        <w:gridCol w:w="1321"/>
        <w:gridCol w:w="1383"/>
        <w:gridCol w:w="1587"/>
      </w:tblGrid>
      <w:tr w14:paraId="3827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0" w:type="auto"/>
            <w:shd w:val="clear" w:color="auto" w:fill="23486F"/>
            <w:vAlign w:val="center"/>
          </w:tcPr>
          <w:p w14:paraId="442385E5">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Көрсеткіш</w:t>
            </w:r>
          </w:p>
        </w:tc>
        <w:tc>
          <w:tcPr>
            <w:tcW w:w="0" w:type="auto"/>
            <w:shd w:val="clear" w:color="auto" w:fill="23486F"/>
            <w:vAlign w:val="center"/>
          </w:tcPr>
          <w:p w14:paraId="21D47D62">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Базалық нұсқа</w:t>
            </w:r>
          </w:p>
        </w:tc>
        <w:tc>
          <w:tcPr>
            <w:tcW w:w="0" w:type="auto"/>
            <w:shd w:val="clear" w:color="auto" w:fill="23486F"/>
            <w:vAlign w:val="center"/>
          </w:tcPr>
          <w:p w14:paraId="53FC0A40">
            <w:pPr>
              <w:spacing w:after="0" w:line="240" w:lineRule="auto"/>
              <w:ind w:firstLine="0"/>
              <w:jc w:val="center"/>
              <w:rPr>
                <w:rFonts w:asciiTheme="minorHAnsi" w:hAnsiTheme="minorHAnsi"/>
                <w:b/>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Жобалық нұсқа</w:t>
            </w:r>
          </w:p>
        </w:tc>
        <w:tc>
          <w:tcPr>
            <w:tcW w:w="0" w:type="auto"/>
            <w:shd w:val="clear" w:color="auto" w:fill="23486F"/>
            <w:vAlign w:val="center"/>
          </w:tcPr>
          <w:p w14:paraId="6FDACE3F">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Экологиялық әсер</w:t>
            </w:r>
          </w:p>
        </w:tc>
      </w:tr>
      <w:tr w14:paraId="1943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562F8B7B">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Сүзгілерге түсетін шаң жүктемесі, т/жыл</w:t>
            </w:r>
          </w:p>
        </w:tc>
        <w:tc>
          <w:tcPr>
            <w:tcW w:w="0" w:type="auto"/>
            <w:vAlign w:val="center"/>
          </w:tcPr>
          <w:p w14:paraId="7906CDBD">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100</w:t>
            </w:r>
          </w:p>
        </w:tc>
        <w:tc>
          <w:tcPr>
            <w:tcW w:w="0" w:type="auto"/>
            <w:vAlign w:val="center"/>
          </w:tcPr>
          <w:p w14:paraId="417CA871">
            <w:pPr>
              <w:spacing w:after="0" w:line="240" w:lineRule="auto"/>
              <w:ind w:firstLine="0"/>
              <w:jc w:val="center"/>
              <w:rPr>
                <w:rFonts w:asciiTheme="minorHAnsi" w:hAnsiTheme="minorHAnsi"/>
                <w:color w:val="1C2839"/>
                <w:sz w:val="17"/>
                <w:szCs w:val="17"/>
                <w:lang w:val="ru-RU"/>
              </w:rPr>
            </w:pPr>
            <w:r>
              <w:rPr>
                <w:rFonts w:eastAsia="Times New Roman" w:cs="Times New Roman" w:asciiTheme="minorHAnsi" w:hAnsiTheme="minorHAnsi"/>
                <w:color w:val="auto"/>
                <w:sz w:val="17"/>
                <w:szCs w:val="17"/>
                <w:lang w:val="ru-RU" w:eastAsia="ru-RU"/>
              </w:rPr>
              <w:t>100</w:t>
            </w:r>
          </w:p>
        </w:tc>
        <w:tc>
          <w:tcPr>
            <w:tcW w:w="0" w:type="auto"/>
            <w:vAlign w:val="center"/>
          </w:tcPr>
          <w:p w14:paraId="150FC69F">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w:t>
            </w:r>
          </w:p>
        </w:tc>
      </w:tr>
      <w:tr w14:paraId="5E92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4C62B1EB">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Қарастырылып отырған сүзгі қондырғыларынан шығатын шаң, т/жыл</w:t>
            </w:r>
          </w:p>
        </w:tc>
        <w:tc>
          <w:tcPr>
            <w:tcW w:w="0" w:type="auto"/>
            <w:shd w:val="clear" w:color="auto" w:fill="F0F5F9"/>
            <w:vAlign w:val="center"/>
          </w:tcPr>
          <w:p w14:paraId="01505A9E">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100</w:t>
            </w:r>
          </w:p>
        </w:tc>
        <w:tc>
          <w:tcPr>
            <w:tcW w:w="0" w:type="auto"/>
            <w:shd w:val="clear" w:color="auto" w:fill="F0F5F9"/>
            <w:vAlign w:val="center"/>
          </w:tcPr>
          <w:p w14:paraId="2AACD71B">
            <w:pPr>
              <w:spacing w:after="0" w:line="240" w:lineRule="auto"/>
              <w:ind w:firstLine="0"/>
              <w:jc w:val="center"/>
              <w:rPr>
                <w:rFonts w:asciiTheme="minorHAnsi" w:hAnsiTheme="minorHAnsi"/>
                <w:color w:val="1C2839"/>
                <w:sz w:val="17"/>
                <w:szCs w:val="17"/>
                <w:lang w:val="ru-RU"/>
              </w:rPr>
            </w:pPr>
            <w:r>
              <w:rPr>
                <w:rFonts w:eastAsia="Times New Roman" w:cs="Times New Roman" w:asciiTheme="minorHAnsi" w:hAnsiTheme="minorHAnsi"/>
                <w:color w:val="auto"/>
                <w:sz w:val="17"/>
                <w:szCs w:val="17"/>
                <w:lang w:val="ru-RU" w:eastAsia="ru-RU"/>
              </w:rPr>
              <w:t>1</w:t>
            </w:r>
          </w:p>
        </w:tc>
        <w:tc>
          <w:tcPr>
            <w:tcW w:w="0" w:type="auto"/>
            <w:shd w:val="clear" w:color="auto" w:fill="F0F5F9"/>
            <w:vAlign w:val="center"/>
          </w:tcPr>
          <w:p w14:paraId="02B11580">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b/>
                <w:bCs/>
                <w:color w:val="auto"/>
                <w:sz w:val="17"/>
                <w:szCs w:val="17"/>
                <w:lang w:val="ru-RU" w:eastAsia="ru-RU"/>
              </w:rPr>
              <w:t>–99 т (99%)</w:t>
            </w:r>
          </w:p>
        </w:tc>
      </w:tr>
      <w:tr w14:paraId="3256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68C446C">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Тұщы суды тұтыну, мың м³/жыл</w:t>
            </w:r>
          </w:p>
        </w:tc>
        <w:tc>
          <w:tcPr>
            <w:tcW w:w="0" w:type="auto"/>
            <w:vAlign w:val="center"/>
          </w:tcPr>
          <w:p w14:paraId="3E29B641">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120</w:t>
            </w:r>
          </w:p>
        </w:tc>
        <w:tc>
          <w:tcPr>
            <w:tcW w:w="0" w:type="auto"/>
            <w:vAlign w:val="center"/>
          </w:tcPr>
          <w:p w14:paraId="768BBF6C">
            <w:pPr>
              <w:spacing w:after="0" w:line="240" w:lineRule="auto"/>
              <w:ind w:firstLine="0"/>
              <w:jc w:val="center"/>
              <w:rPr>
                <w:rFonts w:asciiTheme="minorHAnsi" w:hAnsiTheme="minorHAnsi"/>
                <w:color w:val="1C2839"/>
                <w:sz w:val="17"/>
                <w:szCs w:val="17"/>
                <w:lang w:val="ru-RU"/>
              </w:rPr>
            </w:pPr>
            <w:r>
              <w:rPr>
                <w:rFonts w:eastAsia="Times New Roman" w:cs="Times New Roman" w:asciiTheme="minorHAnsi" w:hAnsiTheme="minorHAnsi"/>
                <w:color w:val="auto"/>
                <w:sz w:val="17"/>
                <w:szCs w:val="17"/>
                <w:lang w:val="ru-RU" w:eastAsia="ru-RU"/>
              </w:rPr>
              <w:t>84</w:t>
            </w:r>
          </w:p>
        </w:tc>
        <w:tc>
          <w:tcPr>
            <w:tcW w:w="0" w:type="auto"/>
            <w:vAlign w:val="center"/>
          </w:tcPr>
          <w:p w14:paraId="6141BF57">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b/>
                <w:bCs/>
                <w:color w:val="auto"/>
                <w:sz w:val="17"/>
                <w:szCs w:val="17"/>
                <w:lang w:val="ru-RU" w:eastAsia="ru-RU"/>
              </w:rPr>
              <w:t>84</w:t>
            </w:r>
          </w:p>
        </w:tc>
      </w:tr>
      <w:tr w14:paraId="4604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373D4285">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Технологиялық қалдықтардың түзілуі, т/жыл</w:t>
            </w:r>
          </w:p>
        </w:tc>
        <w:tc>
          <w:tcPr>
            <w:tcW w:w="0" w:type="auto"/>
            <w:shd w:val="clear" w:color="auto" w:fill="F0F5F9"/>
            <w:vAlign w:val="center"/>
          </w:tcPr>
          <w:p w14:paraId="442DC1A2">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1 000</w:t>
            </w:r>
          </w:p>
        </w:tc>
        <w:tc>
          <w:tcPr>
            <w:tcW w:w="0" w:type="auto"/>
            <w:shd w:val="clear" w:color="auto" w:fill="F0F5F9"/>
            <w:vAlign w:val="center"/>
          </w:tcPr>
          <w:p w14:paraId="0B5959D5">
            <w:pPr>
              <w:spacing w:after="0" w:line="240" w:lineRule="auto"/>
              <w:ind w:firstLine="0"/>
              <w:jc w:val="center"/>
              <w:rPr>
                <w:rFonts w:asciiTheme="minorHAnsi" w:hAnsiTheme="minorHAnsi"/>
                <w:color w:val="1C2839"/>
                <w:sz w:val="17"/>
                <w:szCs w:val="17"/>
                <w:lang w:val="ru-RU"/>
              </w:rPr>
            </w:pPr>
            <w:r>
              <w:rPr>
                <w:rFonts w:eastAsia="Times New Roman" w:cs="Times New Roman" w:asciiTheme="minorHAnsi" w:hAnsiTheme="minorHAnsi"/>
                <w:color w:val="auto"/>
                <w:sz w:val="17"/>
                <w:szCs w:val="17"/>
                <w:lang w:val="ru-RU" w:eastAsia="ru-RU"/>
              </w:rPr>
              <w:t>1 000</w:t>
            </w:r>
          </w:p>
        </w:tc>
        <w:tc>
          <w:tcPr>
            <w:tcW w:w="0" w:type="auto"/>
            <w:shd w:val="clear" w:color="auto" w:fill="F0F5F9"/>
            <w:vAlign w:val="center"/>
          </w:tcPr>
          <w:p w14:paraId="2A6A2B1C">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w:t>
            </w:r>
          </w:p>
        </w:tc>
      </w:tr>
      <w:tr w14:paraId="6342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AA314F6">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Пайдаланылмай, кәдеге жаратуға жіберілетін қалдықтар, т/жыл</w:t>
            </w:r>
          </w:p>
        </w:tc>
        <w:tc>
          <w:tcPr>
            <w:tcW w:w="0" w:type="auto"/>
            <w:vAlign w:val="center"/>
          </w:tcPr>
          <w:p w14:paraId="1D6805C6">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1 000</w:t>
            </w:r>
          </w:p>
        </w:tc>
        <w:tc>
          <w:tcPr>
            <w:tcW w:w="0" w:type="auto"/>
            <w:vAlign w:val="center"/>
          </w:tcPr>
          <w:p w14:paraId="62C6B24E">
            <w:pPr>
              <w:spacing w:after="0" w:line="240" w:lineRule="auto"/>
              <w:ind w:firstLine="0"/>
              <w:jc w:val="center"/>
              <w:rPr>
                <w:rFonts w:asciiTheme="minorHAnsi" w:hAnsiTheme="minorHAnsi"/>
                <w:color w:val="1C2839"/>
                <w:sz w:val="17"/>
                <w:szCs w:val="17"/>
                <w:lang w:val="ru-RU"/>
              </w:rPr>
            </w:pPr>
            <w:r>
              <w:rPr>
                <w:rFonts w:eastAsia="Times New Roman" w:cs="Times New Roman" w:asciiTheme="minorHAnsi" w:hAnsiTheme="minorHAnsi"/>
                <w:color w:val="auto"/>
                <w:sz w:val="17"/>
                <w:szCs w:val="17"/>
                <w:lang w:val="ru-RU" w:eastAsia="ru-RU"/>
              </w:rPr>
              <w:t>400</w:t>
            </w:r>
          </w:p>
        </w:tc>
        <w:tc>
          <w:tcPr>
            <w:tcW w:w="0" w:type="auto"/>
            <w:vAlign w:val="center"/>
          </w:tcPr>
          <w:p w14:paraId="3AB23FB1">
            <w:pPr>
              <w:spacing w:after="0" w:line="240" w:lineRule="auto"/>
              <w:ind w:firstLine="0"/>
              <w:jc w:val="center"/>
              <w:rPr>
                <w:rFonts w:asciiTheme="minorHAnsi" w:hAnsiTheme="minorHAnsi"/>
                <w:sz w:val="17"/>
                <w:szCs w:val="17"/>
                <w:lang w:val="ru-RU"/>
              </w:rPr>
            </w:pPr>
            <w:r>
              <w:rPr>
                <w:rFonts w:eastAsia="Times New Roman" w:cs="Times New Roman" w:asciiTheme="minorHAnsi" w:hAnsiTheme="minorHAnsi"/>
                <w:b/>
                <w:bCs/>
                <w:color w:val="auto"/>
                <w:sz w:val="17"/>
                <w:szCs w:val="17"/>
                <w:lang w:val="ru-RU" w:eastAsia="ru-RU"/>
              </w:rPr>
              <w:t>–600 т (60%)</w:t>
            </w:r>
          </w:p>
        </w:tc>
      </w:tr>
    </w:tbl>
    <w:p w14:paraId="5FD40230">
      <w:pPr>
        <w:pStyle w:val="75"/>
        <w:spacing w:line="240" w:lineRule="auto"/>
        <w:rPr>
          <w:rFonts w:ascii="Cambria" w:hAnsi="Cambria"/>
          <w:lang w:val="ru-RU"/>
        </w:rPr>
      </w:pPr>
      <w:r>
        <w:rPr>
          <w:rFonts w:ascii="Cambria" w:hAnsi="Cambria"/>
          <w:lang w:val="ru-RU"/>
        </w:rPr>
        <w:t>Ескертпе. Шаң жүктемесі мен қалдықтар көрсеткіштері жеті кәсіпорынның белгіленген сипаттамалары емес, иллюстрациялық сценарий ретінде қабылданған. Су есебі тәулігіне 400 м³ қажеттілік, жылына 300 жұмыс күні және тұщы судың 30%-ын айналымды сумен алмастыру шарты негізінде орындалды. Шаң шығарындыларын азайту көрсеткіші тек сүзгілермен жабдықталған қарастырылып отырған ұйымдасқан көздерге қатысты және ұйымдастырылмаған шығарындыларды есепке алмайды.</w:t>
      </w:r>
    </w:p>
    <w:p w14:paraId="6364DB74">
      <w:pPr>
        <w:spacing w:line="240" w:lineRule="auto"/>
        <w:rPr>
          <w:rFonts w:ascii="Cambria" w:hAnsi="Cambria"/>
          <w:lang w:val="ru-RU"/>
        </w:rPr>
      </w:pPr>
      <w:r>
        <w:rPr>
          <w:rFonts w:ascii="Cambria" w:hAnsi="Cambria"/>
          <w:b/>
          <w:bCs/>
          <w:lang w:val="ru-RU"/>
        </w:rPr>
        <w:t>Шаң шығарындыларын азайту.</w:t>
      </w:r>
      <w:r>
        <w:rPr>
          <w:rFonts w:ascii="Cambria" w:hAnsi="Cambria"/>
          <w:lang w:val="ru-RU"/>
        </w:rPr>
        <w:t xml:space="preserve"> Аспирациялық жүйелерге түсетін шартты жиынтық шаң жүктемесі жылына 100 тонна және сүзу тиімділігі 99% болған кезде есептік ұсталатын көлем жылына 99 тоннаны құрайды. Қарастырылып отырған қондырғылардан қалатын шығарындылар жылына 1 тонна болады. Бұл шешімді іске асыру цементті, құрғақ қоспаларды және өзге ұнтақ тәрізді материалдарды сақтау, қайта тиеу мен мөлшерлеу операцияларынан шығатын эмиссияларды едәуір шектеуге мүмкіндік береді.</w:t>
      </w:r>
    </w:p>
    <w:p w14:paraId="2F43E030">
      <w:pPr>
        <w:spacing w:line="240" w:lineRule="auto"/>
        <w:rPr>
          <w:rFonts w:ascii="Cambria" w:hAnsi="Cambria"/>
          <w:lang w:val="ru-RU"/>
        </w:rPr>
      </w:pPr>
      <w:r>
        <w:rPr>
          <w:rFonts w:ascii="Cambria" w:hAnsi="Cambria"/>
          <w:b/>
          <w:bCs/>
          <w:lang w:val="ru-RU"/>
        </w:rPr>
        <w:t>Су ресурстарын ұтымды пайдалану.</w:t>
      </w:r>
      <w:r>
        <w:rPr>
          <w:rFonts w:ascii="Cambria" w:hAnsi="Cambria"/>
          <w:lang w:val="ru-RU"/>
        </w:rPr>
        <w:t xml:space="preserve"> Технологиялық суды есептік тұтыну тәулігіне 400 м³ болғанда кәсіпорындардың жылдық қажеттілігі шамамен 120 мың м³ құрайды. Тұщы судың 30%-ын алмастыратын айналымды жүйелерді енгізу оны тұтынуды жылына 84 мың м³-ке дейін азайтуға мүмкіндік береді. Осылайша, қарастырылып отырған сценарийде тұщы судың күтілетін үнемі жылына 36 мың м³ болады. Бұған қоса, тазартуды және бұруды қажет ететін өндірістік ағынды сулардың көлемі азаяды.</w:t>
      </w:r>
    </w:p>
    <w:p w14:paraId="59FC4C41">
      <w:pPr>
        <w:spacing w:line="240" w:lineRule="auto"/>
        <w:rPr>
          <w:rFonts w:ascii="Cambria" w:hAnsi="Cambria"/>
          <w:lang w:val="ru-RU"/>
        </w:rPr>
      </w:pPr>
      <w:r>
        <w:rPr>
          <w:rFonts w:ascii="Cambria" w:hAnsi="Cambria"/>
          <w:b/>
          <w:bCs/>
          <w:lang w:val="ru-RU"/>
        </w:rPr>
        <w:t>Кәдеге жаратуға жіберілетін қалдықтарды қысқарту.</w:t>
      </w:r>
      <w:r>
        <w:rPr>
          <w:rFonts w:ascii="Cambria" w:hAnsi="Cambria"/>
          <w:lang w:val="ru-RU"/>
        </w:rPr>
        <w:t xml:space="preserve"> Жеті кәсіпорын үшін бетон сынықтарын, талапқа сай емес бұйымдарды, металл кесінділері мен қаптама материалдарын қоса алғанда, жылына шамамен 1 мың тонна технологиялық қалдық түзіледі деген сценарий қарастырылады. Аталған қалдықтардың 60%-ын бөлек жинау, қайта өңдеу немесе пайдалы мақсатта тапсыру ұйымдастырылса, кәдеге жаратуға жіберілмейтін материалдар көлемі жылына шамамен 600 тоннаны құрайды. Бұл қалдықтарды орналастыру қажеттілігін азайтып, материалдық ресурстарды ұтымды пайдалануға мүмкіндік береді.</w:t>
      </w:r>
    </w:p>
    <w:p w14:paraId="3F064A02">
      <w:pPr>
        <w:spacing w:line="240" w:lineRule="auto"/>
        <w:rPr>
          <w:rFonts w:ascii="Cambria" w:hAnsi="Cambria"/>
          <w:lang w:val="ru-RU"/>
        </w:rPr>
      </w:pPr>
      <w:r>
        <w:rPr>
          <w:rFonts w:ascii="Cambria" w:hAnsi="Cambria"/>
          <w:b/>
          <w:bCs/>
          <w:lang w:val="ru-RU"/>
        </w:rPr>
        <w:t>Жер ресурстарын сақтау.</w:t>
      </w:r>
      <w:r>
        <w:rPr>
          <w:rFonts w:ascii="Cambria" w:hAnsi="Cambria"/>
          <w:lang w:val="ru-RU"/>
        </w:rPr>
        <w:t xml:space="preserve"> Жер пайдалануға қатысты экологиялық әсерге өндірістік объектілерді ықшам орналастыру, негізсіз жер жұмыстарын барынша азайту, жарамды құнарлы қабатты сақтау және аумақты абаттандыру арқылы қол жеткізу көзделеді. Сақталған және қалпына келтірілген жерлердің сандық көрсеткіштері бас жоспар бекітіліп, инженерлік-экологиялық іздестіру аяқталғаннан кейін айқындалады.</w:t>
      </w:r>
    </w:p>
    <w:p w14:paraId="6F51F3E2">
      <w:pPr>
        <w:spacing w:line="240" w:lineRule="auto"/>
        <w:rPr>
          <w:rFonts w:ascii="Cambria" w:hAnsi="Cambria"/>
          <w:lang w:val="ru-RU"/>
        </w:rPr>
      </w:pPr>
      <w:r>
        <w:rPr>
          <w:rFonts w:ascii="Cambria" w:hAnsi="Cambria"/>
          <w:lang w:val="ru-RU"/>
        </w:rPr>
        <w:t>Осылайша, алдын ала сценарийлік есептер технологиялық шаң шығарындыларын азайту, су ресурстарын үнемдеу және кәдеге жаратуға жіберілетін қалдықтар көлемін қысқарту бойынша өлшенетін нәтижелерге қол жеткізу мүмкіндігін көрсетеді. Алынған көрсеткіштер қабылданған жорамалдар жағдайындағы табиғатты қорғау шешімдерінің ықтимал тиімділігін сипаттайды және резиденттік жобалардың технологиялық параметрлері ескеріліп нақтыланады.</w:t>
      </w:r>
    </w:p>
    <w:p w14:paraId="2C302604">
      <w:pPr>
        <w:spacing w:line="240" w:lineRule="auto"/>
        <w:ind w:firstLine="0"/>
        <w:jc w:val="center"/>
        <w:rPr>
          <w:rFonts w:ascii="Cambria" w:hAnsi="Cambria"/>
          <w:lang w:val="ru-RU"/>
        </w:rPr>
      </w:pPr>
      <w:r>
        <w:drawing>
          <wp:inline distT="0" distB="0" distL="114300" distR="114300">
            <wp:extent cx="5247640" cy="3052445"/>
            <wp:effectExtent l="0" t="0" r="10160" b="1460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9"/>
                    <a:stretch>
                      <a:fillRect/>
                    </a:stretch>
                  </pic:blipFill>
                  <pic:spPr>
                    <a:xfrm>
                      <a:off x="0" y="0"/>
                      <a:ext cx="5247640" cy="3052445"/>
                    </a:xfrm>
                    <a:prstGeom prst="rect">
                      <a:avLst/>
                    </a:prstGeom>
                  </pic:spPr>
                </pic:pic>
              </a:graphicData>
            </a:graphic>
          </wp:inline>
        </w:drawing>
      </w:r>
    </w:p>
    <w:p w14:paraId="35453627">
      <w:pPr>
        <w:pStyle w:val="3"/>
        <w:spacing w:line="240" w:lineRule="auto"/>
        <w:rPr>
          <w:rFonts w:ascii="Cambria" w:hAnsi="Cambria"/>
          <w:lang w:val="ru-RU"/>
        </w:rPr>
      </w:pPr>
      <w:r>
        <w:rPr>
          <w:rFonts w:ascii="Cambria" w:hAnsi="Cambria"/>
          <w:lang w:val="ru-RU"/>
        </w:rPr>
        <w:t>4.5. Экологиялық тәуекелдерді бағалау және оларды барынша азайту шаралары</w:t>
      </w:r>
    </w:p>
    <w:p w14:paraId="3B3B4751">
      <w:pPr>
        <w:spacing w:line="240" w:lineRule="auto"/>
        <w:rPr>
          <w:rFonts w:ascii="Cambria" w:hAnsi="Cambria"/>
          <w:lang w:val="ru-RU"/>
        </w:rPr>
      </w:pPr>
      <w:r>
        <w:rPr>
          <w:rFonts w:ascii="Cambria" w:hAnsi="Cambria"/>
          <w:lang w:val="ru-RU"/>
        </w:rPr>
        <w:t>ИА құрудың негізгі тәуекелдері – өнеркәсіптік объектілердің жиынтық шаң әсерінің артуы, сумен қамтамасыз етілу мен су бұру сенімділігінің белгісіздігі, санитариялық аралықтары жеткіліксіз кәсіпорындарды орналастыру, құрылыс кезінде жерді ластау, технологиялық қалдықтармен тиісінше жұмыс істемеу және жабдық пен көлік объектілерін пайдалану кезіндегі авариялық жағдайлар. Бастапқы параметрлердің белгісіздігі де жеке тәуекел болып табылады: бастапқы фондық өлшемдердің болмауы жоспарлауды, технологиялық шешімдерді немесе іске асыру мерзімдерін өзгерту қажеттігіне әкелуі мүмкін.</w:t>
      </w:r>
    </w:p>
    <w:p w14:paraId="6C2BBD66">
      <w:pPr>
        <w:spacing w:line="240" w:lineRule="auto"/>
        <w:rPr>
          <w:rFonts w:ascii="Cambria" w:hAnsi="Cambria"/>
          <w:lang w:val="ru-RU"/>
        </w:rPr>
      </w:pPr>
      <w:r>
        <w:rPr>
          <w:rFonts w:ascii="Cambria" w:hAnsi="Cambria"/>
          <w:lang w:val="ru-RU"/>
        </w:rPr>
        <w:t>ИА цемент зауытының екі жағына орналастырылатынын ескерсек, шаң шығарындыларының, көлік ағындарының және өндірістік шудың жиынтық әсеріне ерекше назар аудару қажет. Ластаушы заттардың таралуын модельдеу кезінде болжанатын резиденттердің өз көздерімен қатар, белгіленген әдістемелерге сәйкес фондық концентрациялар және негізделген түрде айқындалған қолданыстағы не жобаланатын көршілес көздер ескерілуге тиіс. Жабдықты орналастыру, санитариялық-қорғау аймақтары және жоспарланған қызмет түрлеріне жол беру жөніндегі түпкілікті шешімдер жобалау және қажетті рәсімдерден өту кезеңінде қабылданады.</w:t>
      </w:r>
    </w:p>
    <w:p w14:paraId="650DDD20">
      <w:pPr>
        <w:pStyle w:val="75"/>
        <w:spacing w:line="240" w:lineRule="auto"/>
        <w:rPr>
          <w:rFonts w:ascii="Cambria" w:hAnsi="Cambria"/>
          <w:lang w:val="ru-RU"/>
        </w:rPr>
      </w:pPr>
      <w:r>
        <w:rPr>
          <w:rFonts w:ascii="Cambria" w:hAnsi="Cambria"/>
          <w:lang w:val="ru-RU"/>
        </w:rPr>
        <w:t>4.7-кесте – «Байғанин» ИА-ның негізгі экологиялық тәуекелдерінің тізілімі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90" w:type="dxa"/>
          <w:left w:w="95" w:type="dxa"/>
          <w:bottom w:w="90" w:type="dxa"/>
          <w:right w:w="95" w:type="dxa"/>
        </w:tblCellMar>
      </w:tblPr>
      <w:tblGrid>
        <w:gridCol w:w="2571"/>
        <w:gridCol w:w="3041"/>
        <w:gridCol w:w="3877"/>
      </w:tblGrid>
      <w:tr w14:paraId="0C8E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tblHeader/>
          <w:jc w:val="center"/>
        </w:trPr>
        <w:tc>
          <w:tcPr>
            <w:tcW w:w="0" w:type="auto"/>
            <w:shd w:val="clear" w:color="auto" w:fill="23486F"/>
            <w:vAlign w:val="center"/>
          </w:tcPr>
          <w:p w14:paraId="5FE90431">
            <w:pPr>
              <w:spacing w:after="0" w:line="240" w:lineRule="auto"/>
              <w:ind w:firstLine="0"/>
              <w:jc w:val="center"/>
              <w:rPr>
                <w:rFonts w:ascii="Cambria" w:hAnsi="Cambria"/>
              </w:rPr>
            </w:pPr>
            <w:r>
              <w:rPr>
                <w:rFonts w:ascii="Cambria" w:hAnsi="Cambria"/>
                <w:b/>
                <w:color w:val="FFFFFF"/>
                <w:sz w:val="17"/>
              </w:rPr>
              <w:t>Экологиялық тәуекел</w:t>
            </w:r>
          </w:p>
        </w:tc>
        <w:tc>
          <w:tcPr>
            <w:tcW w:w="0" w:type="auto"/>
            <w:shd w:val="clear" w:color="auto" w:fill="23486F"/>
            <w:vAlign w:val="center"/>
          </w:tcPr>
          <w:p w14:paraId="0952B767">
            <w:pPr>
              <w:spacing w:after="0" w:line="240" w:lineRule="auto"/>
              <w:ind w:firstLine="0"/>
              <w:jc w:val="center"/>
              <w:rPr>
                <w:rFonts w:ascii="Cambria" w:hAnsi="Cambria"/>
              </w:rPr>
            </w:pPr>
            <w:r>
              <w:rPr>
                <w:rFonts w:ascii="Cambria" w:hAnsi="Cambria"/>
                <w:b/>
                <w:color w:val="FFFFFF"/>
                <w:sz w:val="17"/>
              </w:rPr>
              <w:t>Ықтимал салдар</w:t>
            </w:r>
          </w:p>
        </w:tc>
        <w:tc>
          <w:tcPr>
            <w:tcW w:w="0" w:type="auto"/>
            <w:shd w:val="clear" w:color="auto" w:fill="23486F"/>
            <w:vAlign w:val="center"/>
          </w:tcPr>
          <w:p w14:paraId="4552979A">
            <w:pPr>
              <w:spacing w:after="0" w:line="240" w:lineRule="auto"/>
              <w:ind w:firstLine="0"/>
              <w:jc w:val="center"/>
              <w:rPr>
                <w:rFonts w:ascii="Cambria" w:hAnsi="Cambria"/>
              </w:rPr>
            </w:pPr>
            <w:r>
              <w:rPr>
                <w:rFonts w:ascii="Cambria" w:hAnsi="Cambria"/>
                <w:b/>
                <w:color w:val="FFFFFF"/>
                <w:sz w:val="17"/>
              </w:rPr>
              <w:t>Алдын алу және бақылау шаралары</w:t>
            </w:r>
          </w:p>
        </w:tc>
      </w:tr>
      <w:tr w14:paraId="6BE4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5A04D7DC">
            <w:pPr>
              <w:spacing w:after="0" w:line="240" w:lineRule="auto"/>
              <w:ind w:firstLine="0"/>
              <w:jc w:val="left"/>
              <w:rPr>
                <w:rFonts w:ascii="Cambria" w:hAnsi="Cambria"/>
                <w:lang w:val="ru-RU"/>
              </w:rPr>
            </w:pPr>
            <w:r>
              <w:rPr>
                <w:rFonts w:ascii="Cambria" w:hAnsi="Cambria"/>
                <w:color w:val="1C2839"/>
                <w:sz w:val="17"/>
                <w:lang w:val="ru-RU"/>
              </w:rPr>
              <w:t>Цемент зауыты мен резиденттердің жиынтық шаң әсері</w:t>
            </w:r>
          </w:p>
        </w:tc>
        <w:tc>
          <w:tcPr>
            <w:tcW w:w="0" w:type="auto"/>
            <w:vAlign w:val="center"/>
          </w:tcPr>
          <w:p w14:paraId="06D9E80B">
            <w:pPr>
              <w:spacing w:after="0" w:line="240" w:lineRule="auto"/>
              <w:ind w:firstLine="0"/>
              <w:jc w:val="left"/>
              <w:rPr>
                <w:rFonts w:ascii="Cambria" w:hAnsi="Cambria"/>
                <w:lang w:val="ru-RU"/>
              </w:rPr>
            </w:pPr>
            <w:r>
              <w:rPr>
                <w:rFonts w:ascii="Cambria" w:hAnsi="Cambria"/>
                <w:color w:val="1C2839"/>
                <w:sz w:val="17"/>
                <w:lang w:val="ru-RU"/>
              </w:rPr>
              <w:t>Өндіріс аумағында және оған іргелес аумақтарда өлшенген заттар мен шаң концентрацияларының артуы.</w:t>
            </w:r>
          </w:p>
        </w:tc>
        <w:tc>
          <w:tcPr>
            <w:tcW w:w="0" w:type="auto"/>
            <w:vAlign w:val="center"/>
          </w:tcPr>
          <w:p w14:paraId="70A7AEA8">
            <w:pPr>
              <w:spacing w:after="0" w:line="240" w:lineRule="auto"/>
              <w:ind w:firstLine="0"/>
              <w:jc w:val="left"/>
              <w:rPr>
                <w:rFonts w:ascii="Cambria" w:hAnsi="Cambria"/>
                <w:lang w:val="ru-RU"/>
              </w:rPr>
            </w:pPr>
            <w:r>
              <w:rPr>
                <w:rFonts w:ascii="Cambria" w:hAnsi="Cambria"/>
                <w:color w:val="1C2839"/>
                <w:sz w:val="17"/>
                <w:lang w:val="ru-RU"/>
              </w:rPr>
              <w:t>Көздерді түгендеу; жиынтық таралуды модельдеу; герметикалау және аспирация; жоспарлауды түзету.</w:t>
            </w:r>
          </w:p>
        </w:tc>
      </w:tr>
      <w:tr w14:paraId="778C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325876C9">
            <w:pPr>
              <w:spacing w:after="0" w:line="240" w:lineRule="auto"/>
              <w:ind w:firstLine="0"/>
              <w:jc w:val="left"/>
              <w:rPr>
                <w:rFonts w:ascii="Cambria" w:hAnsi="Cambria"/>
                <w:lang w:val="ru-RU"/>
              </w:rPr>
            </w:pPr>
            <w:r>
              <w:rPr>
                <w:rFonts w:ascii="Cambria" w:hAnsi="Cambria"/>
                <w:color w:val="1C2839"/>
                <w:sz w:val="17"/>
                <w:lang w:val="ru-RU"/>
              </w:rPr>
              <w:t>Судың жеткіліксіздігі немесе бақылаусыз ағызу</w:t>
            </w:r>
          </w:p>
        </w:tc>
        <w:tc>
          <w:tcPr>
            <w:tcW w:w="0" w:type="auto"/>
            <w:shd w:val="clear" w:color="auto" w:fill="F0F5F9"/>
            <w:vAlign w:val="center"/>
          </w:tcPr>
          <w:p w14:paraId="06D1CE78">
            <w:pPr>
              <w:spacing w:after="0" w:line="240" w:lineRule="auto"/>
              <w:ind w:firstLine="0"/>
              <w:jc w:val="left"/>
              <w:rPr>
                <w:rFonts w:ascii="Cambria" w:hAnsi="Cambria"/>
                <w:lang w:val="ru-RU"/>
              </w:rPr>
            </w:pPr>
            <w:r>
              <w:rPr>
                <w:rFonts w:ascii="Cambria" w:hAnsi="Cambria"/>
                <w:color w:val="1C2839"/>
                <w:sz w:val="17"/>
                <w:lang w:val="ru-RU"/>
              </w:rPr>
              <w:t>Технологиялық процестерді шектеу, топырақты ластау және су ресурстарына ықтимал әсер.</w:t>
            </w:r>
          </w:p>
        </w:tc>
        <w:tc>
          <w:tcPr>
            <w:tcW w:w="0" w:type="auto"/>
            <w:shd w:val="clear" w:color="auto" w:fill="F0F5F9"/>
            <w:vAlign w:val="center"/>
          </w:tcPr>
          <w:p w14:paraId="39EA9614">
            <w:pPr>
              <w:spacing w:after="0" w:line="240" w:lineRule="auto"/>
              <w:ind w:firstLine="0"/>
              <w:jc w:val="left"/>
              <w:rPr>
                <w:rFonts w:ascii="Cambria" w:hAnsi="Cambria"/>
                <w:lang w:val="ru-RU"/>
              </w:rPr>
            </w:pPr>
            <w:r>
              <w:rPr>
                <w:rFonts w:ascii="Cambria" w:hAnsi="Cambria"/>
                <w:color w:val="1C2839"/>
                <w:sz w:val="17"/>
                <w:lang w:val="ru-RU"/>
              </w:rPr>
              <w:t>Техникалық шарттарды растау; су теңгерімі; айналымды және жергілікті тазарту жүйелері; апаттық сыйымдылықтар.</w:t>
            </w:r>
          </w:p>
        </w:tc>
      </w:tr>
      <w:tr w14:paraId="6C1B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5E133730">
            <w:pPr>
              <w:spacing w:after="0" w:line="240" w:lineRule="auto"/>
              <w:ind w:firstLine="0"/>
              <w:jc w:val="left"/>
              <w:rPr>
                <w:rFonts w:ascii="Cambria" w:hAnsi="Cambria"/>
                <w:lang w:val="ru-RU"/>
              </w:rPr>
            </w:pPr>
            <w:r>
              <w:rPr>
                <w:rFonts w:ascii="Cambria" w:hAnsi="Cambria"/>
                <w:color w:val="1C2839"/>
                <w:sz w:val="17"/>
                <w:lang w:val="ru-RU"/>
              </w:rPr>
              <w:t>Орналастыру және санитариялық аралықтарды белгілеу кезіндегі қателер</w:t>
            </w:r>
          </w:p>
        </w:tc>
        <w:tc>
          <w:tcPr>
            <w:tcW w:w="0" w:type="auto"/>
            <w:vAlign w:val="center"/>
          </w:tcPr>
          <w:p w14:paraId="223902FB">
            <w:pPr>
              <w:spacing w:after="0" w:line="240" w:lineRule="auto"/>
              <w:ind w:firstLine="0"/>
              <w:jc w:val="left"/>
              <w:rPr>
                <w:rFonts w:ascii="Cambria" w:hAnsi="Cambria"/>
                <w:lang w:val="ru-RU"/>
              </w:rPr>
            </w:pPr>
            <w:r>
              <w:rPr>
                <w:rFonts w:ascii="Cambria" w:hAnsi="Cambria"/>
                <w:color w:val="1C2839"/>
                <w:sz w:val="17"/>
                <w:lang w:val="ru-RU"/>
              </w:rPr>
              <w:t>Жекелеген тораптарды орналастыру мүмкін болмауы, өндіріс конфигурациясын өзгерту қажеттігі.</w:t>
            </w:r>
          </w:p>
        </w:tc>
        <w:tc>
          <w:tcPr>
            <w:tcW w:w="0" w:type="auto"/>
            <w:vAlign w:val="center"/>
          </w:tcPr>
          <w:p w14:paraId="00342929">
            <w:pPr>
              <w:spacing w:after="0" w:line="240" w:lineRule="auto"/>
              <w:ind w:firstLine="0"/>
              <w:jc w:val="left"/>
              <w:rPr>
                <w:rFonts w:ascii="Cambria" w:hAnsi="Cambria"/>
                <w:lang w:val="ru-RU"/>
              </w:rPr>
            </w:pPr>
            <w:r>
              <w:rPr>
                <w:rFonts w:ascii="Cambria" w:hAnsi="Cambria"/>
                <w:color w:val="1C2839"/>
                <w:sz w:val="17"/>
                <w:lang w:val="ru-RU"/>
              </w:rPr>
              <w:t>Жоспар түпкілікті бекітілгенге дейін санитариялық-қорғау аймақтары мен физикалық факторларды есептеу; жобаларды келісу.</w:t>
            </w:r>
          </w:p>
        </w:tc>
      </w:tr>
      <w:tr w14:paraId="3CA2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7D990A10">
            <w:pPr>
              <w:spacing w:after="0" w:line="240" w:lineRule="auto"/>
              <w:ind w:firstLine="0"/>
              <w:jc w:val="left"/>
              <w:rPr>
                <w:rFonts w:ascii="Cambria" w:hAnsi="Cambria"/>
                <w:lang w:val="ru-RU"/>
              </w:rPr>
            </w:pPr>
            <w:r>
              <w:rPr>
                <w:rFonts w:ascii="Cambria" w:hAnsi="Cambria"/>
                <w:color w:val="1C2839"/>
                <w:sz w:val="17"/>
                <w:lang w:val="ru-RU"/>
              </w:rPr>
              <w:t>Топырақ жамылғысы мен жерүсті ағынының бұзылуы</w:t>
            </w:r>
          </w:p>
        </w:tc>
        <w:tc>
          <w:tcPr>
            <w:tcW w:w="0" w:type="auto"/>
            <w:shd w:val="clear" w:color="auto" w:fill="F0F5F9"/>
            <w:vAlign w:val="center"/>
          </w:tcPr>
          <w:p w14:paraId="732409CF">
            <w:pPr>
              <w:spacing w:after="0" w:line="240" w:lineRule="auto"/>
              <w:ind w:firstLine="0"/>
              <w:jc w:val="left"/>
              <w:rPr>
                <w:rFonts w:ascii="Cambria" w:hAnsi="Cambria"/>
                <w:lang w:val="ru-RU"/>
              </w:rPr>
            </w:pPr>
            <w:r>
              <w:rPr>
                <w:rFonts w:ascii="Cambria" w:hAnsi="Cambria"/>
                <w:color w:val="1C2839"/>
                <w:sz w:val="17"/>
                <w:lang w:val="ru-RU"/>
              </w:rPr>
              <w:t>Эрозия, ластанған ағынның түзілуі, ауыл шаруашылығы жерлері сапасының төмендеуі.</w:t>
            </w:r>
          </w:p>
        </w:tc>
        <w:tc>
          <w:tcPr>
            <w:tcW w:w="0" w:type="auto"/>
            <w:shd w:val="clear" w:color="auto" w:fill="F0F5F9"/>
            <w:vAlign w:val="center"/>
          </w:tcPr>
          <w:p w14:paraId="48995019">
            <w:pPr>
              <w:spacing w:after="0" w:line="240" w:lineRule="auto"/>
              <w:ind w:firstLine="0"/>
              <w:jc w:val="left"/>
              <w:rPr>
                <w:rFonts w:ascii="Cambria" w:hAnsi="Cambria"/>
                <w:lang w:val="ru-RU"/>
              </w:rPr>
            </w:pPr>
            <w:r>
              <w:rPr>
                <w:rFonts w:ascii="Cambria" w:hAnsi="Cambria"/>
                <w:color w:val="1C2839"/>
                <w:sz w:val="17"/>
                <w:lang w:val="ru-RU"/>
              </w:rPr>
              <w:t>Инженерлік іздестіру; топырақ қабатын басқару; су бұру; уақытша құрылыс алаңдарын қалпына келтіру.</w:t>
            </w:r>
          </w:p>
        </w:tc>
      </w:tr>
      <w:tr w14:paraId="63E8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44E1524E">
            <w:pPr>
              <w:spacing w:after="0" w:line="240" w:lineRule="auto"/>
              <w:ind w:firstLine="0"/>
              <w:jc w:val="left"/>
              <w:rPr>
                <w:rFonts w:ascii="Cambria" w:hAnsi="Cambria"/>
                <w:lang w:val="ru-RU"/>
              </w:rPr>
            </w:pPr>
            <w:r>
              <w:rPr>
                <w:rFonts w:ascii="Cambria" w:hAnsi="Cambria"/>
                <w:color w:val="1C2839"/>
                <w:sz w:val="17"/>
                <w:lang w:val="ru-RU"/>
              </w:rPr>
              <w:t>Өндірістік қалдықтармен жұмыс істеу тәртібін сақтамау</w:t>
            </w:r>
          </w:p>
        </w:tc>
        <w:tc>
          <w:tcPr>
            <w:tcW w:w="0" w:type="auto"/>
            <w:vAlign w:val="center"/>
          </w:tcPr>
          <w:p w14:paraId="131F60EA">
            <w:pPr>
              <w:spacing w:after="0" w:line="240" w:lineRule="auto"/>
              <w:ind w:firstLine="0"/>
              <w:jc w:val="left"/>
              <w:rPr>
                <w:rFonts w:ascii="Cambria" w:hAnsi="Cambria"/>
                <w:lang w:val="ru-RU"/>
              </w:rPr>
            </w:pPr>
            <w:r>
              <w:rPr>
                <w:rFonts w:ascii="Cambria" w:hAnsi="Cambria"/>
                <w:color w:val="1C2839"/>
                <w:sz w:val="17"/>
                <w:lang w:val="ru-RU"/>
              </w:rPr>
              <w:t>Қалдықтардың шаңдануы, топырақтың ластануы, салдарды жоюға қосымша шығындар.</w:t>
            </w:r>
          </w:p>
        </w:tc>
        <w:tc>
          <w:tcPr>
            <w:tcW w:w="0" w:type="auto"/>
            <w:vAlign w:val="center"/>
          </w:tcPr>
          <w:p w14:paraId="35D5BE09">
            <w:pPr>
              <w:spacing w:after="0" w:line="240" w:lineRule="auto"/>
              <w:ind w:firstLine="0"/>
              <w:jc w:val="left"/>
              <w:rPr>
                <w:rFonts w:ascii="Cambria" w:hAnsi="Cambria"/>
                <w:lang w:val="ru-RU"/>
              </w:rPr>
            </w:pPr>
            <w:r>
              <w:rPr>
                <w:rFonts w:ascii="Cambria" w:hAnsi="Cambria"/>
                <w:color w:val="1C2839"/>
                <w:sz w:val="17"/>
                <w:lang w:val="ru-RU"/>
              </w:rPr>
              <w:t>Қалдықтарды есепке алу; жинақтаудың бөлек алаңдары; шарттар және қайталап пайдалану технологиясы.</w:t>
            </w:r>
          </w:p>
        </w:tc>
      </w:tr>
      <w:tr w14:paraId="516F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shd w:val="clear" w:color="auto" w:fill="F0F5F9"/>
            <w:vAlign w:val="center"/>
          </w:tcPr>
          <w:p w14:paraId="5D514AF3">
            <w:pPr>
              <w:spacing w:after="0" w:line="240" w:lineRule="auto"/>
              <w:ind w:firstLine="0"/>
              <w:jc w:val="left"/>
              <w:rPr>
                <w:rFonts w:ascii="Cambria" w:hAnsi="Cambria"/>
                <w:lang w:val="ru-RU"/>
              </w:rPr>
            </w:pPr>
            <w:r>
              <w:rPr>
                <w:rFonts w:ascii="Cambria" w:hAnsi="Cambria"/>
                <w:color w:val="1C2839"/>
                <w:sz w:val="17"/>
                <w:lang w:val="ru-RU"/>
              </w:rPr>
              <w:t>Тазарту жабдығының авариялары мен істен шығуы</w:t>
            </w:r>
          </w:p>
        </w:tc>
        <w:tc>
          <w:tcPr>
            <w:tcW w:w="0" w:type="auto"/>
            <w:shd w:val="clear" w:color="auto" w:fill="F0F5F9"/>
            <w:vAlign w:val="center"/>
          </w:tcPr>
          <w:p w14:paraId="12B5272B">
            <w:pPr>
              <w:spacing w:after="0" w:line="240" w:lineRule="auto"/>
              <w:ind w:firstLine="0"/>
              <w:jc w:val="left"/>
              <w:rPr>
                <w:rFonts w:ascii="Cambria" w:hAnsi="Cambria"/>
                <w:lang w:val="ru-RU"/>
              </w:rPr>
            </w:pPr>
            <w:r>
              <w:rPr>
                <w:rFonts w:ascii="Cambria" w:hAnsi="Cambria"/>
                <w:color w:val="1C2839"/>
                <w:sz w:val="17"/>
                <w:lang w:val="ru-RU"/>
              </w:rPr>
              <w:t>Бір мезгілде шығарындылардың артуы, төгілу, өрт, өндірістің уақытша тоқтауы.</w:t>
            </w:r>
          </w:p>
        </w:tc>
        <w:tc>
          <w:tcPr>
            <w:tcW w:w="0" w:type="auto"/>
            <w:shd w:val="clear" w:color="auto" w:fill="F0F5F9"/>
            <w:vAlign w:val="center"/>
          </w:tcPr>
          <w:p w14:paraId="4AAC5CC2">
            <w:pPr>
              <w:spacing w:after="0" w:line="240" w:lineRule="auto"/>
              <w:ind w:firstLine="0"/>
              <w:jc w:val="left"/>
              <w:rPr>
                <w:rFonts w:ascii="Cambria" w:hAnsi="Cambria"/>
                <w:lang w:val="ru-RU"/>
              </w:rPr>
            </w:pPr>
            <w:r>
              <w:rPr>
                <w:rFonts w:ascii="Cambria" w:hAnsi="Cambria"/>
                <w:color w:val="1C2839"/>
                <w:sz w:val="17"/>
                <w:lang w:val="ru-RU"/>
              </w:rPr>
              <w:t>Ескерту және бұғаттау жүйелері, жоспарлы қызмет көрсету, ден қою жоспарлары, персоналды оқыту.</w:t>
            </w:r>
          </w:p>
        </w:tc>
      </w:tr>
      <w:tr w14:paraId="1F34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0" w:type="dxa"/>
            <w:left w:w="95" w:type="dxa"/>
            <w:bottom w:w="90" w:type="dxa"/>
            <w:right w:w="95" w:type="dxa"/>
          </w:tblCellMar>
        </w:tblPrEx>
        <w:trPr>
          <w:jc w:val="center"/>
        </w:trPr>
        <w:tc>
          <w:tcPr>
            <w:tcW w:w="0" w:type="auto"/>
            <w:vAlign w:val="center"/>
          </w:tcPr>
          <w:p w14:paraId="3A64CD07">
            <w:pPr>
              <w:spacing w:after="0" w:line="240" w:lineRule="auto"/>
              <w:ind w:firstLine="0"/>
              <w:jc w:val="left"/>
              <w:rPr>
                <w:rFonts w:ascii="Cambria" w:hAnsi="Cambria"/>
              </w:rPr>
            </w:pPr>
            <w:r>
              <w:rPr>
                <w:rFonts w:ascii="Cambria" w:hAnsi="Cambria"/>
                <w:color w:val="1C2839"/>
                <w:sz w:val="17"/>
              </w:rPr>
              <w:t>Экологиялық бастапқы ақпараттың жеткіліксіздігі</w:t>
            </w:r>
          </w:p>
        </w:tc>
        <w:tc>
          <w:tcPr>
            <w:tcW w:w="0" w:type="auto"/>
            <w:vAlign w:val="center"/>
          </w:tcPr>
          <w:p w14:paraId="481A465B">
            <w:pPr>
              <w:spacing w:after="0" w:line="240" w:lineRule="auto"/>
              <w:ind w:firstLine="0"/>
              <w:jc w:val="left"/>
              <w:rPr>
                <w:rFonts w:ascii="Cambria" w:hAnsi="Cambria"/>
                <w:lang w:val="ru-RU"/>
              </w:rPr>
            </w:pPr>
            <w:r>
              <w:rPr>
                <w:rFonts w:ascii="Cambria" w:hAnsi="Cambria"/>
                <w:color w:val="1C2839"/>
                <w:sz w:val="17"/>
                <w:lang w:val="ru-RU"/>
              </w:rPr>
              <w:t>Жобалық шешімдердің қате болуы және келісу мерзімдерінің ұзаруы.</w:t>
            </w:r>
          </w:p>
        </w:tc>
        <w:tc>
          <w:tcPr>
            <w:tcW w:w="0" w:type="auto"/>
            <w:vAlign w:val="center"/>
          </w:tcPr>
          <w:p w14:paraId="3309EF78">
            <w:pPr>
              <w:spacing w:after="0" w:line="240" w:lineRule="auto"/>
              <w:ind w:firstLine="0"/>
              <w:jc w:val="left"/>
              <w:rPr>
                <w:rFonts w:ascii="Cambria" w:hAnsi="Cambria"/>
                <w:lang w:val="ru-RU"/>
              </w:rPr>
            </w:pPr>
            <w:r>
              <w:rPr>
                <w:rFonts w:ascii="Cambria" w:hAnsi="Cambria"/>
                <w:color w:val="1C2839"/>
                <w:sz w:val="17"/>
                <w:lang w:val="ru-RU"/>
              </w:rPr>
              <w:t>Инженерлік-экологиялық ерте зерттеулер, фондық деректерді тексеру және бағалауды кезең-кезеңімен жаңарту.</w:t>
            </w:r>
          </w:p>
        </w:tc>
      </w:tr>
    </w:tbl>
    <w:p w14:paraId="10AB756B">
      <w:pPr>
        <w:spacing w:line="240" w:lineRule="auto"/>
        <w:rPr>
          <w:rFonts w:ascii="Cambria" w:hAnsi="Cambria"/>
          <w:lang w:val="ru-RU"/>
        </w:rPr>
      </w:pPr>
      <w:r>
        <w:rPr>
          <w:rFonts w:ascii="Cambria" w:hAnsi="Cambria"/>
          <w:lang w:val="ru-RU"/>
        </w:rPr>
        <w:t>Ақтөбе облысы Байғанин ауданындағы «Байғанин» Индустриялық аймағының әлеуетті жобаларының салалық бағытын ескергенде, бақылауды талап ететін негізгі экологиялық факторлар цементті сақтау және өңдеу кезінде бөлінетін минералдық шаң шығарындылары, өндіріс қалдықтарының түзілуі, су ресурстарын тұтыну, технологиялық жабдықтың шу әсері және көлік жүктемесі болып табылады.</w:t>
      </w:r>
    </w:p>
    <w:p w14:paraId="1CC43675">
      <w:pPr>
        <w:spacing w:line="240" w:lineRule="auto"/>
        <w:rPr>
          <w:rFonts w:ascii="Cambria" w:hAnsi="Cambria"/>
          <w:lang w:val="ru-RU"/>
        </w:rPr>
      </w:pPr>
      <w:r>
        <w:rPr>
          <w:rFonts w:ascii="Cambria" w:hAnsi="Cambria"/>
          <w:lang w:val="ru-RU"/>
        </w:rPr>
        <w:t>Жол плиталарын, шпалдарды, электр беру желілерінің тіректері мен тұрғын үй құрылысына арналған конструкцияларды қоса алғанда, темірбетон бұйымдарын өндіретін кәсіпорындарда цементті сақтаудың жабық жүйелерін, аспирациялық жабдықты, жергілікті шаң ұстау жүйелерін, айналымды сумен жабдықтауды және бетон қалдықтарын қайталап пайдалануға арналған технологиялық шешімдерді қолдану көзделеді. Құрғақ құрылыс қоспалары мен фиброцемент панельдерін өндіруде шикізатты мөлшерлеу және араластыру процестерін герметикалау, шаң басқан ауаны сүзу, технологиялық операцияларды автоматтандыру және өндірістік қалдықтарды ұйымдасқан түрде жинау қарастырылады. Абаттандыруға арналған бетон бұйымдарын шығаратын кәсіпорындарда шаң түзілуін азайту, вибропресс жабдығының шу әсерін бақылау және технологиялық тұрғыдан жарамды материалдарды қайта пайдалану шаралары көзделеді.</w:t>
      </w:r>
    </w:p>
    <w:p w14:paraId="2E69DCE7">
      <w:pPr>
        <w:spacing w:line="240" w:lineRule="auto"/>
        <w:rPr>
          <w:rFonts w:ascii="Cambria" w:hAnsi="Cambria"/>
          <w:lang w:val="ru-RU"/>
        </w:rPr>
      </w:pPr>
      <w:r>
        <w:rPr>
          <w:rFonts w:ascii="Cambria" w:hAnsi="Cambria"/>
          <w:lang w:val="ru-RU"/>
        </w:rPr>
        <w:t>Жобалау үшін нысаналы технологиялық бағдарлар ретінде жергілікті шаң ұстау жүйелерінің тиімділігі кемінде 99% болуы, айналымды жүйелер есебінен тұщы суды тұтынуды 30%-ға қысқарту және технологиялық тұрғыдан жарамды өндірістік қалдықтардың 60%-на дейін қайталап пайдалану немесе қайта өңдеуге жіберу қабылданады. Көрсеткіштер көзделіп отырған техникалық шешімдерді сипаттайды және жабдық таңдалып, жобалық құжаттама әзірленген кезде нақтылануға тиіс.</w:t>
      </w:r>
    </w:p>
    <w:p w14:paraId="2E4C5ED0">
      <w:pPr>
        <w:spacing w:line="240" w:lineRule="auto"/>
        <w:rPr>
          <w:rFonts w:ascii="Cambria" w:hAnsi="Cambria"/>
          <w:lang w:val="ru-RU"/>
        </w:rPr>
      </w:pPr>
      <w:r>
        <w:rPr>
          <w:rFonts w:ascii="Cambria" w:hAnsi="Cambria"/>
          <w:lang w:val="ru-RU"/>
        </w:rPr>
        <w:t>Экологиялық орнықтылықтың қосымша факторлары – Индустриялық аймақтың ең жақын елді мекен Кенжалы ауылынан шамамен 8 км қашықтықта орналасуы, инженерлік ресурстармен орталықтандырылған қамтамасыз ету мүмкіндігі және жүк тасымалын ұйымдастыруға арналған теміржол инфрақұрылымының болуы. Жалпы ауданы 200 га болатын екі мамандандырылған алаң шегінде кәсіпорындарды аумақтық шоғырландыру өндірістік объектілерді, инженерлік коммуникацияларды, көлік жолдарын және табиғатты қорғау құрылыстарын реттелген түрде орналастыруға мүмкіндік береді.</w:t>
      </w:r>
    </w:p>
    <w:p w14:paraId="42DE23AF">
      <w:pPr>
        <w:spacing w:line="240" w:lineRule="auto"/>
        <w:rPr>
          <w:rFonts w:ascii="Cambria" w:hAnsi="Cambria"/>
          <w:lang w:val="ru-RU"/>
        </w:rPr>
      </w:pPr>
      <w:r>
        <w:rPr>
          <w:rFonts w:ascii="Cambria" w:hAnsi="Cambria"/>
          <w:lang w:val="ru-RU"/>
        </w:rPr>
        <w:t>Көрсетілген сипаттамаларды ескере отырып, көзделген табиғатты қорғау шаралары іске асырылып, белгіленген нормативтік талаптар сақталған жағдайда Ақтөбе облысының Байғанин ауданындағы «Байғанин» Индустриялық аймағын құру экологиялық тұрғыдан іске асырылуы мүмкін деп бағаланады. Жобалаудың кейінгі кезеңдерінде өндірістердің сипаттамалары мен өнеркәсіптік тораптың жиынтық әсерін ескере отырып санитариялық-қорғау аймақтарын айқындау, ластаушы заттар шығарындыларын есептеу, сумен жабдықтау мен су бұру параметрлерін белгілеу, сондай-ақ қалдықтармен жұмыс істеу және өндірістік экологиялық бақылау жөніндегі шараларды әзірлеу көзделеді.</w:t>
      </w:r>
    </w:p>
    <w:p w14:paraId="5F0BCD69">
      <w:pPr>
        <w:spacing w:line="240" w:lineRule="auto"/>
        <w:rPr>
          <w:rFonts w:ascii="Cambria" w:hAnsi="Cambria"/>
          <w:lang w:val="ru-RU"/>
        </w:rPr>
      </w:pPr>
      <w:r>
        <w:rPr>
          <w:rFonts w:ascii="Cambria" w:hAnsi="Cambria"/>
          <w:lang w:val="ru-RU"/>
        </w:rPr>
        <w:t>Осылайша, Индустриялық аймақты дамытудың ұсынылып отырған моделі өнеркәсіптік кооперацияны, табиғи ресурстарды ұтымды пайдалануды және заманауи табиғатты қорғау технологияларын ұштастырады. Көзделген шешімдерді іске асыру өндірістік қызметтің қоршаған ортаға әсерін шектеуге және кәсіпорындардың Қазақстан Республикасының экологиялық және санитариялық-эпидемиологиялық заңнамасы талаптарына сәйкес жұмыс істеуін қамтамасыз етуге мүмкіндік береді.</w:t>
      </w:r>
    </w:p>
    <w:p w14:paraId="3D02EFFB">
      <w:pPr>
        <w:pStyle w:val="75"/>
        <w:spacing w:line="240" w:lineRule="auto"/>
        <w:rPr>
          <w:rFonts w:ascii="Cambria" w:hAnsi="Cambria"/>
          <w:lang w:val="ru-RU"/>
        </w:rPr>
      </w:pPr>
      <w:r>
        <w:rPr>
          <w:rFonts w:ascii="Cambria" w:hAnsi="Cambria"/>
          <w:lang w:val="ru-RU"/>
        </w:rPr>
        <w:t>Нормативтік бағдарлар: Қазақстан Республикасының 2021 жылғы 2 қаңтардағы № 400-VI Экологиялық кодексі (51, 65, 69-баптары және 1-қосымша); ҚР Индустрия және инфрақұрылымдық даму министрінің 2019 жылғы 30 шілдедегі № 571 бұйрығы (2-қосымша); 2022 жылғы 11 қаңтардағы № ҚР ДСМ-2 бұйрығымен бекітілген санитариялық-қорғау аймақтарын белгілеу жөніндегі санитариялық қағидалар (кейінгі өзгерістерімен).</w:t>
      </w:r>
    </w:p>
    <w:p w14:paraId="503715A4">
      <w:pPr>
        <w:pStyle w:val="2"/>
        <w:spacing w:before="0" w:line="240" w:lineRule="auto"/>
        <w:rPr>
          <w:rFonts w:ascii="Cambria" w:hAnsi="Cambria"/>
          <w:lang w:val="ru-RU"/>
        </w:rPr>
      </w:pPr>
      <w:bookmarkStart w:id="19" w:name="__RefHeading___Toc9518_2617525462"/>
      <w:bookmarkEnd w:id="19"/>
    </w:p>
    <w:p w14:paraId="5C15A221">
      <w:pPr>
        <w:pStyle w:val="2"/>
        <w:pageBreakBefore/>
        <w:spacing w:before="0" w:line="240" w:lineRule="auto"/>
        <w:rPr>
          <w:rFonts w:ascii="Cambria" w:hAnsi="Cambria"/>
          <w:lang w:val="ru-RU"/>
        </w:rPr>
      </w:pPr>
      <w:r>
        <w:rPr>
          <w:rFonts w:ascii="Cambria" w:hAnsi="Cambria"/>
          <w:lang w:val="ru-RU"/>
        </w:rPr>
        <w:t>5. ҚАРЖЫ-ЭКОНОМИКАЛЫҚ ЖӘНЕ ӘЛЕУМЕТТІК САЛДАРЛАР</w:t>
      </w:r>
    </w:p>
    <w:p w14:paraId="44F9A095">
      <w:pPr>
        <w:spacing w:line="240" w:lineRule="auto"/>
        <w:rPr>
          <w:rFonts w:ascii="Cambria" w:hAnsi="Cambria"/>
          <w:lang w:val="ru-RU"/>
        </w:rPr>
      </w:pPr>
      <w:r>
        <w:rPr>
          <w:rFonts w:ascii="Cambria" w:hAnsi="Cambria"/>
          <w:lang w:val="ru-RU"/>
        </w:rPr>
        <w:t>Өңірлік маңызы бар индустриялық аймақты құрудың қаржы-экономикалық және әлеуметтік салдарын бағалау жалпы ауданы 200 га болатын екі алаңда орналастырылатын жеті өндірістік жобадан тұратын алдын ала портфель және «QazCement Industries» ЖШС салып жатқан цемент зауытының инфрақұрылымына қосылудың қабылданған сценарийі негізінде жүргізілді. Осы бөлімдегі көрсеткіштер Тұжырымдама мақсаттарына арналған ірілендірілген жоспарлы индикаторлар болып табылады.</w:t>
      </w:r>
    </w:p>
    <w:p w14:paraId="379250BE">
      <w:pPr>
        <w:spacing w:line="240" w:lineRule="auto"/>
        <w:rPr>
          <w:rFonts w:ascii="Cambria" w:hAnsi="Cambria"/>
          <w:lang w:val="ru-RU"/>
        </w:rPr>
      </w:pPr>
      <w:r>
        <w:rPr>
          <w:rFonts w:ascii="Cambria" w:hAnsi="Cambria"/>
          <w:lang w:val="ru-RU"/>
        </w:rPr>
        <w:t>Есептеулерге мынадай мәндер негіз болды: өндірістік кәсіпорындарға салынатын жеке инвестициялар – 38,7 млрд теңге; ИА инфрақұрылымын қамтамасыз етудің алдын ала құны – 12,0 млрд теңге; инвестициялық портфель мен инфрақұрылымның жиынтық құны – 50,7 млрд теңге; барлық жобалар іске асырылған кездегі тұрақты жұмыспен қамту – 605 жұмыс орны; құрылыс кезеңдеріндегі персоналдың жиынтық есептік қажеттілігі – 840 жұмыс орны; кәсіпорындар жобалық қуатқа шыққан кездегі түсім – жылына 41,05 млрд теңге. Цемент зауытының өзіне салынатын инвестициялар мен оның өндірісі бұл мәндерге енгізілмейді.</w:t>
      </w:r>
    </w:p>
    <w:p w14:paraId="03304FFC">
      <w:pPr>
        <w:spacing w:line="240" w:lineRule="auto"/>
        <w:rPr>
          <w:rFonts w:ascii="Cambria" w:hAnsi="Cambria"/>
          <w:lang w:val="ru-RU"/>
        </w:rPr>
      </w:pPr>
      <w:r>
        <w:rPr>
          <w:rFonts w:ascii="Cambria" w:hAnsi="Cambria"/>
          <w:lang w:val="ru-RU"/>
        </w:rPr>
        <w:t>Салыстыру мүмкіндігін қамтамасыз ету үшін құн есептері 2026 жылғы шартты бағалармен берілді. Қазіргі кезеңде резиденттердің қаржылық модельдері болмағандықтан, инфляциялық индекстеу, борыш құрылымы, пайыздық шығыстар, амортизация және кәсіпорындардың салық жүктемесі бөлек модельденбейді. Нақтыланған мәндер жобаларды әзірлеу, техникалық шарттар мен коммерциялық ұсыныстар алу және өткізу нарықтарын растау кезеңінде айқындалуға тиіс.</w:t>
      </w:r>
    </w:p>
    <w:p w14:paraId="6F792A8B">
      <w:pPr>
        <w:pStyle w:val="3"/>
        <w:spacing w:line="240" w:lineRule="auto"/>
        <w:rPr>
          <w:rFonts w:ascii="Cambria" w:hAnsi="Cambria"/>
          <w:lang w:val="ru-RU"/>
        </w:rPr>
      </w:pPr>
      <w:bookmarkStart w:id="20" w:name="__RefHeading___Toc9520_2617525462"/>
      <w:bookmarkEnd w:id="20"/>
      <w:r>
        <w:rPr>
          <w:rFonts w:ascii="Cambria" w:hAnsi="Cambria"/>
          <w:lang w:val="ru-RU"/>
        </w:rPr>
        <w:t>5.1. Индустриялық аймақ құруға жұмсалатын шығындарды бағалау</w:t>
      </w:r>
    </w:p>
    <w:p w14:paraId="166218F4">
      <w:pPr>
        <w:spacing w:line="240" w:lineRule="auto"/>
        <w:rPr>
          <w:rFonts w:ascii="Cambria" w:hAnsi="Cambria"/>
          <w:lang w:val="ru-RU"/>
        </w:rPr>
      </w:pPr>
      <w:r>
        <w:rPr>
          <w:rFonts w:ascii="Cambria" w:hAnsi="Cambria"/>
          <w:lang w:val="ru-RU"/>
        </w:rPr>
        <w:t>Құрылып жатқан ИА-ның экономикалық моделі күрделі шығындардың екі тобын ажыратуды көздейді. Бірінші топқа жалпы өнеркәсіптік аумақты инженерлік және көлік инфрақұрылымымен қамтамасыз етуге жұмсалатын инвестициялар, екінші топқа ИА қатысушыларының өндірістік корпустар, технологиялық желілер мен жабдықтар салуға және өз учаскелерін дайындауға салатын инвестициялары жатады. Бұл тәсіл инфрақұрылымға жұмсалатын қоғамдық сипаттағы шығыстарды жекелеген резиденттердің коммерциялық күрделі шығындарынан бөлек есептеуге мүмкіндік береді.</w:t>
      </w:r>
    </w:p>
    <w:p w14:paraId="4C63F5D2">
      <w:pPr>
        <w:spacing w:line="240" w:lineRule="auto"/>
        <w:rPr>
          <w:rFonts w:ascii="Cambria" w:hAnsi="Cambria"/>
          <w:lang w:val="ru-RU"/>
        </w:rPr>
      </w:pPr>
      <w:r>
        <w:rPr>
          <w:rFonts w:ascii="Cambria" w:hAnsi="Cambria"/>
          <w:lang w:val="ru-RU"/>
        </w:rPr>
        <w:t>Жалпы ауданы 200 га болатын ИА аумағы (122 және 78 га алаңдар) өңдеу өнеркәсібі жобаларына арналған; жеті әлеуетті жобаның учаскелері олардың қажеттілігіне сәйкес айқындалған. Ішкі технологиялық жолдар, маневр жасау және ашық сақтау алаңдары, жергілікті инженерлік желілер мен қосалқы объектілер тиісті жер учаскелерінің шекарасында ескеріледі. Қабылданған нұсқада инфрақұрылым үшін жеке жер резерві көзделмейді. Түпкілікті жерге орналастыру кезінде жалпы көлік және инженерлік дәліздердің алаңдар арқылы заңдық және техникалық тұрғыдан жол берілетін өтуін ИА-ның жалпы ауданы өзгермейтіндей етіп қамтамасыз ету қажет.</w:t>
      </w:r>
    </w:p>
    <w:p w14:paraId="31DA676F">
      <w:pPr>
        <w:pStyle w:val="75"/>
        <w:keepNext/>
        <w:spacing w:line="240" w:lineRule="auto"/>
        <w:rPr>
          <w:rFonts w:ascii="Cambria" w:hAnsi="Cambria"/>
          <w:lang w:val="ru-RU"/>
        </w:rPr>
      </w:pPr>
      <w:r>
        <w:rPr>
          <w:rFonts w:ascii="Cambria" w:hAnsi="Cambria"/>
          <w:lang w:val="ru-RU"/>
        </w:rPr>
        <w:t>5.1-кесте – «Байғанин» ИА құруға арналған инвестициялық шығындардың ірілендірілген құрылымы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2702"/>
        <w:gridCol w:w="1249"/>
        <w:gridCol w:w="863"/>
        <w:gridCol w:w="4675"/>
      </w:tblGrid>
      <w:tr w14:paraId="5F35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0" w:type="auto"/>
            <w:shd w:val="clear" w:color="auto" w:fill="23486F"/>
            <w:vAlign w:val="center"/>
          </w:tcPr>
          <w:p w14:paraId="22BEE79D">
            <w:pPr>
              <w:spacing w:after="0" w:line="240" w:lineRule="auto"/>
              <w:ind w:firstLine="0"/>
              <w:jc w:val="center"/>
              <w:rPr>
                <w:rFonts w:ascii="Cambria" w:hAnsi="Cambria"/>
              </w:rPr>
            </w:pPr>
            <w:r>
              <w:rPr>
                <w:rFonts w:ascii="Cambria" w:hAnsi="Cambria"/>
                <w:b/>
                <w:color w:val="FFFFFF"/>
                <w:sz w:val="17"/>
              </w:rPr>
              <w:t>Компонент</w:t>
            </w:r>
          </w:p>
        </w:tc>
        <w:tc>
          <w:tcPr>
            <w:tcW w:w="0" w:type="auto"/>
            <w:shd w:val="clear" w:color="auto" w:fill="23486F"/>
            <w:vAlign w:val="center"/>
          </w:tcPr>
          <w:p w14:paraId="10C84728">
            <w:pPr>
              <w:spacing w:after="0" w:line="240" w:lineRule="auto"/>
              <w:ind w:firstLine="0"/>
              <w:jc w:val="center"/>
              <w:rPr>
                <w:rFonts w:ascii="Cambria" w:hAnsi="Cambria"/>
              </w:rPr>
            </w:pPr>
            <w:r>
              <w:rPr>
                <w:rFonts w:ascii="Cambria" w:hAnsi="Cambria"/>
                <w:b/>
                <w:color w:val="FFFFFF"/>
                <w:sz w:val="17"/>
              </w:rPr>
              <w:t>Көлемі, млрд тг</w:t>
            </w:r>
          </w:p>
        </w:tc>
        <w:tc>
          <w:tcPr>
            <w:tcW w:w="0" w:type="auto"/>
            <w:shd w:val="clear" w:color="auto" w:fill="23486F"/>
            <w:vAlign w:val="center"/>
          </w:tcPr>
          <w:p w14:paraId="6E5E8A31">
            <w:pPr>
              <w:spacing w:after="0" w:line="240" w:lineRule="auto"/>
              <w:ind w:firstLine="0"/>
              <w:jc w:val="center"/>
              <w:rPr>
                <w:rFonts w:ascii="Cambria" w:hAnsi="Cambria"/>
              </w:rPr>
            </w:pPr>
            <w:r>
              <w:rPr>
                <w:rFonts w:ascii="Cambria" w:hAnsi="Cambria"/>
                <w:b/>
                <w:color w:val="FFFFFF"/>
                <w:sz w:val="17"/>
              </w:rPr>
              <w:t>Үлесі, %</w:t>
            </w:r>
          </w:p>
        </w:tc>
        <w:tc>
          <w:tcPr>
            <w:tcW w:w="0" w:type="auto"/>
            <w:shd w:val="clear" w:color="auto" w:fill="23486F"/>
            <w:vAlign w:val="center"/>
          </w:tcPr>
          <w:p w14:paraId="3BE870A3">
            <w:pPr>
              <w:spacing w:after="0" w:line="240" w:lineRule="auto"/>
              <w:ind w:firstLine="0"/>
              <w:jc w:val="center"/>
              <w:rPr>
                <w:rFonts w:ascii="Cambria" w:hAnsi="Cambria"/>
              </w:rPr>
            </w:pPr>
            <w:r>
              <w:rPr>
                <w:rFonts w:ascii="Cambria" w:hAnsi="Cambria"/>
                <w:b/>
                <w:color w:val="FFFFFF"/>
                <w:sz w:val="17"/>
              </w:rPr>
              <w:t>Болжанатын қаржыландыру көзі</w:t>
            </w:r>
          </w:p>
        </w:tc>
      </w:tr>
      <w:tr w14:paraId="0ED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34D22012">
            <w:pPr>
              <w:spacing w:after="0" w:line="240" w:lineRule="auto"/>
              <w:ind w:firstLine="0"/>
              <w:jc w:val="left"/>
              <w:rPr>
                <w:rFonts w:ascii="Cambria" w:hAnsi="Cambria"/>
              </w:rPr>
            </w:pPr>
            <w:r>
              <w:rPr>
                <w:rFonts w:ascii="Cambria" w:hAnsi="Cambria"/>
                <w:color w:val="1C2839"/>
                <w:sz w:val="17"/>
              </w:rPr>
              <w:t>ИА-ны инфрақұрылыммен қамтамасыз ету</w:t>
            </w:r>
          </w:p>
        </w:tc>
        <w:tc>
          <w:tcPr>
            <w:tcW w:w="0" w:type="auto"/>
            <w:vAlign w:val="center"/>
          </w:tcPr>
          <w:p w14:paraId="7C25100D">
            <w:pPr>
              <w:spacing w:after="0" w:line="240" w:lineRule="auto"/>
              <w:ind w:firstLine="0"/>
              <w:jc w:val="center"/>
              <w:rPr>
                <w:rFonts w:ascii="Cambria" w:hAnsi="Cambria"/>
                <w:lang w:val="ru-RU"/>
              </w:rPr>
            </w:pPr>
            <w:r>
              <w:rPr>
                <w:rFonts w:ascii="Cambria" w:hAnsi="Cambria"/>
                <w:color w:val="1C2839"/>
                <w:sz w:val="17"/>
                <w:lang w:val="ru-RU"/>
              </w:rPr>
              <w:t>12,03</w:t>
            </w:r>
          </w:p>
        </w:tc>
        <w:tc>
          <w:tcPr>
            <w:tcW w:w="0" w:type="auto"/>
            <w:vAlign w:val="center"/>
          </w:tcPr>
          <w:p w14:paraId="34E5C7CC">
            <w:pPr>
              <w:spacing w:after="0" w:line="240" w:lineRule="auto"/>
              <w:ind w:firstLine="0"/>
              <w:jc w:val="center"/>
              <w:rPr>
                <w:rFonts w:ascii="Cambria" w:hAnsi="Cambria"/>
                <w:lang w:val="ru-RU"/>
              </w:rPr>
            </w:pPr>
            <w:r>
              <w:rPr>
                <w:rFonts w:ascii="Cambria" w:hAnsi="Cambria"/>
                <w:color w:val="1C2839"/>
                <w:sz w:val="17"/>
                <w:lang w:val="ru-RU"/>
              </w:rPr>
              <w:t>23,7</w:t>
            </w:r>
          </w:p>
        </w:tc>
        <w:tc>
          <w:tcPr>
            <w:tcW w:w="0" w:type="auto"/>
            <w:vAlign w:val="center"/>
          </w:tcPr>
          <w:p w14:paraId="6E2EA75C">
            <w:pPr>
              <w:spacing w:after="0" w:line="240" w:lineRule="auto"/>
              <w:ind w:firstLine="0"/>
              <w:jc w:val="left"/>
              <w:rPr>
                <w:rFonts w:ascii="Cambria" w:hAnsi="Cambria"/>
                <w:lang w:val="ru-RU"/>
              </w:rPr>
            </w:pPr>
            <w:r>
              <w:rPr>
                <w:rFonts w:ascii="Cambria" w:hAnsi="Cambria"/>
                <w:color w:val="1C2839"/>
                <w:sz w:val="17"/>
                <w:lang w:val="ru-RU"/>
              </w:rPr>
              <w:t>Бюджет және (немесе) өзге қарыз көздері – жеке шешім қабылданғаннан кейін</w:t>
            </w:r>
          </w:p>
        </w:tc>
      </w:tr>
      <w:tr w14:paraId="7C3C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F0F5F9"/>
            <w:vAlign w:val="center"/>
          </w:tcPr>
          <w:p w14:paraId="7AAA8F8E">
            <w:pPr>
              <w:spacing w:after="0" w:line="240" w:lineRule="auto"/>
              <w:ind w:firstLine="0"/>
              <w:jc w:val="left"/>
              <w:rPr>
                <w:rFonts w:ascii="Cambria" w:hAnsi="Cambria"/>
              </w:rPr>
            </w:pPr>
            <w:r>
              <w:rPr>
                <w:rFonts w:ascii="Cambria" w:hAnsi="Cambria"/>
                <w:color w:val="1C2839"/>
                <w:sz w:val="17"/>
              </w:rPr>
              <w:t>№ 1 алаңның өндірістік жобалары</w:t>
            </w:r>
          </w:p>
        </w:tc>
        <w:tc>
          <w:tcPr>
            <w:tcW w:w="0" w:type="auto"/>
            <w:shd w:val="clear" w:color="auto" w:fill="F0F5F9"/>
            <w:vAlign w:val="center"/>
          </w:tcPr>
          <w:p w14:paraId="7C523BE9">
            <w:pPr>
              <w:spacing w:after="0" w:line="240" w:lineRule="auto"/>
              <w:ind w:firstLine="0"/>
              <w:jc w:val="center"/>
              <w:rPr>
                <w:rFonts w:ascii="Cambria" w:hAnsi="Cambria"/>
              </w:rPr>
            </w:pPr>
            <w:r>
              <w:rPr>
                <w:rFonts w:ascii="Cambria" w:hAnsi="Cambria"/>
                <w:color w:val="1C2839"/>
                <w:sz w:val="17"/>
              </w:rPr>
              <w:t>24,50</w:t>
            </w:r>
          </w:p>
        </w:tc>
        <w:tc>
          <w:tcPr>
            <w:tcW w:w="0" w:type="auto"/>
            <w:shd w:val="clear" w:color="auto" w:fill="F0F5F9"/>
            <w:vAlign w:val="center"/>
          </w:tcPr>
          <w:p w14:paraId="79D14743">
            <w:pPr>
              <w:spacing w:after="0" w:line="240" w:lineRule="auto"/>
              <w:ind w:firstLine="0"/>
              <w:jc w:val="center"/>
              <w:rPr>
                <w:rFonts w:ascii="Cambria" w:hAnsi="Cambria"/>
                <w:lang w:val="ru-RU"/>
              </w:rPr>
            </w:pPr>
            <w:r>
              <w:rPr>
                <w:rFonts w:ascii="Cambria" w:hAnsi="Cambria"/>
                <w:color w:val="1C2839"/>
                <w:sz w:val="17"/>
                <w:lang w:val="ru-RU"/>
              </w:rPr>
              <w:t>48,3</w:t>
            </w:r>
          </w:p>
        </w:tc>
        <w:tc>
          <w:tcPr>
            <w:tcW w:w="0" w:type="auto"/>
            <w:shd w:val="clear" w:color="auto" w:fill="F0F5F9"/>
            <w:vAlign w:val="center"/>
          </w:tcPr>
          <w:p w14:paraId="6CA7CBA6">
            <w:pPr>
              <w:spacing w:after="0" w:line="240" w:lineRule="auto"/>
              <w:ind w:firstLine="0"/>
              <w:jc w:val="left"/>
              <w:rPr>
                <w:rFonts w:ascii="Cambria" w:hAnsi="Cambria"/>
                <w:lang w:val="ru-RU"/>
              </w:rPr>
            </w:pPr>
            <w:r>
              <w:rPr>
                <w:rFonts w:ascii="Cambria" w:hAnsi="Cambria"/>
                <w:color w:val="1C2839"/>
                <w:sz w:val="17"/>
                <w:lang w:val="ru-RU"/>
              </w:rPr>
              <w:t>Инвесторлардың өз қаражаты және олар тартатын қаржыландыру</w:t>
            </w:r>
          </w:p>
        </w:tc>
      </w:tr>
      <w:tr w14:paraId="368F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3BAC1C64">
            <w:pPr>
              <w:spacing w:after="0" w:line="240" w:lineRule="auto"/>
              <w:ind w:firstLine="0"/>
              <w:jc w:val="left"/>
              <w:rPr>
                <w:rFonts w:ascii="Cambria" w:hAnsi="Cambria"/>
              </w:rPr>
            </w:pPr>
            <w:r>
              <w:rPr>
                <w:rFonts w:ascii="Cambria" w:hAnsi="Cambria"/>
                <w:color w:val="1C2839"/>
                <w:sz w:val="17"/>
              </w:rPr>
              <w:t>№ 2 алаңның өндірістік жобалары</w:t>
            </w:r>
          </w:p>
        </w:tc>
        <w:tc>
          <w:tcPr>
            <w:tcW w:w="0" w:type="auto"/>
            <w:vAlign w:val="center"/>
          </w:tcPr>
          <w:p w14:paraId="54C9EE63">
            <w:pPr>
              <w:spacing w:after="0" w:line="240" w:lineRule="auto"/>
              <w:ind w:firstLine="0"/>
              <w:jc w:val="center"/>
              <w:rPr>
                <w:rFonts w:ascii="Cambria" w:hAnsi="Cambria"/>
              </w:rPr>
            </w:pPr>
            <w:r>
              <w:rPr>
                <w:rFonts w:ascii="Cambria" w:hAnsi="Cambria"/>
                <w:color w:val="1C2839"/>
                <w:sz w:val="17"/>
              </w:rPr>
              <w:t>14,20</w:t>
            </w:r>
          </w:p>
        </w:tc>
        <w:tc>
          <w:tcPr>
            <w:tcW w:w="0" w:type="auto"/>
            <w:vAlign w:val="center"/>
          </w:tcPr>
          <w:p w14:paraId="61CB1F6F">
            <w:pPr>
              <w:spacing w:after="0" w:line="240" w:lineRule="auto"/>
              <w:ind w:firstLine="0"/>
              <w:jc w:val="center"/>
              <w:rPr>
                <w:rFonts w:ascii="Cambria" w:hAnsi="Cambria"/>
                <w:lang w:val="ru-RU"/>
              </w:rPr>
            </w:pPr>
            <w:r>
              <w:rPr>
                <w:rFonts w:ascii="Cambria" w:hAnsi="Cambria"/>
                <w:color w:val="1C2839"/>
                <w:sz w:val="17"/>
                <w:lang w:val="ru-RU"/>
              </w:rPr>
              <w:t>28,0</w:t>
            </w:r>
          </w:p>
        </w:tc>
        <w:tc>
          <w:tcPr>
            <w:tcW w:w="0" w:type="auto"/>
            <w:vAlign w:val="center"/>
          </w:tcPr>
          <w:p w14:paraId="4881CC80">
            <w:pPr>
              <w:spacing w:after="0" w:line="240" w:lineRule="auto"/>
              <w:ind w:firstLine="0"/>
              <w:jc w:val="left"/>
              <w:rPr>
                <w:rFonts w:ascii="Cambria" w:hAnsi="Cambria"/>
                <w:lang w:val="ru-RU"/>
              </w:rPr>
            </w:pPr>
            <w:r>
              <w:rPr>
                <w:rFonts w:ascii="Cambria" w:hAnsi="Cambria"/>
                <w:color w:val="1C2839"/>
                <w:sz w:val="17"/>
                <w:lang w:val="ru-RU"/>
              </w:rPr>
              <w:t>Инвесторлардың өз қаражаты және олар тартатын қаржыландыру</w:t>
            </w:r>
          </w:p>
        </w:tc>
      </w:tr>
      <w:tr w14:paraId="0913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DBE8F2"/>
            <w:vAlign w:val="center"/>
          </w:tcPr>
          <w:p w14:paraId="2D214764">
            <w:pPr>
              <w:spacing w:after="0" w:line="240" w:lineRule="auto"/>
              <w:ind w:firstLine="0"/>
              <w:jc w:val="left"/>
              <w:rPr>
                <w:rFonts w:ascii="Cambria" w:hAnsi="Cambria"/>
              </w:rPr>
            </w:pPr>
            <w:r>
              <w:rPr>
                <w:rFonts w:ascii="Cambria" w:hAnsi="Cambria"/>
                <w:b/>
                <w:color w:val="1C2839"/>
                <w:sz w:val="17"/>
              </w:rPr>
              <w:t>Барлығы</w:t>
            </w:r>
          </w:p>
        </w:tc>
        <w:tc>
          <w:tcPr>
            <w:tcW w:w="0" w:type="auto"/>
            <w:shd w:val="clear" w:color="auto" w:fill="DBE8F2"/>
            <w:vAlign w:val="center"/>
          </w:tcPr>
          <w:p w14:paraId="70BC8B83">
            <w:pPr>
              <w:spacing w:after="0" w:line="240" w:lineRule="auto"/>
              <w:ind w:firstLine="0"/>
              <w:jc w:val="center"/>
              <w:rPr>
                <w:rFonts w:ascii="Cambria" w:hAnsi="Cambria"/>
                <w:lang w:val="ru-RU"/>
              </w:rPr>
            </w:pPr>
            <w:r>
              <w:rPr>
                <w:rFonts w:ascii="Cambria" w:hAnsi="Cambria"/>
                <w:b/>
                <w:color w:val="1C2839"/>
                <w:sz w:val="17"/>
                <w:lang w:val="ru-RU"/>
              </w:rPr>
              <w:t>50,73</w:t>
            </w:r>
          </w:p>
        </w:tc>
        <w:tc>
          <w:tcPr>
            <w:tcW w:w="0" w:type="auto"/>
            <w:shd w:val="clear" w:color="auto" w:fill="DBE8F2"/>
            <w:vAlign w:val="center"/>
          </w:tcPr>
          <w:p w14:paraId="0C4105AC">
            <w:pPr>
              <w:spacing w:after="0" w:line="240" w:lineRule="auto"/>
              <w:ind w:firstLine="0"/>
              <w:jc w:val="center"/>
              <w:rPr>
                <w:rFonts w:ascii="Cambria" w:hAnsi="Cambria"/>
              </w:rPr>
            </w:pPr>
            <w:r>
              <w:rPr>
                <w:rFonts w:ascii="Cambria" w:hAnsi="Cambria"/>
                <w:b/>
                <w:color w:val="1C2839"/>
                <w:sz w:val="17"/>
              </w:rPr>
              <w:t>100,0</w:t>
            </w:r>
          </w:p>
        </w:tc>
        <w:tc>
          <w:tcPr>
            <w:tcW w:w="0" w:type="auto"/>
            <w:shd w:val="clear" w:color="auto" w:fill="DBE8F2"/>
            <w:vAlign w:val="center"/>
          </w:tcPr>
          <w:p w14:paraId="35834C4F">
            <w:pPr>
              <w:spacing w:after="0" w:line="240" w:lineRule="auto"/>
              <w:ind w:firstLine="0"/>
              <w:jc w:val="left"/>
              <w:rPr>
                <w:rFonts w:ascii="Cambria" w:hAnsi="Cambria"/>
              </w:rPr>
            </w:pPr>
            <w:r>
              <w:rPr>
                <w:rFonts w:ascii="Cambria" w:hAnsi="Cambria"/>
                <w:b/>
                <w:color w:val="1C2839"/>
                <w:sz w:val="17"/>
              </w:rPr>
              <w:t>Аралас қаржыландыру</w:t>
            </w:r>
          </w:p>
        </w:tc>
      </w:tr>
    </w:tbl>
    <w:p w14:paraId="62C385CA">
      <w:pPr>
        <w:spacing w:line="240" w:lineRule="auto"/>
        <w:rPr>
          <w:rFonts w:ascii="Cambria" w:hAnsi="Cambria"/>
          <w:lang w:val="ru-RU"/>
        </w:rPr>
      </w:pPr>
      <w:r>
        <w:rPr>
          <w:rFonts w:ascii="Cambria" w:hAnsi="Cambria"/>
          <w:lang w:val="ru-RU"/>
        </w:rPr>
        <w:t>Индустриялық аймақты қосу үшін қарастырылып отырған өнеркәсіптік торап инфрақұрылымының алдын ала құны 12 032 млн теңгені құрайды. Бұл бағалауға құны 8 400 млн теңге болатын кернеуі 110 кВ электр беру желісінің құрылысы, құны 1 903 млн теңге болатын ұзындығы 6,7 км сыртқы кірме теміржол жолдары және «Қазақстан темір жолы» ҰК» АҚ жерлерінде Кенжалы станциясы бойынша ұзындығы 0,957 км станциялық жолдарды дамытуға арналған, құны 1 729 млн теңге шығындар енгізілген.</w:t>
      </w:r>
    </w:p>
    <w:p w14:paraId="44C87587">
      <w:pPr>
        <w:spacing w:line="240" w:lineRule="auto"/>
        <w:rPr>
          <w:rFonts w:ascii="Cambria" w:hAnsi="Cambria"/>
          <w:lang w:val="ru-RU"/>
        </w:rPr>
      </w:pPr>
      <w:r>
        <w:rPr>
          <w:rFonts w:ascii="Cambria" w:hAnsi="Cambria"/>
          <w:lang w:val="ru-RU"/>
        </w:rPr>
        <w:t>ИА-ның инфрақұрылымдық моделі цемент зауыты үшін құрылып жатқан инженерлік және көлік коммуникацияларын пайдалануды, кейіннен резидент кәсіпорындарды келісілген техникалық және шарттық талаптармен қосуды көздейді. Көрсетілген бағалауға енгізілмеген автомобиль кірме жолдарына, сумен жабдықтауға, су бұруға және басқа объектілерге жұмсалатын шығындар қабылданған техникалық шешімдер мен өнеркәсіптік торапқа қатысушылар арасында міндеттемелерді бөлуге қарай жеке айқындалуға тиіс.</w:t>
      </w:r>
    </w:p>
    <w:p w14:paraId="04BCA02E">
      <w:pPr>
        <w:spacing w:line="240" w:lineRule="auto"/>
        <w:rPr>
          <w:rFonts w:ascii="Cambria" w:hAnsi="Cambria"/>
          <w:lang w:val="ru-RU"/>
        </w:rPr>
      </w:pPr>
      <w:r>
        <w:rPr>
          <w:rFonts w:ascii="Cambria" w:hAnsi="Cambria"/>
          <w:lang w:val="ru-RU"/>
        </w:rPr>
        <w:t>Электрмен жабдықтау үшін цемент зауытында ИА қажеттілігіне кемінде 10 МВт жеткілікті бос қуат резерві болуы және резиденттердің келісілген қосалқы тұтынушылар схемасы бойынша қосылуы көзделеді. Суға, көлікке қол жеткізуге және теміржол логистикасына қатысты да осындай кооперация қағидаты қарастырылады. Нақты қосылу құны баланстық тиесілікті шектеу нүктесіне, коммуникациялардың өткізу қабілетіне, бос қуаттың болуына және желілердің жекелеген учаскелерін салу жөніндегі тараптардың міндеттемелеріне байланысты болады.</w:t>
      </w:r>
    </w:p>
    <w:p w14:paraId="5359B710">
      <w:pPr>
        <w:spacing w:line="240" w:lineRule="auto"/>
        <w:rPr>
          <w:rFonts w:ascii="Cambria" w:hAnsi="Cambria"/>
          <w:lang w:val="ru-RU"/>
        </w:rPr>
      </w:pPr>
      <w:r>
        <w:rPr>
          <w:rFonts w:ascii="Cambria" w:hAnsi="Cambria"/>
          <w:lang w:val="ru-RU"/>
        </w:rPr>
        <w:t>Қазіргі кезеңде «Қосбол» шаруа қожалығы учаскесінің бір бөлігіне қатысты жер құқықтарын реттеу шығындары (учаскенің бір бөлігін қайтару немесе жер пайдаланушыға басқа жерде көлемі ұқсас учаске беру), ықтимал өтемақы төлемдері, ауыл шаруашылығы өндірісінің ықтимал шығындары және іздестіру нәтижелері бойынша қажет болуы мүмкін арнайы табиғатты қорғау шаралары айқындалмаған. Бұл шығындар инфрақұрылымның болжамды құнын түпкілікті бюджеттік қажеттілік ретінде көрсетпей, жеке нақтылануға тиіс.</w:t>
      </w:r>
    </w:p>
    <w:p w14:paraId="33D0C88C">
      <w:pPr>
        <w:pStyle w:val="3"/>
        <w:spacing w:line="240" w:lineRule="auto"/>
        <w:rPr>
          <w:rFonts w:ascii="Cambria" w:hAnsi="Cambria"/>
          <w:lang w:val="ru-RU"/>
        </w:rPr>
      </w:pPr>
      <w:bookmarkStart w:id="21" w:name="__RefHeading___Toc9522_2617525462"/>
      <w:bookmarkEnd w:id="21"/>
      <w:r>
        <w:rPr>
          <w:rFonts w:ascii="Cambria" w:hAnsi="Cambria"/>
          <w:lang w:val="ru-RU"/>
        </w:rPr>
        <w:t>5.2. Инвестициялардың жалпы көлемі және қаржыландыру қажеттілігін бөлу</w:t>
      </w:r>
    </w:p>
    <w:p w14:paraId="6BAA7461">
      <w:pPr>
        <w:spacing w:line="240" w:lineRule="auto"/>
        <w:rPr>
          <w:rFonts w:ascii="Cambria" w:hAnsi="Cambria"/>
          <w:lang w:val="ru-RU"/>
        </w:rPr>
      </w:pPr>
      <w:r>
        <w:rPr>
          <w:rFonts w:ascii="Cambria" w:hAnsi="Cambria"/>
          <w:lang w:val="ru-RU"/>
        </w:rPr>
        <w:t>Жеті жоба бойынша жеке инвестициялардың жоспарлы көлемі 38,7 млрд теңге деп бағаланады, бұл инвестициялардың жалпы көлемінің шамамен 76,3%-ын құрайды. Инфрақұрылымның алдын ала құны шамамен 23,7%-ға тең. Бұл арақатынас инфрақұрылымдық қамтамасыз етудің ықтимал мультипликативтік әсерін сипаттайды: инвесторлар тартылған жағдайда ортақ желілер мен көлікке қосылуға жұмсалған күрделі шығындардың әрбір теңгесі өндірістік инвестициялардың шамамен 3,2 теңгесіне алғышарт жасайды.</w:t>
      </w:r>
    </w:p>
    <w:p w14:paraId="053F9F0F">
      <w:pPr>
        <w:spacing w:line="240" w:lineRule="auto"/>
        <w:rPr>
          <w:rFonts w:ascii="Cambria" w:hAnsi="Cambria"/>
          <w:lang w:val="ru-RU"/>
        </w:rPr>
      </w:pPr>
      <w:r>
        <w:rPr>
          <w:rFonts w:ascii="Cambria" w:hAnsi="Cambria"/>
          <w:lang w:val="ru-RU"/>
        </w:rPr>
        <w:t>Жерді рәсімдеу мәселелерін шешу, цемент зауытының желілеріне технологиялық тұрғыдан жол берілетін қосылуды қамтамасыз ету және инвесторлар тарту қажеттігін ескере отырып, 2027–2032 жылдар шартты инвестициялық кезең ретінде қабылданды. Инфрақұрылымдық жұмыстар негізінен 2027–2029 жылдары жүргізіледі; резиденттердің инвестициялары жобалардың дайын болуына қарай 2028–2032 жылдары салынады. Алғашқы кәсіпорындар өнім шығаруды 2029 жылдан бастайды деп болжанады; барлық өндірістер жобалық көрсеткіштерге оларды салу және іске қосу-баптау жұмыстары аяқталғаннан кейін кезең-кезеңімен шығады.</w:t>
      </w:r>
    </w:p>
    <w:p w14:paraId="5BE23629">
      <w:pPr>
        <w:spacing w:line="240" w:lineRule="auto"/>
        <w:ind w:firstLine="0"/>
        <w:rPr>
          <w:rFonts w:hint="default" w:ascii="Cambria" w:hAnsi="Cambria"/>
          <w:lang w:val="kk-KZ"/>
        </w:rPr>
      </w:pPr>
      <w:r>
        <w:drawing>
          <wp:inline distT="0" distB="0" distL="114300" distR="114300">
            <wp:extent cx="5937885" cy="3339465"/>
            <wp:effectExtent l="0" t="0" r="5715" b="1333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0"/>
                    <a:stretch>
                      <a:fillRect/>
                    </a:stretch>
                  </pic:blipFill>
                  <pic:spPr>
                    <a:xfrm>
                      <a:off x="0" y="0"/>
                      <a:ext cx="5937885" cy="3339465"/>
                    </a:xfrm>
                    <a:prstGeom prst="rect">
                      <a:avLst/>
                    </a:prstGeom>
                  </pic:spPr>
                </pic:pic>
              </a:graphicData>
            </a:graphic>
          </wp:inline>
        </w:drawing>
      </w:r>
    </w:p>
    <w:p w14:paraId="74C5B2A0">
      <w:pPr>
        <w:pStyle w:val="75"/>
        <w:keepNext/>
        <w:spacing w:line="240" w:lineRule="auto"/>
        <w:rPr>
          <w:rFonts w:ascii="Cambria" w:hAnsi="Cambria"/>
          <w:lang w:val="ru-RU"/>
        </w:rPr>
      </w:pPr>
      <w:r>
        <w:rPr>
          <w:rFonts w:ascii="Cambria" w:hAnsi="Cambria"/>
          <w:lang w:val="ru-RU"/>
        </w:rPr>
        <w:t>5.2-кесте – Күрделі салымдарды жылдар бойынша алдын ала бөлу,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3008"/>
        <w:gridCol w:w="907"/>
        <w:gridCol w:w="907"/>
        <w:gridCol w:w="930"/>
        <w:gridCol w:w="930"/>
        <w:gridCol w:w="907"/>
        <w:gridCol w:w="907"/>
        <w:gridCol w:w="993"/>
      </w:tblGrid>
      <w:tr w14:paraId="0AF9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1585" w:type="pct"/>
            <w:shd w:val="clear" w:color="auto" w:fill="23486F"/>
            <w:vAlign w:val="center"/>
          </w:tcPr>
          <w:p w14:paraId="5F629C75">
            <w:pPr>
              <w:spacing w:after="0" w:line="240" w:lineRule="auto"/>
              <w:ind w:firstLine="0"/>
              <w:jc w:val="center"/>
              <w:rPr>
                <w:rFonts w:ascii="Cambria" w:hAnsi="Cambria"/>
              </w:rPr>
            </w:pPr>
            <w:r>
              <w:rPr>
                <w:rFonts w:ascii="Cambria" w:hAnsi="Cambria"/>
                <w:b/>
                <w:color w:val="FFFFFF"/>
                <w:sz w:val="17"/>
              </w:rPr>
              <w:t>Дереккөз / кезең</w:t>
            </w:r>
          </w:p>
        </w:tc>
        <w:tc>
          <w:tcPr>
            <w:tcW w:w="478" w:type="pct"/>
            <w:shd w:val="clear" w:color="auto" w:fill="23486F"/>
            <w:vAlign w:val="center"/>
          </w:tcPr>
          <w:p w14:paraId="651929EA">
            <w:pPr>
              <w:spacing w:after="0" w:line="240" w:lineRule="auto"/>
              <w:ind w:firstLine="0"/>
              <w:jc w:val="center"/>
              <w:rPr>
                <w:rFonts w:ascii="Cambria" w:hAnsi="Cambria"/>
              </w:rPr>
            </w:pPr>
            <w:r>
              <w:rPr>
                <w:rFonts w:ascii="Cambria" w:hAnsi="Cambria"/>
                <w:b/>
                <w:color w:val="FFFFFF"/>
                <w:sz w:val="17"/>
              </w:rPr>
              <w:t>2027</w:t>
            </w:r>
          </w:p>
        </w:tc>
        <w:tc>
          <w:tcPr>
            <w:tcW w:w="478" w:type="pct"/>
            <w:shd w:val="clear" w:color="auto" w:fill="23486F"/>
            <w:vAlign w:val="center"/>
          </w:tcPr>
          <w:p w14:paraId="1169E80D">
            <w:pPr>
              <w:spacing w:after="0" w:line="240" w:lineRule="auto"/>
              <w:ind w:firstLine="0"/>
              <w:jc w:val="center"/>
              <w:rPr>
                <w:rFonts w:ascii="Cambria" w:hAnsi="Cambria"/>
              </w:rPr>
            </w:pPr>
            <w:r>
              <w:rPr>
                <w:rFonts w:ascii="Cambria" w:hAnsi="Cambria"/>
                <w:b/>
                <w:color w:val="FFFFFF"/>
                <w:sz w:val="17"/>
              </w:rPr>
              <w:t>2028</w:t>
            </w:r>
          </w:p>
        </w:tc>
        <w:tc>
          <w:tcPr>
            <w:tcW w:w="490" w:type="pct"/>
            <w:shd w:val="clear" w:color="auto" w:fill="23486F"/>
            <w:vAlign w:val="center"/>
          </w:tcPr>
          <w:p w14:paraId="26F7FFBC">
            <w:pPr>
              <w:spacing w:after="0" w:line="240" w:lineRule="auto"/>
              <w:ind w:firstLine="0"/>
              <w:jc w:val="center"/>
              <w:rPr>
                <w:rFonts w:ascii="Cambria" w:hAnsi="Cambria"/>
              </w:rPr>
            </w:pPr>
            <w:r>
              <w:rPr>
                <w:rFonts w:ascii="Cambria" w:hAnsi="Cambria"/>
                <w:b/>
                <w:color w:val="FFFFFF"/>
                <w:sz w:val="17"/>
              </w:rPr>
              <w:t>2029</w:t>
            </w:r>
          </w:p>
        </w:tc>
        <w:tc>
          <w:tcPr>
            <w:tcW w:w="490" w:type="pct"/>
            <w:shd w:val="clear" w:color="auto" w:fill="23486F"/>
            <w:vAlign w:val="center"/>
          </w:tcPr>
          <w:p w14:paraId="131A8DF1">
            <w:pPr>
              <w:spacing w:after="0" w:line="240" w:lineRule="auto"/>
              <w:ind w:firstLine="0"/>
              <w:jc w:val="center"/>
              <w:rPr>
                <w:rFonts w:ascii="Cambria" w:hAnsi="Cambria"/>
              </w:rPr>
            </w:pPr>
            <w:r>
              <w:rPr>
                <w:rFonts w:ascii="Cambria" w:hAnsi="Cambria"/>
                <w:b/>
                <w:color w:val="FFFFFF"/>
                <w:sz w:val="17"/>
              </w:rPr>
              <w:t>2030</w:t>
            </w:r>
          </w:p>
        </w:tc>
        <w:tc>
          <w:tcPr>
            <w:tcW w:w="478" w:type="pct"/>
            <w:shd w:val="clear" w:color="auto" w:fill="23486F"/>
            <w:vAlign w:val="center"/>
          </w:tcPr>
          <w:p w14:paraId="7CC40454">
            <w:pPr>
              <w:spacing w:after="0" w:line="240" w:lineRule="auto"/>
              <w:ind w:firstLine="0"/>
              <w:jc w:val="center"/>
              <w:rPr>
                <w:rFonts w:ascii="Cambria" w:hAnsi="Cambria"/>
              </w:rPr>
            </w:pPr>
            <w:r>
              <w:rPr>
                <w:rFonts w:ascii="Cambria" w:hAnsi="Cambria"/>
                <w:b/>
                <w:color w:val="FFFFFF"/>
                <w:sz w:val="17"/>
              </w:rPr>
              <w:t>2031</w:t>
            </w:r>
          </w:p>
        </w:tc>
        <w:tc>
          <w:tcPr>
            <w:tcW w:w="478" w:type="pct"/>
            <w:shd w:val="clear" w:color="auto" w:fill="23486F"/>
            <w:vAlign w:val="center"/>
          </w:tcPr>
          <w:p w14:paraId="06E70A0C">
            <w:pPr>
              <w:spacing w:after="0" w:line="240" w:lineRule="auto"/>
              <w:ind w:firstLine="0"/>
              <w:jc w:val="center"/>
              <w:rPr>
                <w:rFonts w:ascii="Cambria" w:hAnsi="Cambria"/>
              </w:rPr>
            </w:pPr>
            <w:r>
              <w:rPr>
                <w:rFonts w:ascii="Cambria" w:hAnsi="Cambria"/>
                <w:b/>
                <w:color w:val="FFFFFF"/>
                <w:sz w:val="17"/>
              </w:rPr>
              <w:t>2032</w:t>
            </w:r>
          </w:p>
        </w:tc>
        <w:tc>
          <w:tcPr>
            <w:tcW w:w="523" w:type="pct"/>
            <w:shd w:val="clear" w:color="auto" w:fill="23486F"/>
            <w:vAlign w:val="center"/>
          </w:tcPr>
          <w:p w14:paraId="687927D4">
            <w:pPr>
              <w:spacing w:after="0" w:line="240" w:lineRule="auto"/>
              <w:ind w:firstLine="0"/>
              <w:jc w:val="center"/>
              <w:rPr>
                <w:rFonts w:ascii="Cambria" w:hAnsi="Cambria"/>
              </w:rPr>
            </w:pPr>
            <w:r>
              <w:rPr>
                <w:rFonts w:ascii="Cambria" w:hAnsi="Cambria"/>
                <w:b/>
                <w:color w:val="FFFFFF"/>
                <w:sz w:val="17"/>
              </w:rPr>
              <w:t>Барлығы</w:t>
            </w:r>
          </w:p>
        </w:tc>
      </w:tr>
      <w:tr w14:paraId="54DF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585" w:type="pct"/>
            <w:vAlign w:val="center"/>
          </w:tcPr>
          <w:p w14:paraId="2D963327">
            <w:pPr>
              <w:spacing w:after="0" w:line="240" w:lineRule="auto"/>
              <w:ind w:firstLine="0"/>
              <w:rPr>
                <w:rFonts w:ascii="Cambria" w:hAnsi="Cambria"/>
              </w:rPr>
            </w:pPr>
            <w:r>
              <w:rPr>
                <w:rFonts w:ascii="Cambria" w:hAnsi="Cambria"/>
                <w:color w:val="1C2839"/>
                <w:sz w:val="16"/>
              </w:rPr>
              <w:t>ИА инфрақұрылымы</w:t>
            </w:r>
          </w:p>
        </w:tc>
        <w:tc>
          <w:tcPr>
            <w:tcW w:w="478" w:type="pct"/>
            <w:vAlign w:val="center"/>
          </w:tcPr>
          <w:p w14:paraId="76352500">
            <w:pPr>
              <w:spacing w:after="0" w:line="240" w:lineRule="auto"/>
              <w:ind w:firstLine="0"/>
              <w:jc w:val="center"/>
              <w:rPr>
                <w:rFonts w:ascii="Cambria" w:hAnsi="Cambria"/>
              </w:rPr>
            </w:pPr>
            <w:r>
              <w:rPr>
                <w:rFonts w:ascii="Cambria" w:hAnsi="Cambria"/>
                <w:color w:val="1C2839"/>
                <w:sz w:val="16"/>
                <w:lang w:val="ru-RU"/>
              </w:rPr>
              <w:t>2,25</w:t>
            </w:r>
          </w:p>
        </w:tc>
        <w:tc>
          <w:tcPr>
            <w:tcW w:w="478" w:type="pct"/>
            <w:vAlign w:val="center"/>
          </w:tcPr>
          <w:p w14:paraId="6FD955ED">
            <w:pPr>
              <w:spacing w:after="0" w:line="240" w:lineRule="auto"/>
              <w:ind w:firstLine="0"/>
              <w:jc w:val="center"/>
              <w:rPr>
                <w:rFonts w:ascii="Cambria" w:hAnsi="Cambria"/>
              </w:rPr>
            </w:pPr>
            <w:r>
              <w:rPr>
                <w:rFonts w:ascii="Cambria" w:hAnsi="Cambria"/>
                <w:color w:val="1C2839"/>
                <w:sz w:val="16"/>
              </w:rPr>
              <w:t>4,50</w:t>
            </w:r>
          </w:p>
        </w:tc>
        <w:tc>
          <w:tcPr>
            <w:tcW w:w="490" w:type="pct"/>
            <w:vAlign w:val="center"/>
          </w:tcPr>
          <w:p w14:paraId="7FC258B5">
            <w:pPr>
              <w:spacing w:after="0" w:line="240" w:lineRule="auto"/>
              <w:ind w:firstLine="0"/>
              <w:jc w:val="center"/>
              <w:rPr>
                <w:rFonts w:ascii="Cambria" w:hAnsi="Cambria"/>
              </w:rPr>
            </w:pPr>
            <w:r>
              <w:rPr>
                <w:rFonts w:ascii="Cambria" w:hAnsi="Cambria"/>
                <w:color w:val="1C2839"/>
                <w:sz w:val="16"/>
                <w:lang w:val="ru-RU"/>
              </w:rPr>
              <w:t>5,28</w:t>
            </w:r>
          </w:p>
        </w:tc>
        <w:tc>
          <w:tcPr>
            <w:tcW w:w="490" w:type="pct"/>
            <w:vAlign w:val="center"/>
          </w:tcPr>
          <w:p w14:paraId="5DD22272">
            <w:pPr>
              <w:spacing w:after="0" w:line="240" w:lineRule="auto"/>
              <w:ind w:firstLine="0"/>
              <w:jc w:val="center"/>
              <w:rPr>
                <w:rFonts w:ascii="Cambria" w:hAnsi="Cambria"/>
              </w:rPr>
            </w:pPr>
            <w:r>
              <w:rPr>
                <w:rFonts w:ascii="Cambria" w:hAnsi="Cambria"/>
                <w:color w:val="1C2839"/>
                <w:sz w:val="16"/>
              </w:rPr>
              <w:t>—</w:t>
            </w:r>
          </w:p>
        </w:tc>
        <w:tc>
          <w:tcPr>
            <w:tcW w:w="478" w:type="pct"/>
            <w:vAlign w:val="center"/>
          </w:tcPr>
          <w:p w14:paraId="618051A5">
            <w:pPr>
              <w:spacing w:after="0" w:line="240" w:lineRule="auto"/>
              <w:ind w:firstLine="0"/>
              <w:jc w:val="center"/>
              <w:rPr>
                <w:rFonts w:ascii="Cambria" w:hAnsi="Cambria"/>
              </w:rPr>
            </w:pPr>
            <w:r>
              <w:rPr>
                <w:rFonts w:ascii="Cambria" w:hAnsi="Cambria"/>
                <w:color w:val="1C2839"/>
                <w:sz w:val="16"/>
              </w:rPr>
              <w:t>—</w:t>
            </w:r>
          </w:p>
        </w:tc>
        <w:tc>
          <w:tcPr>
            <w:tcW w:w="478" w:type="pct"/>
            <w:vAlign w:val="center"/>
          </w:tcPr>
          <w:p w14:paraId="12C905CE">
            <w:pPr>
              <w:spacing w:after="0" w:line="240" w:lineRule="auto"/>
              <w:ind w:firstLine="0"/>
              <w:jc w:val="center"/>
              <w:rPr>
                <w:rFonts w:ascii="Cambria" w:hAnsi="Cambria"/>
              </w:rPr>
            </w:pPr>
            <w:r>
              <w:rPr>
                <w:rFonts w:ascii="Cambria" w:hAnsi="Cambria"/>
                <w:color w:val="1C2839"/>
                <w:sz w:val="16"/>
              </w:rPr>
              <w:t>—</w:t>
            </w:r>
          </w:p>
        </w:tc>
        <w:tc>
          <w:tcPr>
            <w:tcW w:w="523" w:type="pct"/>
            <w:vAlign w:val="center"/>
          </w:tcPr>
          <w:p w14:paraId="44F061AA">
            <w:pPr>
              <w:spacing w:after="0" w:line="240" w:lineRule="auto"/>
              <w:ind w:firstLine="0"/>
              <w:jc w:val="center"/>
              <w:rPr>
                <w:rFonts w:ascii="Cambria" w:hAnsi="Cambria"/>
              </w:rPr>
            </w:pPr>
            <w:r>
              <w:rPr>
                <w:rFonts w:ascii="Cambria" w:hAnsi="Cambria"/>
                <w:color w:val="1C2839"/>
                <w:sz w:val="16"/>
                <w:lang w:val="ru-RU"/>
              </w:rPr>
              <w:t>12,03</w:t>
            </w:r>
          </w:p>
        </w:tc>
      </w:tr>
      <w:tr w14:paraId="7724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585" w:type="pct"/>
            <w:shd w:val="clear" w:color="auto" w:fill="F0F5F9"/>
            <w:vAlign w:val="center"/>
          </w:tcPr>
          <w:p w14:paraId="1E877D18">
            <w:pPr>
              <w:spacing w:after="0" w:line="240" w:lineRule="auto"/>
              <w:ind w:firstLine="0"/>
              <w:rPr>
                <w:rFonts w:ascii="Cambria" w:hAnsi="Cambria"/>
              </w:rPr>
            </w:pPr>
            <w:r>
              <w:rPr>
                <w:rFonts w:ascii="Cambria" w:hAnsi="Cambria"/>
                <w:color w:val="1C2839"/>
                <w:sz w:val="16"/>
              </w:rPr>
              <w:t>Резиденттердің инвестициялары</w:t>
            </w:r>
          </w:p>
        </w:tc>
        <w:tc>
          <w:tcPr>
            <w:tcW w:w="478" w:type="pct"/>
            <w:shd w:val="clear" w:color="auto" w:fill="F0F5F9"/>
            <w:vAlign w:val="center"/>
          </w:tcPr>
          <w:p w14:paraId="4ED6C7B4">
            <w:pPr>
              <w:spacing w:after="0" w:line="240" w:lineRule="auto"/>
              <w:ind w:firstLine="0"/>
              <w:jc w:val="center"/>
              <w:rPr>
                <w:rFonts w:ascii="Cambria" w:hAnsi="Cambria"/>
              </w:rPr>
            </w:pPr>
            <w:r>
              <w:rPr>
                <w:rFonts w:ascii="Cambria" w:hAnsi="Cambria"/>
                <w:color w:val="1C2839"/>
                <w:sz w:val="16"/>
              </w:rPr>
              <w:t>—</w:t>
            </w:r>
          </w:p>
        </w:tc>
        <w:tc>
          <w:tcPr>
            <w:tcW w:w="478" w:type="pct"/>
            <w:shd w:val="clear" w:color="auto" w:fill="F0F5F9"/>
            <w:vAlign w:val="center"/>
          </w:tcPr>
          <w:p w14:paraId="20B810E5">
            <w:pPr>
              <w:spacing w:after="0" w:line="240" w:lineRule="auto"/>
              <w:ind w:firstLine="0"/>
              <w:jc w:val="center"/>
              <w:rPr>
                <w:rFonts w:ascii="Cambria" w:hAnsi="Cambria"/>
              </w:rPr>
            </w:pPr>
            <w:r>
              <w:rPr>
                <w:rFonts w:ascii="Cambria" w:hAnsi="Cambria"/>
                <w:color w:val="1C2839"/>
                <w:sz w:val="16"/>
              </w:rPr>
              <w:t>4,00</w:t>
            </w:r>
          </w:p>
        </w:tc>
        <w:tc>
          <w:tcPr>
            <w:tcW w:w="490" w:type="pct"/>
            <w:shd w:val="clear" w:color="auto" w:fill="F0F5F9"/>
            <w:vAlign w:val="center"/>
          </w:tcPr>
          <w:p w14:paraId="506CE620">
            <w:pPr>
              <w:spacing w:after="0" w:line="240" w:lineRule="auto"/>
              <w:ind w:firstLine="0"/>
              <w:jc w:val="center"/>
              <w:rPr>
                <w:rFonts w:ascii="Cambria" w:hAnsi="Cambria"/>
              </w:rPr>
            </w:pPr>
            <w:r>
              <w:rPr>
                <w:rFonts w:ascii="Cambria" w:hAnsi="Cambria"/>
                <w:color w:val="1C2839"/>
                <w:sz w:val="16"/>
              </w:rPr>
              <w:t>10,50</w:t>
            </w:r>
          </w:p>
        </w:tc>
        <w:tc>
          <w:tcPr>
            <w:tcW w:w="490" w:type="pct"/>
            <w:shd w:val="clear" w:color="auto" w:fill="F0F5F9"/>
            <w:vAlign w:val="center"/>
          </w:tcPr>
          <w:p w14:paraId="7CC537A8">
            <w:pPr>
              <w:spacing w:after="0" w:line="240" w:lineRule="auto"/>
              <w:ind w:firstLine="0"/>
              <w:jc w:val="center"/>
              <w:rPr>
                <w:rFonts w:ascii="Cambria" w:hAnsi="Cambria"/>
              </w:rPr>
            </w:pPr>
            <w:r>
              <w:rPr>
                <w:rFonts w:ascii="Cambria" w:hAnsi="Cambria"/>
                <w:color w:val="1C2839"/>
                <w:sz w:val="16"/>
              </w:rPr>
              <w:t>11,00</w:t>
            </w:r>
          </w:p>
        </w:tc>
        <w:tc>
          <w:tcPr>
            <w:tcW w:w="478" w:type="pct"/>
            <w:shd w:val="clear" w:color="auto" w:fill="F0F5F9"/>
            <w:vAlign w:val="center"/>
          </w:tcPr>
          <w:p w14:paraId="34F526A9">
            <w:pPr>
              <w:spacing w:after="0" w:line="240" w:lineRule="auto"/>
              <w:ind w:firstLine="0"/>
              <w:jc w:val="center"/>
              <w:rPr>
                <w:rFonts w:ascii="Cambria" w:hAnsi="Cambria"/>
              </w:rPr>
            </w:pPr>
            <w:r>
              <w:rPr>
                <w:rFonts w:ascii="Cambria" w:hAnsi="Cambria"/>
                <w:color w:val="1C2839"/>
                <w:sz w:val="16"/>
              </w:rPr>
              <w:t>9,20</w:t>
            </w:r>
          </w:p>
        </w:tc>
        <w:tc>
          <w:tcPr>
            <w:tcW w:w="478" w:type="pct"/>
            <w:shd w:val="clear" w:color="auto" w:fill="F0F5F9"/>
            <w:vAlign w:val="center"/>
          </w:tcPr>
          <w:p w14:paraId="3BD8FA56">
            <w:pPr>
              <w:spacing w:after="0" w:line="240" w:lineRule="auto"/>
              <w:ind w:firstLine="0"/>
              <w:jc w:val="center"/>
              <w:rPr>
                <w:rFonts w:ascii="Cambria" w:hAnsi="Cambria"/>
              </w:rPr>
            </w:pPr>
            <w:r>
              <w:rPr>
                <w:rFonts w:ascii="Cambria" w:hAnsi="Cambria"/>
                <w:color w:val="1C2839"/>
                <w:sz w:val="16"/>
              </w:rPr>
              <w:t>4,00</w:t>
            </w:r>
          </w:p>
        </w:tc>
        <w:tc>
          <w:tcPr>
            <w:tcW w:w="523" w:type="pct"/>
            <w:shd w:val="clear" w:color="auto" w:fill="F0F5F9"/>
            <w:vAlign w:val="center"/>
          </w:tcPr>
          <w:p w14:paraId="0E088006">
            <w:pPr>
              <w:spacing w:after="0" w:line="240" w:lineRule="auto"/>
              <w:ind w:firstLine="0"/>
              <w:jc w:val="center"/>
              <w:rPr>
                <w:rFonts w:ascii="Cambria" w:hAnsi="Cambria"/>
              </w:rPr>
            </w:pPr>
            <w:r>
              <w:rPr>
                <w:rFonts w:ascii="Cambria" w:hAnsi="Cambria"/>
                <w:color w:val="1C2839"/>
                <w:sz w:val="16"/>
              </w:rPr>
              <w:t>38,70</w:t>
            </w:r>
          </w:p>
        </w:tc>
      </w:tr>
      <w:tr w14:paraId="5C64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585" w:type="pct"/>
            <w:shd w:val="clear" w:color="auto" w:fill="DBE8F2"/>
            <w:vAlign w:val="center"/>
          </w:tcPr>
          <w:p w14:paraId="40914157">
            <w:pPr>
              <w:spacing w:after="0" w:line="240" w:lineRule="auto"/>
              <w:ind w:firstLine="0"/>
              <w:rPr>
                <w:rFonts w:ascii="Cambria" w:hAnsi="Cambria"/>
              </w:rPr>
            </w:pPr>
            <w:r>
              <w:rPr>
                <w:rFonts w:ascii="Cambria" w:hAnsi="Cambria"/>
                <w:b/>
                <w:color w:val="1C2839"/>
                <w:sz w:val="16"/>
              </w:rPr>
              <w:t>Барлығы</w:t>
            </w:r>
          </w:p>
        </w:tc>
        <w:tc>
          <w:tcPr>
            <w:tcW w:w="478" w:type="pct"/>
            <w:shd w:val="clear" w:color="auto" w:fill="DBE8F2"/>
            <w:vAlign w:val="center"/>
          </w:tcPr>
          <w:p w14:paraId="1F847642">
            <w:pPr>
              <w:spacing w:after="0" w:line="240" w:lineRule="auto"/>
              <w:ind w:firstLine="0"/>
              <w:jc w:val="center"/>
              <w:rPr>
                <w:rFonts w:ascii="Cambria" w:hAnsi="Cambria"/>
              </w:rPr>
            </w:pPr>
            <w:r>
              <w:rPr>
                <w:rFonts w:ascii="Cambria" w:hAnsi="Cambria"/>
                <w:b/>
                <w:color w:val="1C2839"/>
                <w:sz w:val="16"/>
                <w:lang w:val="ru-RU"/>
              </w:rPr>
              <w:t>2,25</w:t>
            </w:r>
          </w:p>
        </w:tc>
        <w:tc>
          <w:tcPr>
            <w:tcW w:w="478" w:type="pct"/>
            <w:shd w:val="clear" w:color="auto" w:fill="DBE8F2"/>
            <w:vAlign w:val="center"/>
          </w:tcPr>
          <w:p w14:paraId="37B978AD">
            <w:pPr>
              <w:spacing w:after="0" w:line="240" w:lineRule="auto"/>
              <w:ind w:firstLine="0"/>
              <w:jc w:val="center"/>
              <w:rPr>
                <w:rFonts w:ascii="Cambria" w:hAnsi="Cambria"/>
              </w:rPr>
            </w:pPr>
            <w:r>
              <w:rPr>
                <w:rFonts w:ascii="Cambria" w:hAnsi="Cambria"/>
                <w:b/>
                <w:color w:val="1C2839"/>
                <w:sz w:val="16"/>
              </w:rPr>
              <w:t>8,50</w:t>
            </w:r>
          </w:p>
        </w:tc>
        <w:tc>
          <w:tcPr>
            <w:tcW w:w="490" w:type="pct"/>
            <w:shd w:val="clear" w:color="auto" w:fill="DBE8F2"/>
            <w:vAlign w:val="center"/>
          </w:tcPr>
          <w:p w14:paraId="61574F40">
            <w:pPr>
              <w:spacing w:after="0" w:line="240" w:lineRule="auto"/>
              <w:ind w:firstLine="0"/>
              <w:jc w:val="center"/>
              <w:rPr>
                <w:rFonts w:ascii="Cambria" w:hAnsi="Cambria"/>
              </w:rPr>
            </w:pPr>
            <w:r>
              <w:rPr>
                <w:rFonts w:ascii="Cambria" w:hAnsi="Cambria"/>
                <w:b/>
                <w:color w:val="1C2839"/>
                <w:sz w:val="16"/>
                <w:lang w:val="ru-RU"/>
              </w:rPr>
              <w:t>15,78</w:t>
            </w:r>
          </w:p>
        </w:tc>
        <w:tc>
          <w:tcPr>
            <w:tcW w:w="490" w:type="pct"/>
            <w:shd w:val="clear" w:color="auto" w:fill="DBE8F2"/>
            <w:vAlign w:val="center"/>
          </w:tcPr>
          <w:p w14:paraId="6D88323F">
            <w:pPr>
              <w:spacing w:after="0" w:line="240" w:lineRule="auto"/>
              <w:ind w:firstLine="0"/>
              <w:jc w:val="center"/>
              <w:rPr>
                <w:rFonts w:ascii="Cambria" w:hAnsi="Cambria"/>
              </w:rPr>
            </w:pPr>
            <w:r>
              <w:rPr>
                <w:rFonts w:ascii="Cambria" w:hAnsi="Cambria"/>
                <w:b/>
                <w:color w:val="1C2839"/>
                <w:sz w:val="16"/>
              </w:rPr>
              <w:t>11,00</w:t>
            </w:r>
          </w:p>
        </w:tc>
        <w:tc>
          <w:tcPr>
            <w:tcW w:w="478" w:type="pct"/>
            <w:shd w:val="clear" w:color="auto" w:fill="DBE8F2"/>
            <w:vAlign w:val="center"/>
          </w:tcPr>
          <w:p w14:paraId="1CFC9F96">
            <w:pPr>
              <w:spacing w:after="0" w:line="240" w:lineRule="auto"/>
              <w:ind w:firstLine="0"/>
              <w:jc w:val="center"/>
              <w:rPr>
                <w:rFonts w:ascii="Cambria" w:hAnsi="Cambria"/>
              </w:rPr>
            </w:pPr>
            <w:r>
              <w:rPr>
                <w:rFonts w:ascii="Cambria" w:hAnsi="Cambria"/>
                <w:b/>
                <w:color w:val="1C2839"/>
                <w:sz w:val="16"/>
              </w:rPr>
              <w:t>9,20</w:t>
            </w:r>
          </w:p>
        </w:tc>
        <w:tc>
          <w:tcPr>
            <w:tcW w:w="478" w:type="pct"/>
            <w:shd w:val="clear" w:color="auto" w:fill="DBE8F2"/>
            <w:vAlign w:val="center"/>
          </w:tcPr>
          <w:p w14:paraId="22830B58">
            <w:pPr>
              <w:spacing w:after="0" w:line="240" w:lineRule="auto"/>
              <w:ind w:firstLine="0"/>
              <w:jc w:val="center"/>
              <w:rPr>
                <w:rFonts w:ascii="Cambria" w:hAnsi="Cambria"/>
              </w:rPr>
            </w:pPr>
            <w:r>
              <w:rPr>
                <w:rFonts w:ascii="Cambria" w:hAnsi="Cambria"/>
                <w:b/>
                <w:color w:val="1C2839"/>
                <w:sz w:val="16"/>
              </w:rPr>
              <w:t>4,00</w:t>
            </w:r>
          </w:p>
        </w:tc>
        <w:tc>
          <w:tcPr>
            <w:tcW w:w="523" w:type="pct"/>
            <w:shd w:val="clear" w:color="auto" w:fill="DBE8F2"/>
            <w:vAlign w:val="center"/>
          </w:tcPr>
          <w:p w14:paraId="1856FE3F">
            <w:pPr>
              <w:spacing w:after="0" w:line="240" w:lineRule="auto"/>
              <w:ind w:firstLine="0"/>
              <w:jc w:val="center"/>
              <w:rPr>
                <w:rFonts w:ascii="Cambria" w:hAnsi="Cambria"/>
              </w:rPr>
            </w:pPr>
            <w:r>
              <w:rPr>
                <w:rFonts w:ascii="Cambria" w:hAnsi="Cambria"/>
                <w:b/>
                <w:color w:val="1C2839"/>
                <w:sz w:val="16"/>
                <w:lang w:val="ru-RU"/>
              </w:rPr>
              <w:t>50,73</w:t>
            </w:r>
          </w:p>
        </w:tc>
      </w:tr>
    </w:tbl>
    <w:p w14:paraId="2CD946D8">
      <w:pPr>
        <w:spacing w:line="240" w:lineRule="auto"/>
        <w:rPr>
          <w:rFonts w:ascii="Cambria" w:hAnsi="Cambria"/>
          <w:lang w:val="ru-RU"/>
        </w:rPr>
      </w:pPr>
      <w:r>
        <w:rPr>
          <w:rFonts w:ascii="Cambria" w:hAnsi="Cambria"/>
          <w:lang w:val="ru-RU"/>
        </w:rPr>
        <w:t>Ақтөбе облысы Байғанин ауданындағы «Байғанин» Индустриялық аймағын құруды қаржыландыру инженерлік-коммуникациялық және көлік инфрақұрылымын дамытуға мемлекеттік инвестициялар мен өндірістік кәсіпорындар салуға жеке капитал жұмсауды ұштастыру негізінде көзделеді. Инфрақұрылымды қаржыландырудың алдын ала қажеттілігі 12,0 млрд теңге деп бағаланады, ал жеті өндірістік жобаны іске асыруға салынатын инвестициялардың жиынтық көлемі 38,7 млрд теңгені құрайды. Осылайша, Индустриялық аймақты құру мен дамытуға салынатын күрделі салымдардың жалпы көлемі 50,7 млрд теңге деп бағаланады, оның 76,3%-ы жеке инвестицияларға, ал 23,7%-ы инфрақұрылым шығындарына тиесілі.</w:t>
      </w:r>
    </w:p>
    <w:p w14:paraId="267F845E">
      <w:pPr>
        <w:spacing w:line="240" w:lineRule="auto"/>
        <w:rPr>
          <w:rFonts w:ascii="Cambria" w:hAnsi="Cambria"/>
          <w:lang w:val="ru-RU"/>
        </w:rPr>
      </w:pPr>
      <w:r>
        <w:rPr>
          <w:rFonts w:ascii="Cambria" w:hAnsi="Cambria"/>
          <w:lang w:val="ru-RU"/>
        </w:rPr>
        <w:t>Мемлекеттік қаржыландыруды негізінен автомобиль кірме жолдарын салу мен жайластыруды, электрмен, сумен жабдықтауды және су бұруды қамтамасыз етуді, сондай-ақ өндірістік алаңдарды көлік және инженерлік желілерге қосу жөніндегі қажетті шараларды қоса алғанда, ортақ пайдаланылатын инфрақұрылымды құру мен дамытуға бағыттау болжанады. Шешім ретінде «QazCement Industries» ЖШС цемент зауыты үшін құрылып жатқан инфрақұрылымды пайдаланып, Индустриялық аймақ кәсіпорындарын қосу үшін қосымша жұмыстар жүргізу қарастырылады. Мұндай тәсіл қолданыстағы және жобаланатын инженерлік желілерді қайталап салудан сақтап, бюджет қаражатын ұтымды пайдалануға мүмкіндік береді. Мемлекеттік қаржыландырудың нақты көздері мен көлемі жобалық құжаттама әзірленіп, бюджет рәсімдері белгіленген тәртіппен өткеннен кейін айқындалады.</w:t>
      </w:r>
    </w:p>
    <w:p w14:paraId="0505D0F6">
      <w:pPr>
        <w:spacing w:line="240" w:lineRule="auto"/>
        <w:rPr>
          <w:rFonts w:ascii="Cambria" w:hAnsi="Cambria"/>
          <w:lang w:val="ru-RU"/>
        </w:rPr>
      </w:pPr>
      <w:r>
        <w:rPr>
          <w:rFonts w:ascii="Cambria" w:hAnsi="Cambria"/>
          <w:lang w:val="ru-RU"/>
        </w:rPr>
        <w:t>38,7 млрд теңге көлеміндегі жеке инвестицияларды өндірістік корпустар мен құрылыстар салуды, технологиялық жабдық сатып алу мен монтаждауды, қойма алаңдарын және ішкі инженерлік желілерді жайластыруды, іске қосу-баптау жұмыстарын жүргізуді қоса алғанда, тікелей өндірістік қуаттар құруға бағыттау көзделеді. Бұл іс-шараларды инвесторлар тиісті жобаларды әзірлеп, іске асыруына қарай өз және тартылған қаражат есебінен қаржыландырады деп болжанады. Инфрақұрылымға салынатын инвестициялардың негізгі кезеңі 2027–2029 жылдарға, ал өндірістік жобаларды іске асыру 2028–2032 жылдарға жоспарланған.</w:t>
      </w:r>
    </w:p>
    <w:p w14:paraId="4B2E136E">
      <w:pPr>
        <w:spacing w:line="240" w:lineRule="auto"/>
        <w:rPr>
          <w:rFonts w:ascii="Cambria" w:hAnsi="Cambria"/>
          <w:lang w:val="ru-RU"/>
        </w:rPr>
      </w:pPr>
      <w:r>
        <w:rPr>
          <w:rFonts w:ascii="Cambria" w:hAnsi="Cambria"/>
          <w:lang w:val="ru-RU"/>
        </w:rPr>
        <w:t>ИА дамуының маңызды сыртқы алғышарты – инвестиция көлемі 80 млрд теңгеден асатын және жобалық қуаты жылына шамамен 1,3 млн тонна цемент өндіруді құрайтын «QazCement Industries» ЖШС цемент зауытының құрылысы. Бұл объект Индустриялық аймақтан тыс жерде дербес инвестициялық жоба ретінде іске асырылады және құрылыс материалдарын өндіру жөніндегі әлеуетті жобалардың негізгі өндірістік-кооперациялық серіктесі болады. ИА-ның 50,7 млрд теңге көлеміндегі инвестициялық бюджетіне цемент зауытына салынатын күрделі салымдар енгізілмейді, осылайша инвестицияларды, өндірістік қуаттарды, түсімді және құрылатын жұмыс орындарын екі рет есептеуге жол берілмейді.</w:t>
      </w:r>
    </w:p>
    <w:p w14:paraId="41AC474A">
      <w:pPr>
        <w:spacing w:line="240" w:lineRule="auto"/>
        <w:rPr>
          <w:rFonts w:ascii="Cambria" w:hAnsi="Cambria"/>
          <w:lang w:val="ru-RU"/>
        </w:rPr>
      </w:pPr>
      <w:r>
        <w:rPr>
          <w:rFonts w:ascii="Cambria" w:hAnsi="Cambria"/>
          <w:lang w:val="ru-RU"/>
        </w:rPr>
        <w:t>Осылайша, Индустриялық аймақ құру цемент зауытының 80 млрд теңгеден асатын іске асырылып жатқан жобасына қосымша құны 50,7 млрд теңге болатын жаңа инвестициялық портфель қалыптастыруды көздейді. Қалыптастырылып жатқан өнеркәсіптік торапқа салынатын күрделі салымдардың жалпы ауқымы 130,7 млрд теңгеден асады деп бағаланады, оның 50,7 млрд теңгесі тікелей құрылатын Индустриялық аймаққа тиесілі. Мұндай құрылым инфрақұрылым ресурстарын ортақ өнеркәсіптік алаңды дамытуға шоғырландыруға және Байғанин ауданының өңдеу өнеркәсібіне елеулі жеке капитал тартуға алғышарт жасайды.</w:t>
      </w:r>
    </w:p>
    <w:p w14:paraId="7BC646FB">
      <w:pPr>
        <w:pStyle w:val="3"/>
        <w:spacing w:line="240" w:lineRule="auto"/>
        <w:rPr>
          <w:rFonts w:ascii="Cambria" w:hAnsi="Cambria"/>
          <w:lang w:val="ru-RU"/>
        </w:rPr>
      </w:pPr>
      <w:r>
        <w:rPr>
          <w:rFonts w:ascii="Cambria" w:hAnsi="Cambria"/>
          <w:lang w:val="ru-RU"/>
        </w:rPr>
        <w:t>5.3. Индустриялық аймақтың пайдалану шығындарын бағалау</w:t>
      </w:r>
    </w:p>
    <w:p w14:paraId="009DFE6D">
      <w:pPr>
        <w:spacing w:line="240" w:lineRule="auto"/>
        <w:rPr>
          <w:rFonts w:ascii="Cambria" w:hAnsi="Cambria"/>
          <w:lang w:val="ru-RU"/>
        </w:rPr>
      </w:pPr>
      <w:r>
        <w:rPr>
          <w:rFonts w:ascii="Cambria" w:hAnsi="Cambria"/>
          <w:lang w:val="ru-RU"/>
        </w:rPr>
        <w:t>Кәсіпорындар іске қосылғаннан кейін ағымдағы шығындардың құрылымы шикізат шығынына, электр мен суды тұтынуға, персонал саны мен біліктілігіне, дайын өнімді тасымалдау қашықтығына, жабдыққа техникалық қызмет көрсетуге және өзге өндірістік қызметтерге байланысты болады. Тұжырымдама мақсаттары үшін қуат толық жүктелген кездегі резиденттердің шығындары есептелді; шикізат пен материалдар, энергия ресурстары мен коммуналдық қызметтер, персонал шығындары, дайын өнім логистикасы және өзге ағымдағы шығындар бөлек көрсетілді.</w:t>
      </w:r>
    </w:p>
    <w:p w14:paraId="48365D29">
      <w:pPr>
        <w:spacing w:line="240" w:lineRule="auto"/>
        <w:rPr>
          <w:rFonts w:ascii="Cambria" w:hAnsi="Cambria"/>
          <w:lang w:val="ru-RU"/>
        </w:rPr>
      </w:pPr>
      <w:r>
        <w:rPr>
          <w:rFonts w:ascii="Cambria" w:hAnsi="Cambria"/>
          <w:lang w:val="ru-RU"/>
        </w:rPr>
        <w:t>Мәндер технологиялық процестердің жалпы сипаты мен қабылданған өткізу көлемдері негізінде сараптамалық сценариймен айқындалды. Жабдық өндірушілерінің коммерциялық ұсыныстары, бетон қоспаларының рецептуралары, цемент зауыты қызметтерінің тарифтері, нақты маршруттар бойынша теміржол тарифтері және жеткізудің нақты шарттық бағалары орташа нарықтық деңгейде қабылданды.</w:t>
      </w:r>
    </w:p>
    <w:p w14:paraId="68A0C543">
      <w:pPr>
        <w:pStyle w:val="75"/>
        <w:keepNext/>
        <w:spacing w:line="240" w:lineRule="auto"/>
        <w:rPr>
          <w:rFonts w:ascii="Cambria" w:hAnsi="Cambria"/>
          <w:lang w:val="ru-RU"/>
        </w:rPr>
      </w:pPr>
      <w:r>
        <w:rPr>
          <w:rFonts w:ascii="Cambria" w:hAnsi="Cambria"/>
          <w:lang w:val="ru-RU"/>
        </w:rPr>
        <w:t>5.3-кесте – Қуат толық жүктелген кездегі резиденттердің жылдық ағымдағы шығындарының құрылымы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6516"/>
        <w:gridCol w:w="1276"/>
        <w:gridCol w:w="1497"/>
      </w:tblGrid>
      <w:tr w14:paraId="4F57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6516" w:type="dxa"/>
            <w:shd w:val="clear" w:color="auto" w:fill="23486F"/>
            <w:vAlign w:val="center"/>
          </w:tcPr>
          <w:p w14:paraId="7ABC78B2">
            <w:pPr>
              <w:spacing w:after="0" w:line="240" w:lineRule="auto"/>
              <w:ind w:firstLine="0"/>
              <w:jc w:val="center"/>
              <w:rPr>
                <w:rFonts w:ascii="Cambria" w:hAnsi="Cambria"/>
              </w:rPr>
            </w:pPr>
            <w:r>
              <w:rPr>
                <w:rFonts w:ascii="Cambria" w:hAnsi="Cambria"/>
                <w:b/>
                <w:color w:val="FFFFFF"/>
                <w:sz w:val="17"/>
              </w:rPr>
              <w:t>Шығыс бабы</w:t>
            </w:r>
          </w:p>
        </w:tc>
        <w:tc>
          <w:tcPr>
            <w:tcW w:w="1276" w:type="dxa"/>
            <w:shd w:val="clear" w:color="auto" w:fill="23486F"/>
            <w:vAlign w:val="center"/>
          </w:tcPr>
          <w:p w14:paraId="2B6F514E">
            <w:pPr>
              <w:spacing w:after="0" w:line="240" w:lineRule="auto"/>
              <w:ind w:firstLine="0"/>
              <w:jc w:val="center"/>
              <w:rPr>
                <w:rFonts w:ascii="Cambria" w:hAnsi="Cambria"/>
              </w:rPr>
            </w:pPr>
            <w:r>
              <w:rPr>
                <w:rFonts w:ascii="Cambria" w:hAnsi="Cambria"/>
                <w:b/>
                <w:color w:val="FFFFFF"/>
                <w:sz w:val="17"/>
              </w:rPr>
              <w:t>Көлемі, млрд тг/жыл</w:t>
            </w:r>
          </w:p>
        </w:tc>
        <w:tc>
          <w:tcPr>
            <w:tcW w:w="1497" w:type="dxa"/>
            <w:shd w:val="clear" w:color="auto" w:fill="23486F"/>
            <w:vAlign w:val="center"/>
          </w:tcPr>
          <w:p w14:paraId="688EF4ED">
            <w:pPr>
              <w:spacing w:after="0" w:line="240" w:lineRule="auto"/>
              <w:ind w:firstLine="0"/>
              <w:jc w:val="center"/>
              <w:rPr>
                <w:rFonts w:ascii="Cambria" w:hAnsi="Cambria"/>
              </w:rPr>
            </w:pPr>
            <w:r>
              <w:rPr>
                <w:rFonts w:ascii="Cambria" w:hAnsi="Cambria"/>
                <w:b/>
                <w:color w:val="FFFFFF"/>
                <w:sz w:val="17"/>
              </w:rPr>
              <w:t>Ағымдағы шығындардағы үлесі, %</w:t>
            </w:r>
          </w:p>
        </w:tc>
      </w:tr>
      <w:tr w14:paraId="18D5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vAlign w:val="center"/>
          </w:tcPr>
          <w:p w14:paraId="59E36F7C">
            <w:pPr>
              <w:spacing w:after="0" w:line="240" w:lineRule="auto"/>
              <w:ind w:firstLine="0"/>
              <w:jc w:val="left"/>
              <w:rPr>
                <w:rFonts w:ascii="Cambria" w:hAnsi="Cambria"/>
              </w:rPr>
            </w:pPr>
            <w:r>
              <w:rPr>
                <w:rFonts w:ascii="Cambria" w:hAnsi="Cambria"/>
                <w:color w:val="1C2839"/>
                <w:sz w:val="17"/>
              </w:rPr>
              <w:t>Шикізат пен материалдар</w:t>
            </w:r>
          </w:p>
        </w:tc>
        <w:tc>
          <w:tcPr>
            <w:tcW w:w="1276" w:type="dxa"/>
            <w:vAlign w:val="center"/>
          </w:tcPr>
          <w:p w14:paraId="0538D166">
            <w:pPr>
              <w:spacing w:after="0" w:line="240" w:lineRule="auto"/>
              <w:ind w:firstLine="0"/>
              <w:jc w:val="center"/>
              <w:rPr>
                <w:rFonts w:ascii="Cambria" w:hAnsi="Cambria"/>
              </w:rPr>
            </w:pPr>
            <w:r>
              <w:rPr>
                <w:rFonts w:ascii="Cambria" w:hAnsi="Cambria"/>
                <w:color w:val="1C2839"/>
                <w:sz w:val="17"/>
              </w:rPr>
              <w:t>21,30</w:t>
            </w:r>
          </w:p>
        </w:tc>
        <w:tc>
          <w:tcPr>
            <w:tcW w:w="1497" w:type="dxa"/>
            <w:vAlign w:val="center"/>
          </w:tcPr>
          <w:p w14:paraId="6FC5F85D">
            <w:pPr>
              <w:spacing w:after="0" w:line="240" w:lineRule="auto"/>
              <w:ind w:firstLine="0"/>
              <w:jc w:val="center"/>
              <w:rPr>
                <w:rFonts w:ascii="Cambria" w:hAnsi="Cambria"/>
              </w:rPr>
            </w:pPr>
            <w:r>
              <w:rPr>
                <w:rFonts w:ascii="Cambria" w:hAnsi="Cambria"/>
                <w:color w:val="1C2839"/>
                <w:sz w:val="17"/>
              </w:rPr>
              <w:t>63,30</w:t>
            </w:r>
          </w:p>
        </w:tc>
      </w:tr>
      <w:tr w14:paraId="709C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shd w:val="clear" w:color="auto" w:fill="F0F5F9"/>
            <w:vAlign w:val="center"/>
          </w:tcPr>
          <w:p w14:paraId="64903701">
            <w:pPr>
              <w:spacing w:after="0" w:line="240" w:lineRule="auto"/>
              <w:ind w:firstLine="0"/>
              <w:jc w:val="left"/>
              <w:rPr>
                <w:rFonts w:ascii="Cambria" w:hAnsi="Cambria"/>
              </w:rPr>
            </w:pPr>
            <w:r>
              <w:rPr>
                <w:rFonts w:ascii="Cambria" w:hAnsi="Cambria"/>
                <w:color w:val="1C2839"/>
                <w:sz w:val="17"/>
              </w:rPr>
              <w:t>Энергия ресурстары мен коммуналдық қызметтер</w:t>
            </w:r>
          </w:p>
        </w:tc>
        <w:tc>
          <w:tcPr>
            <w:tcW w:w="1276" w:type="dxa"/>
            <w:shd w:val="clear" w:color="auto" w:fill="F0F5F9"/>
            <w:vAlign w:val="center"/>
          </w:tcPr>
          <w:p w14:paraId="0B9B1368">
            <w:pPr>
              <w:spacing w:after="0" w:line="240" w:lineRule="auto"/>
              <w:ind w:firstLine="0"/>
              <w:jc w:val="center"/>
              <w:rPr>
                <w:rFonts w:ascii="Cambria" w:hAnsi="Cambria"/>
              </w:rPr>
            </w:pPr>
            <w:r>
              <w:rPr>
                <w:rFonts w:ascii="Cambria" w:hAnsi="Cambria"/>
                <w:color w:val="1C2839"/>
                <w:sz w:val="17"/>
              </w:rPr>
              <w:t>2,56</w:t>
            </w:r>
          </w:p>
        </w:tc>
        <w:tc>
          <w:tcPr>
            <w:tcW w:w="1497" w:type="dxa"/>
            <w:shd w:val="clear" w:color="auto" w:fill="F0F5F9"/>
            <w:vAlign w:val="center"/>
          </w:tcPr>
          <w:p w14:paraId="574441CA">
            <w:pPr>
              <w:spacing w:after="0" w:line="240" w:lineRule="auto"/>
              <w:ind w:firstLine="0"/>
              <w:jc w:val="center"/>
              <w:rPr>
                <w:rFonts w:ascii="Cambria" w:hAnsi="Cambria"/>
              </w:rPr>
            </w:pPr>
            <w:r>
              <w:rPr>
                <w:rFonts w:ascii="Cambria" w:hAnsi="Cambria"/>
                <w:color w:val="1C2839"/>
                <w:sz w:val="17"/>
              </w:rPr>
              <w:t>7,61</w:t>
            </w:r>
          </w:p>
        </w:tc>
      </w:tr>
      <w:tr w14:paraId="6588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vAlign w:val="center"/>
          </w:tcPr>
          <w:p w14:paraId="4999F51C">
            <w:pPr>
              <w:spacing w:after="0" w:line="240" w:lineRule="auto"/>
              <w:ind w:firstLine="0"/>
              <w:jc w:val="left"/>
              <w:rPr>
                <w:rFonts w:ascii="Cambria" w:hAnsi="Cambria"/>
                <w:lang w:val="ru-RU"/>
              </w:rPr>
            </w:pPr>
            <w:r>
              <w:rPr>
                <w:rFonts w:ascii="Cambria" w:hAnsi="Cambria"/>
                <w:color w:val="1C2839"/>
                <w:sz w:val="17"/>
                <w:lang w:val="ru-RU"/>
              </w:rPr>
              <w:t>Еңбекақы төлеу қоры және жұмыс берушінің ілеспе шығыстары</w:t>
            </w:r>
          </w:p>
        </w:tc>
        <w:tc>
          <w:tcPr>
            <w:tcW w:w="1276" w:type="dxa"/>
            <w:vAlign w:val="center"/>
          </w:tcPr>
          <w:p w14:paraId="325D0C6A">
            <w:pPr>
              <w:spacing w:after="0" w:line="240" w:lineRule="auto"/>
              <w:ind w:firstLine="0"/>
              <w:jc w:val="center"/>
              <w:rPr>
                <w:rFonts w:ascii="Cambria" w:hAnsi="Cambria"/>
              </w:rPr>
            </w:pPr>
            <w:r>
              <w:rPr>
                <w:rFonts w:ascii="Cambria" w:hAnsi="Cambria"/>
                <w:color w:val="1C2839"/>
                <w:sz w:val="17"/>
              </w:rPr>
              <w:t>3,60</w:t>
            </w:r>
          </w:p>
        </w:tc>
        <w:tc>
          <w:tcPr>
            <w:tcW w:w="1497" w:type="dxa"/>
            <w:vAlign w:val="center"/>
          </w:tcPr>
          <w:p w14:paraId="36B1FECC">
            <w:pPr>
              <w:spacing w:after="0" w:line="240" w:lineRule="auto"/>
              <w:ind w:firstLine="0"/>
              <w:jc w:val="center"/>
              <w:rPr>
                <w:rFonts w:ascii="Cambria" w:hAnsi="Cambria"/>
              </w:rPr>
            </w:pPr>
            <w:r>
              <w:rPr>
                <w:rFonts w:ascii="Cambria" w:hAnsi="Cambria"/>
                <w:color w:val="1C2839"/>
                <w:sz w:val="17"/>
              </w:rPr>
              <w:t>10,70</w:t>
            </w:r>
          </w:p>
        </w:tc>
      </w:tr>
      <w:tr w14:paraId="7F64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shd w:val="clear" w:color="auto" w:fill="F0F5F9"/>
            <w:vAlign w:val="center"/>
          </w:tcPr>
          <w:p w14:paraId="473F5309">
            <w:pPr>
              <w:spacing w:after="0" w:line="240" w:lineRule="auto"/>
              <w:ind w:firstLine="0"/>
              <w:jc w:val="left"/>
              <w:rPr>
                <w:rFonts w:ascii="Cambria" w:hAnsi="Cambria"/>
                <w:lang w:val="ru-RU"/>
              </w:rPr>
            </w:pPr>
            <w:r>
              <w:rPr>
                <w:rFonts w:ascii="Cambria" w:hAnsi="Cambria"/>
                <w:color w:val="1C2839"/>
                <w:sz w:val="17"/>
                <w:lang w:val="ru-RU"/>
              </w:rPr>
              <w:t>Дайын өнімді тасымалдау және логистика</w:t>
            </w:r>
          </w:p>
        </w:tc>
        <w:tc>
          <w:tcPr>
            <w:tcW w:w="1276" w:type="dxa"/>
            <w:shd w:val="clear" w:color="auto" w:fill="F0F5F9"/>
            <w:vAlign w:val="center"/>
          </w:tcPr>
          <w:p w14:paraId="63616831">
            <w:pPr>
              <w:spacing w:after="0" w:line="240" w:lineRule="auto"/>
              <w:ind w:firstLine="0"/>
              <w:jc w:val="center"/>
              <w:rPr>
                <w:rFonts w:ascii="Cambria" w:hAnsi="Cambria"/>
              </w:rPr>
            </w:pPr>
            <w:r>
              <w:rPr>
                <w:rFonts w:ascii="Cambria" w:hAnsi="Cambria"/>
                <w:color w:val="1C2839"/>
                <w:sz w:val="17"/>
              </w:rPr>
              <w:t>3,91</w:t>
            </w:r>
          </w:p>
        </w:tc>
        <w:tc>
          <w:tcPr>
            <w:tcW w:w="1497" w:type="dxa"/>
            <w:shd w:val="clear" w:color="auto" w:fill="F0F5F9"/>
            <w:vAlign w:val="center"/>
          </w:tcPr>
          <w:p w14:paraId="2AE71D88">
            <w:pPr>
              <w:spacing w:after="0" w:line="240" w:lineRule="auto"/>
              <w:ind w:firstLine="0"/>
              <w:jc w:val="center"/>
              <w:rPr>
                <w:rFonts w:ascii="Cambria" w:hAnsi="Cambria"/>
              </w:rPr>
            </w:pPr>
            <w:r>
              <w:rPr>
                <w:rFonts w:ascii="Cambria" w:hAnsi="Cambria"/>
                <w:color w:val="1C2839"/>
                <w:sz w:val="17"/>
              </w:rPr>
              <w:t>11,62</w:t>
            </w:r>
          </w:p>
        </w:tc>
      </w:tr>
      <w:tr w14:paraId="7D54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vAlign w:val="center"/>
          </w:tcPr>
          <w:p w14:paraId="5698C444">
            <w:pPr>
              <w:spacing w:after="0" w:line="240" w:lineRule="auto"/>
              <w:ind w:firstLine="0"/>
              <w:jc w:val="left"/>
              <w:rPr>
                <w:rFonts w:ascii="Cambria" w:hAnsi="Cambria"/>
                <w:lang w:val="ru-RU"/>
              </w:rPr>
            </w:pPr>
            <w:r>
              <w:rPr>
                <w:rFonts w:ascii="Cambria" w:hAnsi="Cambria"/>
                <w:color w:val="1C2839"/>
                <w:sz w:val="17"/>
                <w:lang w:val="ru-RU"/>
              </w:rPr>
              <w:t>Жөндеу, қызмет көрсету, жалпы өндірістік және өзге шығындар</w:t>
            </w:r>
          </w:p>
        </w:tc>
        <w:tc>
          <w:tcPr>
            <w:tcW w:w="1276" w:type="dxa"/>
            <w:vAlign w:val="center"/>
          </w:tcPr>
          <w:p w14:paraId="3DAE4CEE">
            <w:pPr>
              <w:spacing w:after="0" w:line="240" w:lineRule="auto"/>
              <w:ind w:firstLine="0"/>
              <w:jc w:val="center"/>
              <w:rPr>
                <w:rFonts w:ascii="Cambria" w:hAnsi="Cambria"/>
              </w:rPr>
            </w:pPr>
            <w:r>
              <w:rPr>
                <w:rFonts w:ascii="Cambria" w:hAnsi="Cambria"/>
                <w:color w:val="1C2839"/>
                <w:sz w:val="17"/>
              </w:rPr>
              <w:t>2,28</w:t>
            </w:r>
          </w:p>
        </w:tc>
        <w:tc>
          <w:tcPr>
            <w:tcW w:w="1497" w:type="dxa"/>
            <w:vAlign w:val="center"/>
          </w:tcPr>
          <w:p w14:paraId="62CA1356">
            <w:pPr>
              <w:spacing w:after="0" w:line="240" w:lineRule="auto"/>
              <w:ind w:firstLine="0"/>
              <w:jc w:val="center"/>
              <w:rPr>
                <w:rFonts w:ascii="Cambria" w:hAnsi="Cambria"/>
              </w:rPr>
            </w:pPr>
            <w:r>
              <w:rPr>
                <w:rFonts w:ascii="Cambria" w:hAnsi="Cambria"/>
                <w:color w:val="1C2839"/>
                <w:sz w:val="17"/>
              </w:rPr>
              <w:t>6,78</w:t>
            </w:r>
          </w:p>
        </w:tc>
      </w:tr>
      <w:tr w14:paraId="566F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6516" w:type="dxa"/>
            <w:shd w:val="clear" w:color="auto" w:fill="DBE8F2"/>
            <w:vAlign w:val="center"/>
          </w:tcPr>
          <w:p w14:paraId="353E333F">
            <w:pPr>
              <w:spacing w:after="0" w:line="240" w:lineRule="auto"/>
              <w:ind w:firstLine="0"/>
              <w:jc w:val="left"/>
              <w:rPr>
                <w:rFonts w:ascii="Cambria" w:hAnsi="Cambria"/>
              </w:rPr>
            </w:pPr>
            <w:r>
              <w:rPr>
                <w:rFonts w:ascii="Cambria" w:hAnsi="Cambria"/>
                <w:b/>
                <w:color w:val="1C2839"/>
                <w:sz w:val="17"/>
              </w:rPr>
              <w:t>Барлығы</w:t>
            </w:r>
          </w:p>
        </w:tc>
        <w:tc>
          <w:tcPr>
            <w:tcW w:w="1276" w:type="dxa"/>
            <w:shd w:val="clear" w:color="auto" w:fill="DBE8F2"/>
            <w:vAlign w:val="center"/>
          </w:tcPr>
          <w:p w14:paraId="2E40D207">
            <w:pPr>
              <w:spacing w:after="0" w:line="240" w:lineRule="auto"/>
              <w:ind w:firstLine="0"/>
              <w:jc w:val="center"/>
              <w:rPr>
                <w:rFonts w:ascii="Cambria" w:hAnsi="Cambria"/>
              </w:rPr>
            </w:pPr>
            <w:r>
              <w:rPr>
                <w:rFonts w:ascii="Cambria" w:hAnsi="Cambria"/>
                <w:b/>
                <w:color w:val="1C2839"/>
                <w:sz w:val="17"/>
              </w:rPr>
              <w:t>33,65</w:t>
            </w:r>
          </w:p>
        </w:tc>
        <w:tc>
          <w:tcPr>
            <w:tcW w:w="1497" w:type="dxa"/>
            <w:shd w:val="clear" w:color="auto" w:fill="DBE8F2"/>
            <w:vAlign w:val="center"/>
          </w:tcPr>
          <w:p w14:paraId="07C61DBB">
            <w:pPr>
              <w:spacing w:after="0" w:line="240" w:lineRule="auto"/>
              <w:ind w:firstLine="0"/>
              <w:jc w:val="center"/>
              <w:rPr>
                <w:rFonts w:ascii="Cambria" w:hAnsi="Cambria"/>
              </w:rPr>
            </w:pPr>
            <w:r>
              <w:rPr>
                <w:rFonts w:ascii="Cambria" w:hAnsi="Cambria"/>
                <w:b/>
                <w:color w:val="1C2839"/>
                <w:sz w:val="17"/>
              </w:rPr>
              <w:t>100,0</w:t>
            </w:r>
          </w:p>
        </w:tc>
      </w:tr>
    </w:tbl>
    <w:p w14:paraId="1664BB07">
      <w:pPr>
        <w:spacing w:line="240" w:lineRule="auto"/>
        <w:rPr>
          <w:rFonts w:ascii="Cambria" w:hAnsi="Cambria"/>
          <w:lang w:val="ru-RU"/>
        </w:rPr>
      </w:pPr>
      <w:r>
        <w:rPr>
          <w:rFonts w:ascii="Cambria" w:hAnsi="Cambria"/>
          <w:lang w:val="ru-RU"/>
        </w:rPr>
        <w:t>Ең елеулі шығын бабы – цемент, құм мен қиыршықтас, арматура, минералдық толтырғыштар, арнайы қоспалар, талшықты компоненттер және қаптама сияқты шикізат пен материалдарды сатып алу. Шығындарға қатысты негізгі тәуекелдер басқа өңірлерден жеткізілуі мүмкін ілеспе шикізат бағасына, сондай-ақ дайын өнімді, әсіресе ірі көлемді әрі ауыр ТББ-ны тасымалдауға байланысты. Цемент зауытының жақын орналасуы цемент жеткізу қашықтығын ықтимал қысқартады, бірақ қалған материалдардың логистикалық шығындарын және түпкілікті өнімді өткізуді жоймайды.</w:t>
      </w:r>
    </w:p>
    <w:p w14:paraId="3167C1D4">
      <w:pPr>
        <w:pStyle w:val="75"/>
        <w:keepNext/>
        <w:spacing w:line="240" w:lineRule="auto"/>
        <w:rPr>
          <w:rFonts w:ascii="Cambria" w:hAnsi="Cambria"/>
          <w:lang w:val="ru-RU"/>
        </w:rPr>
      </w:pPr>
      <w:r>
        <w:rPr>
          <w:rFonts w:ascii="Cambria" w:hAnsi="Cambria"/>
          <w:lang w:val="ru-RU"/>
        </w:rPr>
        <w:t>5.4-кесте – Қуат толық жүктелген кездегі резиденттердің операциялық нәтижесі, жылына млрд теңге</w:t>
      </w:r>
    </w:p>
    <w:tbl>
      <w:tblPr>
        <w:tblStyle w:val="43"/>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6" w:type="dxa"/>
          <w:left w:w="95" w:type="dxa"/>
          <w:bottom w:w="86" w:type="dxa"/>
          <w:right w:w="95" w:type="dxa"/>
        </w:tblCellMar>
      </w:tblPr>
      <w:tblGrid>
        <w:gridCol w:w="4310"/>
        <w:gridCol w:w="1191"/>
        <w:gridCol w:w="1644"/>
        <w:gridCol w:w="1870"/>
      </w:tblGrid>
      <w:tr w14:paraId="56B5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4309" w:type="dxa"/>
            <w:shd w:val="clear" w:color="auto" w:fill="23486F"/>
            <w:vAlign w:val="center"/>
          </w:tcPr>
          <w:p w14:paraId="7483BB07">
            <w:pPr>
              <w:spacing w:after="0" w:line="240" w:lineRule="auto"/>
              <w:ind w:firstLine="0"/>
              <w:jc w:val="center"/>
              <w:rPr>
                <w:rFonts w:ascii="Cambria" w:hAnsi="Cambria"/>
              </w:rPr>
            </w:pPr>
            <w:r>
              <w:rPr>
                <w:rFonts w:ascii="Cambria" w:hAnsi="Cambria"/>
                <w:b/>
                <w:color w:val="FFFFFF"/>
                <w:sz w:val="17"/>
              </w:rPr>
              <w:t>Жоба</w:t>
            </w:r>
          </w:p>
        </w:tc>
        <w:tc>
          <w:tcPr>
            <w:tcW w:w="1191" w:type="dxa"/>
            <w:shd w:val="clear" w:color="auto" w:fill="23486F"/>
            <w:vAlign w:val="center"/>
          </w:tcPr>
          <w:p w14:paraId="7CAAF3A6">
            <w:pPr>
              <w:spacing w:after="0" w:line="240" w:lineRule="auto"/>
              <w:ind w:firstLine="0"/>
              <w:jc w:val="center"/>
              <w:rPr>
                <w:rFonts w:ascii="Cambria" w:hAnsi="Cambria"/>
              </w:rPr>
            </w:pPr>
            <w:r>
              <w:rPr>
                <w:rFonts w:ascii="Cambria" w:hAnsi="Cambria"/>
                <w:b/>
                <w:color w:val="FFFFFF"/>
                <w:sz w:val="17"/>
              </w:rPr>
              <w:t>Түсім</w:t>
            </w:r>
          </w:p>
        </w:tc>
        <w:tc>
          <w:tcPr>
            <w:tcW w:w="1644" w:type="dxa"/>
            <w:shd w:val="clear" w:color="auto" w:fill="23486F"/>
            <w:vAlign w:val="center"/>
          </w:tcPr>
          <w:p w14:paraId="45522E1A">
            <w:pPr>
              <w:spacing w:after="0" w:line="240" w:lineRule="auto"/>
              <w:ind w:firstLine="0"/>
              <w:jc w:val="center"/>
              <w:rPr>
                <w:rFonts w:ascii="Cambria" w:hAnsi="Cambria"/>
              </w:rPr>
            </w:pPr>
            <w:r>
              <w:rPr>
                <w:rFonts w:ascii="Cambria" w:hAnsi="Cambria"/>
                <w:b/>
                <w:color w:val="FFFFFF"/>
                <w:sz w:val="17"/>
              </w:rPr>
              <w:t>Ағымдағы шығындар</w:t>
            </w:r>
          </w:p>
        </w:tc>
        <w:tc>
          <w:tcPr>
            <w:tcW w:w="1870" w:type="dxa"/>
            <w:shd w:val="clear" w:color="auto" w:fill="23486F"/>
            <w:vAlign w:val="center"/>
          </w:tcPr>
          <w:p w14:paraId="7CBF6C97">
            <w:pPr>
              <w:spacing w:after="0" w:line="240" w:lineRule="auto"/>
              <w:ind w:firstLine="0"/>
              <w:jc w:val="center"/>
              <w:rPr>
                <w:rFonts w:ascii="Cambria" w:hAnsi="Cambria"/>
                <w:lang w:val="ru-RU"/>
              </w:rPr>
            </w:pPr>
            <w:r>
              <w:rPr>
                <w:rFonts w:ascii="Cambria" w:hAnsi="Cambria"/>
                <w:b/>
                <w:color w:val="FFFFFF"/>
                <w:sz w:val="17"/>
                <w:lang w:val="ru-RU"/>
              </w:rPr>
              <w:t>Амортизацияға, пайыздарға және пайда салығына дейінгі айырма</w:t>
            </w:r>
          </w:p>
        </w:tc>
      </w:tr>
      <w:tr w14:paraId="4C9B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vAlign w:val="center"/>
          </w:tcPr>
          <w:p w14:paraId="184D8D07">
            <w:pPr>
              <w:spacing w:after="0" w:line="240" w:lineRule="auto"/>
              <w:ind w:firstLine="0"/>
              <w:jc w:val="left"/>
              <w:rPr>
                <w:rFonts w:ascii="Cambria" w:hAnsi="Cambria"/>
              </w:rPr>
            </w:pPr>
            <w:r>
              <w:rPr>
                <w:rFonts w:ascii="Cambria" w:hAnsi="Cambria"/>
                <w:color w:val="1C2839"/>
                <w:sz w:val="17"/>
              </w:rPr>
              <w:t>1 — инфрақұрылым құрылысына арналған ТББ</w:t>
            </w:r>
          </w:p>
        </w:tc>
        <w:tc>
          <w:tcPr>
            <w:tcW w:w="1191" w:type="dxa"/>
            <w:vAlign w:val="center"/>
          </w:tcPr>
          <w:p w14:paraId="7227F63E">
            <w:pPr>
              <w:spacing w:after="0" w:line="240" w:lineRule="auto"/>
              <w:ind w:firstLine="0"/>
              <w:jc w:val="center"/>
              <w:rPr>
                <w:rFonts w:ascii="Cambria" w:hAnsi="Cambria"/>
              </w:rPr>
            </w:pPr>
            <w:r>
              <w:rPr>
                <w:rFonts w:ascii="Cambria" w:hAnsi="Cambria"/>
                <w:color w:val="1C2839"/>
                <w:sz w:val="17"/>
              </w:rPr>
              <w:t>6,30</w:t>
            </w:r>
          </w:p>
        </w:tc>
        <w:tc>
          <w:tcPr>
            <w:tcW w:w="1644" w:type="dxa"/>
            <w:vAlign w:val="center"/>
          </w:tcPr>
          <w:p w14:paraId="021EAB47">
            <w:pPr>
              <w:spacing w:after="0" w:line="240" w:lineRule="auto"/>
              <w:ind w:firstLine="0"/>
              <w:jc w:val="center"/>
              <w:rPr>
                <w:rFonts w:ascii="Cambria" w:hAnsi="Cambria"/>
              </w:rPr>
            </w:pPr>
            <w:r>
              <w:rPr>
                <w:rFonts w:ascii="Cambria" w:hAnsi="Cambria"/>
                <w:color w:val="1C2839"/>
                <w:sz w:val="17"/>
              </w:rPr>
              <w:t>5,19</w:t>
            </w:r>
          </w:p>
        </w:tc>
        <w:tc>
          <w:tcPr>
            <w:tcW w:w="1870" w:type="dxa"/>
            <w:vAlign w:val="center"/>
          </w:tcPr>
          <w:p w14:paraId="6D9D74EB">
            <w:pPr>
              <w:spacing w:after="0" w:line="240" w:lineRule="auto"/>
              <w:ind w:firstLine="0"/>
              <w:jc w:val="center"/>
              <w:rPr>
                <w:rFonts w:ascii="Cambria" w:hAnsi="Cambria"/>
              </w:rPr>
            </w:pPr>
            <w:r>
              <w:rPr>
                <w:rFonts w:ascii="Cambria" w:hAnsi="Cambria"/>
                <w:color w:val="1C2839"/>
                <w:sz w:val="17"/>
              </w:rPr>
              <w:t>1,11</w:t>
            </w:r>
          </w:p>
        </w:tc>
      </w:tr>
      <w:tr w14:paraId="6CC1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shd w:val="clear" w:color="auto" w:fill="F0F5F9"/>
            <w:vAlign w:val="center"/>
          </w:tcPr>
          <w:p w14:paraId="7C4EFF18">
            <w:pPr>
              <w:spacing w:after="0" w:line="240" w:lineRule="auto"/>
              <w:ind w:firstLine="0"/>
              <w:jc w:val="left"/>
              <w:rPr>
                <w:rFonts w:ascii="Cambria" w:hAnsi="Cambria"/>
              </w:rPr>
            </w:pPr>
            <w:r>
              <w:rPr>
                <w:rFonts w:ascii="Cambria" w:hAnsi="Cambria"/>
                <w:color w:val="1C2839"/>
                <w:sz w:val="17"/>
              </w:rPr>
              <w:t>2 — темірбетон шпалдар</w:t>
            </w:r>
          </w:p>
        </w:tc>
        <w:tc>
          <w:tcPr>
            <w:tcW w:w="1191" w:type="dxa"/>
            <w:shd w:val="clear" w:color="auto" w:fill="F0F5F9"/>
            <w:vAlign w:val="center"/>
          </w:tcPr>
          <w:p w14:paraId="7D9D2776">
            <w:pPr>
              <w:spacing w:after="0" w:line="240" w:lineRule="auto"/>
              <w:ind w:firstLine="0"/>
              <w:jc w:val="center"/>
              <w:rPr>
                <w:rFonts w:ascii="Cambria" w:hAnsi="Cambria"/>
              </w:rPr>
            </w:pPr>
            <w:r>
              <w:rPr>
                <w:rFonts w:ascii="Cambria" w:hAnsi="Cambria"/>
                <w:color w:val="1C2839"/>
                <w:sz w:val="17"/>
              </w:rPr>
              <w:t>7,00</w:t>
            </w:r>
          </w:p>
        </w:tc>
        <w:tc>
          <w:tcPr>
            <w:tcW w:w="1644" w:type="dxa"/>
            <w:shd w:val="clear" w:color="auto" w:fill="F0F5F9"/>
            <w:vAlign w:val="center"/>
          </w:tcPr>
          <w:p w14:paraId="10FFE1DE">
            <w:pPr>
              <w:spacing w:after="0" w:line="240" w:lineRule="auto"/>
              <w:ind w:firstLine="0"/>
              <w:jc w:val="center"/>
              <w:rPr>
                <w:rFonts w:ascii="Cambria" w:hAnsi="Cambria"/>
              </w:rPr>
            </w:pPr>
            <w:r>
              <w:rPr>
                <w:rFonts w:ascii="Cambria" w:hAnsi="Cambria"/>
                <w:color w:val="1C2839"/>
                <w:sz w:val="17"/>
              </w:rPr>
              <w:t>5,83</w:t>
            </w:r>
          </w:p>
        </w:tc>
        <w:tc>
          <w:tcPr>
            <w:tcW w:w="1870" w:type="dxa"/>
            <w:shd w:val="clear" w:color="auto" w:fill="F0F5F9"/>
            <w:vAlign w:val="center"/>
          </w:tcPr>
          <w:p w14:paraId="4388A8D6">
            <w:pPr>
              <w:spacing w:after="0" w:line="240" w:lineRule="auto"/>
              <w:ind w:firstLine="0"/>
              <w:jc w:val="center"/>
              <w:rPr>
                <w:rFonts w:ascii="Cambria" w:hAnsi="Cambria"/>
              </w:rPr>
            </w:pPr>
            <w:r>
              <w:rPr>
                <w:rFonts w:ascii="Cambria" w:hAnsi="Cambria"/>
                <w:color w:val="1C2839"/>
                <w:sz w:val="17"/>
              </w:rPr>
              <w:t>1,17</w:t>
            </w:r>
          </w:p>
        </w:tc>
      </w:tr>
      <w:tr w14:paraId="1AF7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vAlign w:val="center"/>
          </w:tcPr>
          <w:p w14:paraId="67A78CEE">
            <w:pPr>
              <w:spacing w:after="0" w:line="240" w:lineRule="auto"/>
              <w:ind w:firstLine="0"/>
              <w:jc w:val="left"/>
              <w:rPr>
                <w:rFonts w:ascii="Cambria" w:hAnsi="Cambria"/>
              </w:rPr>
            </w:pPr>
            <w:r>
              <w:rPr>
                <w:rFonts w:ascii="Cambria" w:hAnsi="Cambria"/>
                <w:color w:val="1C2839"/>
                <w:sz w:val="17"/>
              </w:rPr>
              <w:t>3 — электр беру желілерінің темірбетон тіректері</w:t>
            </w:r>
          </w:p>
        </w:tc>
        <w:tc>
          <w:tcPr>
            <w:tcW w:w="1191" w:type="dxa"/>
            <w:vAlign w:val="center"/>
          </w:tcPr>
          <w:p w14:paraId="21D6640C">
            <w:pPr>
              <w:spacing w:after="0" w:line="240" w:lineRule="auto"/>
              <w:ind w:firstLine="0"/>
              <w:jc w:val="center"/>
              <w:rPr>
                <w:rFonts w:ascii="Cambria" w:hAnsi="Cambria"/>
              </w:rPr>
            </w:pPr>
            <w:r>
              <w:rPr>
                <w:rFonts w:ascii="Cambria" w:hAnsi="Cambria"/>
                <w:color w:val="1C2839"/>
                <w:sz w:val="17"/>
              </w:rPr>
              <w:t>2,75</w:t>
            </w:r>
          </w:p>
        </w:tc>
        <w:tc>
          <w:tcPr>
            <w:tcW w:w="1644" w:type="dxa"/>
            <w:vAlign w:val="center"/>
          </w:tcPr>
          <w:p w14:paraId="38C8F52E">
            <w:pPr>
              <w:spacing w:after="0" w:line="240" w:lineRule="auto"/>
              <w:ind w:firstLine="0"/>
              <w:jc w:val="center"/>
              <w:rPr>
                <w:rFonts w:ascii="Cambria" w:hAnsi="Cambria"/>
              </w:rPr>
            </w:pPr>
            <w:r>
              <w:rPr>
                <w:rFonts w:ascii="Cambria" w:hAnsi="Cambria"/>
                <w:color w:val="1C2839"/>
                <w:sz w:val="17"/>
              </w:rPr>
              <w:t>2,39</w:t>
            </w:r>
          </w:p>
        </w:tc>
        <w:tc>
          <w:tcPr>
            <w:tcW w:w="1870" w:type="dxa"/>
            <w:vAlign w:val="center"/>
          </w:tcPr>
          <w:p w14:paraId="1072B0DE">
            <w:pPr>
              <w:spacing w:after="0" w:line="240" w:lineRule="auto"/>
              <w:ind w:firstLine="0"/>
              <w:jc w:val="center"/>
              <w:rPr>
                <w:rFonts w:ascii="Cambria" w:hAnsi="Cambria"/>
              </w:rPr>
            </w:pPr>
            <w:r>
              <w:rPr>
                <w:rFonts w:ascii="Cambria" w:hAnsi="Cambria"/>
                <w:color w:val="1C2839"/>
                <w:sz w:val="17"/>
              </w:rPr>
              <w:t>0,36</w:t>
            </w:r>
          </w:p>
        </w:tc>
      </w:tr>
      <w:tr w14:paraId="2708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shd w:val="clear" w:color="auto" w:fill="F0F5F9"/>
            <w:vAlign w:val="center"/>
          </w:tcPr>
          <w:p w14:paraId="34A1F903">
            <w:pPr>
              <w:spacing w:after="0" w:line="240" w:lineRule="auto"/>
              <w:ind w:firstLine="0"/>
              <w:jc w:val="left"/>
              <w:rPr>
                <w:rFonts w:ascii="Cambria" w:hAnsi="Cambria"/>
              </w:rPr>
            </w:pPr>
            <w:r>
              <w:rPr>
                <w:rFonts w:ascii="Cambria" w:hAnsi="Cambria"/>
                <w:color w:val="1C2839"/>
                <w:sz w:val="17"/>
              </w:rPr>
              <w:t>4 — тұрғын үй құрылысына арналған ТББ</w:t>
            </w:r>
          </w:p>
        </w:tc>
        <w:tc>
          <w:tcPr>
            <w:tcW w:w="1191" w:type="dxa"/>
            <w:shd w:val="clear" w:color="auto" w:fill="F0F5F9"/>
            <w:vAlign w:val="center"/>
          </w:tcPr>
          <w:p w14:paraId="44DAB99D">
            <w:pPr>
              <w:spacing w:after="0" w:line="240" w:lineRule="auto"/>
              <w:ind w:firstLine="0"/>
              <w:jc w:val="center"/>
              <w:rPr>
                <w:rFonts w:ascii="Cambria" w:hAnsi="Cambria"/>
              </w:rPr>
            </w:pPr>
            <w:r>
              <w:rPr>
                <w:rFonts w:ascii="Cambria" w:hAnsi="Cambria"/>
                <w:color w:val="1C2839"/>
                <w:sz w:val="17"/>
              </w:rPr>
              <w:t>9,00</w:t>
            </w:r>
          </w:p>
        </w:tc>
        <w:tc>
          <w:tcPr>
            <w:tcW w:w="1644" w:type="dxa"/>
            <w:shd w:val="clear" w:color="auto" w:fill="F0F5F9"/>
            <w:vAlign w:val="center"/>
          </w:tcPr>
          <w:p w14:paraId="160F877E">
            <w:pPr>
              <w:spacing w:after="0" w:line="240" w:lineRule="auto"/>
              <w:ind w:firstLine="0"/>
              <w:jc w:val="center"/>
              <w:rPr>
                <w:rFonts w:ascii="Cambria" w:hAnsi="Cambria"/>
              </w:rPr>
            </w:pPr>
            <w:r>
              <w:rPr>
                <w:rFonts w:ascii="Cambria" w:hAnsi="Cambria"/>
                <w:color w:val="1C2839"/>
                <w:sz w:val="17"/>
              </w:rPr>
              <w:t>7,41</w:t>
            </w:r>
          </w:p>
        </w:tc>
        <w:tc>
          <w:tcPr>
            <w:tcW w:w="1870" w:type="dxa"/>
            <w:shd w:val="clear" w:color="auto" w:fill="F0F5F9"/>
            <w:vAlign w:val="center"/>
          </w:tcPr>
          <w:p w14:paraId="6CCD9CE0">
            <w:pPr>
              <w:spacing w:after="0" w:line="240" w:lineRule="auto"/>
              <w:ind w:firstLine="0"/>
              <w:jc w:val="center"/>
              <w:rPr>
                <w:rFonts w:ascii="Cambria" w:hAnsi="Cambria"/>
              </w:rPr>
            </w:pPr>
            <w:r>
              <w:rPr>
                <w:rFonts w:ascii="Cambria" w:hAnsi="Cambria"/>
                <w:color w:val="1C2839"/>
                <w:sz w:val="17"/>
              </w:rPr>
              <w:t>1,59</w:t>
            </w:r>
          </w:p>
        </w:tc>
      </w:tr>
      <w:tr w14:paraId="0356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vAlign w:val="center"/>
          </w:tcPr>
          <w:p w14:paraId="7FF6021E">
            <w:pPr>
              <w:spacing w:after="0" w:line="240" w:lineRule="auto"/>
              <w:ind w:firstLine="0"/>
              <w:jc w:val="left"/>
              <w:rPr>
                <w:rFonts w:ascii="Cambria" w:hAnsi="Cambria"/>
              </w:rPr>
            </w:pPr>
            <w:r>
              <w:rPr>
                <w:rFonts w:ascii="Cambria" w:hAnsi="Cambria"/>
                <w:color w:val="1C2839"/>
                <w:sz w:val="17"/>
              </w:rPr>
              <w:t>5 — құрғақ құрылыс қоспалары</w:t>
            </w:r>
          </w:p>
        </w:tc>
        <w:tc>
          <w:tcPr>
            <w:tcW w:w="1191" w:type="dxa"/>
            <w:vAlign w:val="center"/>
          </w:tcPr>
          <w:p w14:paraId="1BBC2399">
            <w:pPr>
              <w:spacing w:after="0" w:line="240" w:lineRule="auto"/>
              <w:ind w:firstLine="0"/>
              <w:jc w:val="center"/>
              <w:rPr>
                <w:rFonts w:ascii="Cambria" w:hAnsi="Cambria"/>
              </w:rPr>
            </w:pPr>
            <w:r>
              <w:rPr>
                <w:rFonts w:ascii="Cambria" w:hAnsi="Cambria"/>
                <w:color w:val="1C2839"/>
                <w:sz w:val="17"/>
              </w:rPr>
              <w:t>7,00</w:t>
            </w:r>
          </w:p>
        </w:tc>
        <w:tc>
          <w:tcPr>
            <w:tcW w:w="1644" w:type="dxa"/>
            <w:vAlign w:val="center"/>
          </w:tcPr>
          <w:p w14:paraId="1BAE713C">
            <w:pPr>
              <w:spacing w:after="0" w:line="240" w:lineRule="auto"/>
              <w:ind w:firstLine="0"/>
              <w:jc w:val="center"/>
              <w:rPr>
                <w:rFonts w:ascii="Cambria" w:hAnsi="Cambria"/>
              </w:rPr>
            </w:pPr>
            <w:r>
              <w:rPr>
                <w:rFonts w:ascii="Cambria" w:hAnsi="Cambria"/>
                <w:color w:val="1C2839"/>
                <w:sz w:val="17"/>
              </w:rPr>
              <w:t>5,33</w:t>
            </w:r>
          </w:p>
        </w:tc>
        <w:tc>
          <w:tcPr>
            <w:tcW w:w="1870" w:type="dxa"/>
            <w:vAlign w:val="center"/>
          </w:tcPr>
          <w:p w14:paraId="0E3ADDAC">
            <w:pPr>
              <w:spacing w:after="0" w:line="240" w:lineRule="auto"/>
              <w:ind w:firstLine="0"/>
              <w:jc w:val="center"/>
              <w:rPr>
                <w:rFonts w:ascii="Cambria" w:hAnsi="Cambria"/>
              </w:rPr>
            </w:pPr>
            <w:r>
              <w:rPr>
                <w:rFonts w:ascii="Cambria" w:hAnsi="Cambria"/>
                <w:color w:val="1C2839"/>
                <w:sz w:val="17"/>
              </w:rPr>
              <w:t>1,67</w:t>
            </w:r>
          </w:p>
        </w:tc>
      </w:tr>
      <w:tr w14:paraId="5F7C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shd w:val="clear" w:color="auto" w:fill="F0F5F9"/>
            <w:vAlign w:val="center"/>
          </w:tcPr>
          <w:p w14:paraId="31E6F006">
            <w:pPr>
              <w:spacing w:after="0" w:line="240" w:lineRule="auto"/>
              <w:ind w:firstLine="0"/>
              <w:jc w:val="left"/>
              <w:rPr>
                <w:rFonts w:ascii="Cambria" w:hAnsi="Cambria"/>
              </w:rPr>
            </w:pPr>
            <w:r>
              <w:rPr>
                <w:rFonts w:ascii="Cambria" w:hAnsi="Cambria"/>
                <w:color w:val="1C2839"/>
                <w:sz w:val="17"/>
              </w:rPr>
              <w:t>6 — фиброцемент панельдері</w:t>
            </w:r>
          </w:p>
        </w:tc>
        <w:tc>
          <w:tcPr>
            <w:tcW w:w="1191" w:type="dxa"/>
            <w:shd w:val="clear" w:color="auto" w:fill="F0F5F9"/>
            <w:vAlign w:val="center"/>
          </w:tcPr>
          <w:p w14:paraId="0392E7EE">
            <w:pPr>
              <w:spacing w:after="0" w:line="240" w:lineRule="auto"/>
              <w:ind w:firstLine="0"/>
              <w:jc w:val="center"/>
              <w:rPr>
                <w:rFonts w:ascii="Cambria" w:hAnsi="Cambria"/>
              </w:rPr>
            </w:pPr>
            <w:r>
              <w:rPr>
                <w:rFonts w:ascii="Cambria" w:hAnsi="Cambria"/>
                <w:color w:val="1C2839"/>
                <w:sz w:val="17"/>
              </w:rPr>
              <w:t>7,00</w:t>
            </w:r>
          </w:p>
        </w:tc>
        <w:tc>
          <w:tcPr>
            <w:tcW w:w="1644" w:type="dxa"/>
            <w:shd w:val="clear" w:color="auto" w:fill="F0F5F9"/>
            <w:vAlign w:val="center"/>
          </w:tcPr>
          <w:p w14:paraId="35D84F75">
            <w:pPr>
              <w:spacing w:after="0" w:line="240" w:lineRule="auto"/>
              <w:ind w:firstLine="0"/>
              <w:jc w:val="center"/>
              <w:rPr>
                <w:rFonts w:ascii="Cambria" w:hAnsi="Cambria"/>
              </w:rPr>
            </w:pPr>
            <w:r>
              <w:rPr>
                <w:rFonts w:ascii="Cambria" w:hAnsi="Cambria"/>
                <w:color w:val="1C2839"/>
                <w:sz w:val="17"/>
              </w:rPr>
              <w:t>5,70</w:t>
            </w:r>
          </w:p>
        </w:tc>
        <w:tc>
          <w:tcPr>
            <w:tcW w:w="1870" w:type="dxa"/>
            <w:shd w:val="clear" w:color="auto" w:fill="F0F5F9"/>
            <w:vAlign w:val="center"/>
          </w:tcPr>
          <w:p w14:paraId="466D059C">
            <w:pPr>
              <w:spacing w:after="0" w:line="240" w:lineRule="auto"/>
              <w:ind w:firstLine="0"/>
              <w:jc w:val="center"/>
              <w:rPr>
                <w:rFonts w:ascii="Cambria" w:hAnsi="Cambria"/>
              </w:rPr>
            </w:pPr>
            <w:r>
              <w:rPr>
                <w:rFonts w:ascii="Cambria" w:hAnsi="Cambria"/>
                <w:color w:val="1C2839"/>
                <w:sz w:val="17"/>
              </w:rPr>
              <w:t>1,30</w:t>
            </w:r>
          </w:p>
        </w:tc>
      </w:tr>
      <w:tr w14:paraId="6D8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vAlign w:val="center"/>
          </w:tcPr>
          <w:p w14:paraId="592169ED">
            <w:pPr>
              <w:spacing w:after="0" w:line="240" w:lineRule="auto"/>
              <w:ind w:firstLine="0"/>
              <w:jc w:val="left"/>
              <w:rPr>
                <w:rFonts w:ascii="Cambria" w:hAnsi="Cambria"/>
              </w:rPr>
            </w:pPr>
            <w:r>
              <w:rPr>
                <w:rFonts w:ascii="Cambria" w:hAnsi="Cambria"/>
                <w:color w:val="1C2839"/>
                <w:sz w:val="17"/>
              </w:rPr>
              <w:t>7 — абаттандыруға арналған бетон бұйымдары</w:t>
            </w:r>
          </w:p>
        </w:tc>
        <w:tc>
          <w:tcPr>
            <w:tcW w:w="1191" w:type="dxa"/>
            <w:vAlign w:val="center"/>
          </w:tcPr>
          <w:p w14:paraId="71E99BBC">
            <w:pPr>
              <w:spacing w:after="0" w:line="240" w:lineRule="auto"/>
              <w:ind w:firstLine="0"/>
              <w:jc w:val="center"/>
              <w:rPr>
                <w:rFonts w:ascii="Cambria" w:hAnsi="Cambria"/>
              </w:rPr>
            </w:pPr>
            <w:r>
              <w:rPr>
                <w:rFonts w:ascii="Cambria" w:hAnsi="Cambria"/>
                <w:color w:val="1C2839"/>
                <w:sz w:val="17"/>
              </w:rPr>
              <w:t>2,00</w:t>
            </w:r>
          </w:p>
        </w:tc>
        <w:tc>
          <w:tcPr>
            <w:tcW w:w="1644" w:type="dxa"/>
            <w:vAlign w:val="center"/>
          </w:tcPr>
          <w:p w14:paraId="2A08780E">
            <w:pPr>
              <w:spacing w:after="0" w:line="240" w:lineRule="auto"/>
              <w:ind w:firstLine="0"/>
              <w:jc w:val="center"/>
              <w:rPr>
                <w:rFonts w:ascii="Cambria" w:hAnsi="Cambria"/>
              </w:rPr>
            </w:pPr>
            <w:r>
              <w:rPr>
                <w:rFonts w:ascii="Cambria" w:hAnsi="Cambria"/>
                <w:color w:val="1C2839"/>
                <w:sz w:val="17"/>
              </w:rPr>
              <w:t>1,80</w:t>
            </w:r>
          </w:p>
        </w:tc>
        <w:tc>
          <w:tcPr>
            <w:tcW w:w="1870" w:type="dxa"/>
            <w:vAlign w:val="center"/>
          </w:tcPr>
          <w:p w14:paraId="21F27533">
            <w:pPr>
              <w:spacing w:after="0" w:line="240" w:lineRule="auto"/>
              <w:ind w:firstLine="0"/>
              <w:jc w:val="center"/>
              <w:rPr>
                <w:rFonts w:ascii="Cambria" w:hAnsi="Cambria"/>
              </w:rPr>
            </w:pPr>
            <w:r>
              <w:rPr>
                <w:rFonts w:ascii="Cambria" w:hAnsi="Cambria"/>
                <w:color w:val="1C2839"/>
                <w:sz w:val="17"/>
              </w:rPr>
              <w:t>0,20</w:t>
            </w:r>
          </w:p>
        </w:tc>
      </w:tr>
      <w:tr w14:paraId="2C4E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4309" w:type="dxa"/>
            <w:shd w:val="clear" w:color="auto" w:fill="DBE8F2"/>
            <w:vAlign w:val="center"/>
          </w:tcPr>
          <w:p w14:paraId="69E3A5A9">
            <w:pPr>
              <w:spacing w:after="0" w:line="240" w:lineRule="auto"/>
              <w:ind w:firstLine="0"/>
              <w:jc w:val="left"/>
              <w:rPr>
                <w:rFonts w:ascii="Cambria" w:hAnsi="Cambria"/>
              </w:rPr>
            </w:pPr>
            <w:r>
              <w:rPr>
                <w:rFonts w:ascii="Cambria" w:hAnsi="Cambria"/>
                <w:b/>
                <w:color w:val="1C2839"/>
                <w:sz w:val="17"/>
              </w:rPr>
              <w:t>Барлығы</w:t>
            </w:r>
          </w:p>
        </w:tc>
        <w:tc>
          <w:tcPr>
            <w:tcW w:w="1191" w:type="dxa"/>
            <w:shd w:val="clear" w:color="auto" w:fill="DBE8F2"/>
            <w:vAlign w:val="center"/>
          </w:tcPr>
          <w:p w14:paraId="5D573F80">
            <w:pPr>
              <w:spacing w:after="0" w:line="240" w:lineRule="auto"/>
              <w:ind w:firstLine="0"/>
              <w:jc w:val="center"/>
              <w:rPr>
                <w:rFonts w:ascii="Cambria" w:hAnsi="Cambria"/>
              </w:rPr>
            </w:pPr>
            <w:r>
              <w:rPr>
                <w:rFonts w:ascii="Cambria" w:hAnsi="Cambria"/>
                <w:b/>
                <w:color w:val="1C2839"/>
                <w:sz w:val="17"/>
              </w:rPr>
              <w:t>41,05</w:t>
            </w:r>
          </w:p>
        </w:tc>
        <w:tc>
          <w:tcPr>
            <w:tcW w:w="1644" w:type="dxa"/>
            <w:shd w:val="clear" w:color="auto" w:fill="DBE8F2"/>
            <w:vAlign w:val="center"/>
          </w:tcPr>
          <w:p w14:paraId="772BFC0C">
            <w:pPr>
              <w:spacing w:after="0" w:line="240" w:lineRule="auto"/>
              <w:ind w:firstLine="0"/>
              <w:jc w:val="center"/>
              <w:rPr>
                <w:rFonts w:ascii="Cambria" w:hAnsi="Cambria"/>
              </w:rPr>
            </w:pPr>
            <w:r>
              <w:rPr>
                <w:rFonts w:ascii="Cambria" w:hAnsi="Cambria"/>
                <w:b/>
                <w:color w:val="1C2839"/>
                <w:sz w:val="17"/>
              </w:rPr>
              <w:t>33,65</w:t>
            </w:r>
          </w:p>
        </w:tc>
        <w:tc>
          <w:tcPr>
            <w:tcW w:w="1870" w:type="dxa"/>
            <w:shd w:val="clear" w:color="auto" w:fill="DBE8F2"/>
            <w:vAlign w:val="center"/>
          </w:tcPr>
          <w:p w14:paraId="6D713D6F">
            <w:pPr>
              <w:spacing w:after="0" w:line="240" w:lineRule="auto"/>
              <w:ind w:firstLine="0"/>
              <w:jc w:val="center"/>
              <w:rPr>
                <w:rFonts w:ascii="Cambria" w:hAnsi="Cambria"/>
              </w:rPr>
            </w:pPr>
            <w:r>
              <w:rPr>
                <w:rFonts w:ascii="Cambria" w:hAnsi="Cambria"/>
                <w:b/>
                <w:color w:val="1C2839"/>
                <w:sz w:val="17"/>
              </w:rPr>
              <w:t>7,40</w:t>
            </w:r>
          </w:p>
        </w:tc>
      </w:tr>
    </w:tbl>
    <w:p w14:paraId="66168976">
      <w:pPr>
        <w:spacing w:line="240" w:lineRule="auto"/>
        <w:rPr>
          <w:rFonts w:ascii="Cambria" w:hAnsi="Cambria"/>
          <w:lang w:val="ru-RU"/>
        </w:rPr>
      </w:pPr>
      <w:r>
        <w:rPr>
          <w:rFonts w:ascii="Cambria" w:hAnsi="Cambria"/>
          <w:lang w:val="ru-RU"/>
        </w:rPr>
        <w:t>Түсім мен ағымдағы шығындар арасындағы жиынтық шартты айырма жылына шамамен 7,40 млрд теңгені немесе қуат толық жүктелгендегі түсімнің 18,0%-ын құрайды. Бұл көрсеткіш амортизацияға, қаржыландыру шығыстарына және пайда салығына дейінгі операциялық нәтиже болып табылады.</w:t>
      </w:r>
    </w:p>
    <w:p w14:paraId="09A456C7">
      <w:pPr>
        <w:spacing w:line="240" w:lineRule="auto"/>
        <w:rPr>
          <w:rFonts w:ascii="Cambria" w:hAnsi="Cambria"/>
          <w:lang w:val="ru-RU"/>
        </w:rPr>
      </w:pPr>
      <w:r>
        <w:rPr>
          <w:rFonts w:ascii="Cambria" w:hAnsi="Cambria"/>
          <w:lang w:val="ru-RU"/>
        </w:rPr>
        <w:t>ИА басқарушы компаниясы үшін алдын ала 8 қызметкерден тұратын штат және жылына шамамен 180 млн теңге пайдалану шығыны қабылданады. Оған әкімшілік персонал, ортақ объектілерді пайдалануды ұйымдастыру, күзет, техникалық сүйемелдеу және өзге қажетті шығындар кіреді.</w:t>
      </w:r>
    </w:p>
    <w:p w14:paraId="00A1BAC8">
      <w:pPr>
        <w:pStyle w:val="3"/>
        <w:spacing w:line="240" w:lineRule="auto"/>
        <w:rPr>
          <w:rFonts w:ascii="Cambria" w:hAnsi="Cambria"/>
          <w:lang w:val="ru-RU"/>
        </w:rPr>
      </w:pPr>
      <w:bookmarkStart w:id="22" w:name="__RefHeading___Toc9526_2617525462"/>
      <w:bookmarkEnd w:id="22"/>
      <w:r>
        <w:rPr>
          <w:rFonts w:ascii="Cambria" w:hAnsi="Cambria"/>
          <w:lang w:val="ru-RU"/>
        </w:rPr>
        <w:t>5.4. Индустриялық аймақтың өңірдің экономикалық дамуына ықпалы</w:t>
      </w:r>
    </w:p>
    <w:p w14:paraId="57873DC2">
      <w:pPr>
        <w:spacing w:line="240" w:lineRule="auto"/>
        <w:rPr>
          <w:rFonts w:ascii="Cambria" w:hAnsi="Cambria"/>
          <w:lang w:val="ru-RU"/>
        </w:rPr>
      </w:pPr>
      <w:r>
        <w:rPr>
          <w:rFonts w:ascii="Cambria" w:hAnsi="Cambria"/>
          <w:lang w:val="ru-RU"/>
        </w:rPr>
        <w:t>ИА қалыптастырудың негізгі экономикалық нәтижесі жаңа өңдеу өндірістері сегментін құрумен байланысты: бастапқы кезеңде цементті кейінгі өңдеу және дайын құрылыс өнімдерін шығару өндірістері, кейін бос алаңдарда өңдеу өнеркәсібінің басқа жобалары дамиды. Тек цемент зауытын салумен салыстырғанда, онымен сабақтас жеті кәсіпорынды дамыту шикізатты өңдеу тереңдігін арттыруға, өнеркәсіп өнімдерінің түрлерін әртараптандыруға және еңбек ресурстарына, өнеркәсіптік қызметтер мен көлікке қосымша сұраныс қалыптастыруға мүмкіндік береді.</w:t>
      </w:r>
    </w:p>
    <w:p w14:paraId="12850EE1">
      <w:pPr>
        <w:spacing w:line="240" w:lineRule="auto"/>
        <w:rPr>
          <w:rFonts w:ascii="Cambria" w:hAnsi="Cambria"/>
          <w:lang w:val="ru-RU"/>
        </w:rPr>
      </w:pPr>
      <w:r>
        <w:rPr>
          <w:rFonts w:ascii="Cambria" w:hAnsi="Cambria"/>
          <w:lang w:val="ru-RU"/>
        </w:rPr>
        <w:t>2026 жылғы қаңтар–тамызда Байғанин ауданының өнеркәсіптік өндірісі 147,8 млрд теңгені құрады, оның ішінде тау-кен өнеркәсібінде – 142,4 млрд теңге, өңдеу өнеркәсібінде – 4,1 млрд теңге.</w:t>
      </w:r>
    </w:p>
    <w:p w14:paraId="1A53A21B">
      <w:pPr>
        <w:spacing w:line="240" w:lineRule="auto"/>
        <w:ind w:firstLine="0"/>
        <w:jc w:val="center"/>
        <w:rPr>
          <w:rFonts w:ascii="Cambria" w:hAnsi="Cambria"/>
          <w:lang w:val="ru-RU"/>
        </w:rPr>
      </w:pPr>
      <w:r>
        <w:drawing>
          <wp:inline distT="0" distB="0" distL="114300" distR="114300">
            <wp:extent cx="5865495" cy="3310255"/>
            <wp:effectExtent l="0" t="0" r="1905" b="444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1"/>
                    <a:stretch>
                      <a:fillRect/>
                    </a:stretch>
                  </pic:blipFill>
                  <pic:spPr>
                    <a:xfrm>
                      <a:off x="0" y="0"/>
                      <a:ext cx="5865495" cy="3310255"/>
                    </a:xfrm>
                    <a:prstGeom prst="rect">
                      <a:avLst/>
                    </a:prstGeom>
                  </pic:spPr>
                </pic:pic>
              </a:graphicData>
            </a:graphic>
          </wp:inline>
        </w:drawing>
      </w:r>
    </w:p>
    <w:p w14:paraId="7A5910AB">
      <w:pPr>
        <w:spacing w:line="240" w:lineRule="auto"/>
        <w:rPr>
          <w:rFonts w:ascii="Cambria" w:hAnsi="Cambria"/>
          <w:lang w:val="ru-RU"/>
        </w:rPr>
      </w:pPr>
      <w:r>
        <w:rPr>
          <w:rFonts w:ascii="Cambria" w:hAnsi="Cambria"/>
          <w:lang w:val="ru-RU"/>
        </w:rPr>
        <w:t>Құрылым өндіруші сегменттің басым екенін және өңдеу салалары өнімінің салыстырмалы түрде шектеулі көлемін көрсетеді. Сондықтан құрылыс материалдары кәсіпорындарын орналастыру аудан экономикасын салалық әртараптандыру үшін маңызды. Алайда әлеуетті резиденттердің толық жылға арналған түсімін өнеркәсіп өнімінің ресми сегіз айлық көлемімен салыстыру үшін кезеңдер мен есептеу әдістемесін түзету қажет; тиісті есеп жасалмайынша, мұны өнеркәсіп көлемі бірнеше есе өседі деп мәлімдеуге пайдалануға болмайды.</w:t>
      </w:r>
    </w:p>
    <w:p w14:paraId="45E16994">
      <w:pPr>
        <w:spacing w:line="240" w:lineRule="auto"/>
        <w:rPr>
          <w:rFonts w:ascii="Cambria" w:hAnsi="Cambria"/>
          <w:lang w:val="ru-RU"/>
        </w:rPr>
      </w:pPr>
      <w:r>
        <w:rPr>
          <w:rFonts w:ascii="Cambria" w:hAnsi="Cambria"/>
          <w:lang w:val="ru-RU"/>
        </w:rPr>
        <w:t>Өндірістік қуаттар толық игерілген кезде жеті кәсіпорынның есептік жылдық түсімі 41,05 млрд теңге деп бағаланады. Талдау мақсатында бұл мән әлеуетті шаруашылық қызметінің ауқымын сипаттайды, бірақ оны жалпы қосылған құнмен немесе жалпы өңірлік өнім өсімімен тікелей теңестіруге болмайды. Түсімнің едәуір бөлігі цемент, толтырғыштар, арматура, энергия, көлік және басқа қызметтерді сатып алуға жұмсалады; олардың құны тиісті жеткізушілердің өнім шығаруы құрамында есепке алынуы мүмкін.</w:t>
      </w:r>
    </w:p>
    <w:p w14:paraId="739C3D89">
      <w:pPr>
        <w:spacing w:line="240" w:lineRule="auto"/>
        <w:rPr>
          <w:rFonts w:ascii="Cambria" w:hAnsi="Cambria"/>
          <w:lang w:val="ru-RU"/>
        </w:rPr>
      </w:pPr>
      <w:r>
        <w:rPr>
          <w:rFonts w:ascii="Cambria" w:hAnsi="Cambria"/>
          <w:lang w:val="ru-RU"/>
        </w:rPr>
        <w:t>Қабылданған жорамалдар бойынша персонал шығындарынан басқа барлық бағаланған ағымдағы шығындарды шегергендегі түсім жылына шамамен 11,0 млрд теңгені құрайды (41,05 – 21,30 – 2,56 – 3,91 – 2,28). Аталған мән көрсетілген шығын түрлері толық көлемде аралық тұтынуға жатады деген оңайлатылған жорамалмен жалпы қосылған құнның бағдарлық көрсеткіші ретінде пайдаланылуы мүмкін. Нақты жалпы қосылған құн аралық тұтыну, амортизация және есепке алудың өзге элементтері бөлініп, белгіленген статистикалық әдістеме бойынша айқындалады және осы бағдарлық мәннен өзгеше болуы мүмкін.</w:t>
      </w:r>
    </w:p>
    <w:p w14:paraId="4BF1AAC1">
      <w:pPr>
        <w:spacing w:line="240" w:lineRule="auto"/>
        <w:rPr>
          <w:rFonts w:ascii="Cambria" w:hAnsi="Cambria"/>
          <w:lang w:val="ru-RU"/>
        </w:rPr>
      </w:pPr>
      <w:r>
        <w:rPr>
          <w:rFonts w:ascii="Cambria" w:hAnsi="Cambria"/>
          <w:lang w:val="ru-RU"/>
        </w:rPr>
        <w:t>Әлеуетті экономикалық әсерді іске асырудың маңызды шарты – өнімге сұранысты растау. Алаң ірі қалалардан шалғай болғандықтан, ең ауыр бұйымдар бойынша ұзақ мерзімді шарттарға негізделген сериялы жеткізілімдер мен теміржол арқылы жөнелту қажет. Құрғақ қоспалар мен фиброцемент панельдерінің масса бірлігіне шаққандағы құны жоғары болуы мүмкін, алайда оларды өткізу жүйесін дамытып, қаптама мен көлік шығындарын ескергендегі бәсекеге қабілеттілігін растау керек. Сондықтан толық қуат кезіндегі түсім кепілдендірілген көрсеткіш емес, нысаналы сценарий ретінде қарастырылады.</w:t>
      </w:r>
    </w:p>
    <w:p w14:paraId="11307CDE">
      <w:pPr>
        <w:pStyle w:val="75"/>
        <w:keepNext/>
        <w:spacing w:line="240" w:lineRule="auto"/>
        <w:rPr>
          <w:rFonts w:ascii="Cambria" w:hAnsi="Cambria"/>
          <w:lang w:val="ru-RU"/>
        </w:rPr>
      </w:pPr>
      <w:r>
        <w:rPr>
          <w:rFonts w:ascii="Cambria" w:hAnsi="Cambria"/>
          <w:lang w:val="ru-RU"/>
        </w:rPr>
        <w:t>5.5-кесте – Кәсіпорындардың жүктеме деңгейіне қарай жиынтық көрсеткіштердің өзгеруі</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2585"/>
        <w:gridCol w:w="1625"/>
        <w:gridCol w:w="2327"/>
        <w:gridCol w:w="2952"/>
      </w:tblGrid>
      <w:tr w14:paraId="6BDA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1362" w:type="pct"/>
            <w:shd w:val="clear" w:color="auto" w:fill="23486F"/>
            <w:vAlign w:val="center"/>
          </w:tcPr>
          <w:p w14:paraId="0C330075">
            <w:pPr>
              <w:spacing w:after="0" w:line="240" w:lineRule="auto"/>
              <w:ind w:firstLine="0"/>
              <w:jc w:val="center"/>
              <w:rPr>
                <w:rFonts w:ascii="Cambria" w:hAnsi="Cambria"/>
              </w:rPr>
            </w:pPr>
            <w:r>
              <w:rPr>
                <w:rFonts w:ascii="Cambria" w:hAnsi="Cambria"/>
                <w:b/>
                <w:color w:val="FFFFFF"/>
                <w:sz w:val="17"/>
              </w:rPr>
              <w:t>Қуат жүктемесі</w:t>
            </w:r>
          </w:p>
        </w:tc>
        <w:tc>
          <w:tcPr>
            <w:tcW w:w="856" w:type="pct"/>
            <w:shd w:val="clear" w:color="auto" w:fill="23486F"/>
            <w:vAlign w:val="center"/>
          </w:tcPr>
          <w:p w14:paraId="13F8C5A6">
            <w:pPr>
              <w:spacing w:after="0" w:line="240" w:lineRule="auto"/>
              <w:ind w:firstLine="0"/>
              <w:jc w:val="center"/>
              <w:rPr>
                <w:rFonts w:ascii="Cambria" w:hAnsi="Cambria"/>
                <w:b/>
                <w:color w:val="FFFFFF"/>
                <w:sz w:val="17"/>
              </w:rPr>
            </w:pPr>
            <w:r>
              <w:rPr>
                <w:rFonts w:ascii="Cambria" w:hAnsi="Cambria"/>
                <w:b/>
                <w:color w:val="FFFFFF"/>
                <w:sz w:val="17"/>
              </w:rPr>
              <w:t>Түсім,</w:t>
            </w:r>
          </w:p>
          <w:p w14:paraId="1BA537A3">
            <w:pPr>
              <w:spacing w:after="0" w:line="240" w:lineRule="auto"/>
              <w:ind w:firstLine="0"/>
              <w:jc w:val="center"/>
              <w:rPr>
                <w:rFonts w:ascii="Cambria" w:hAnsi="Cambria"/>
              </w:rPr>
            </w:pPr>
            <w:r>
              <w:rPr>
                <w:rFonts w:ascii="Cambria" w:hAnsi="Cambria"/>
                <w:b/>
                <w:color w:val="FFFFFF"/>
                <w:sz w:val="17"/>
              </w:rPr>
              <w:t>млрд тг/жыл</w:t>
            </w:r>
          </w:p>
        </w:tc>
        <w:tc>
          <w:tcPr>
            <w:tcW w:w="1226" w:type="pct"/>
            <w:shd w:val="clear" w:color="auto" w:fill="23486F"/>
            <w:vAlign w:val="center"/>
          </w:tcPr>
          <w:p w14:paraId="60104B30">
            <w:pPr>
              <w:spacing w:after="0" w:line="240" w:lineRule="auto"/>
              <w:ind w:firstLine="0"/>
              <w:jc w:val="center"/>
              <w:rPr>
                <w:rFonts w:ascii="Cambria" w:hAnsi="Cambria"/>
                <w:b/>
                <w:color w:val="FFFFFF"/>
                <w:sz w:val="17"/>
                <w:lang w:val="ru-RU"/>
              </w:rPr>
            </w:pPr>
            <w:r>
              <w:rPr>
                <w:rFonts w:ascii="Cambria" w:hAnsi="Cambria"/>
                <w:b/>
                <w:color w:val="FFFFFF"/>
                <w:sz w:val="17"/>
                <w:lang w:val="ru-RU"/>
              </w:rPr>
              <w:t>Ағымдағы шығындар,</w:t>
            </w:r>
          </w:p>
          <w:p w14:paraId="2C54255C">
            <w:pPr>
              <w:spacing w:after="0" w:line="240" w:lineRule="auto"/>
              <w:ind w:firstLine="0"/>
              <w:jc w:val="center"/>
              <w:rPr>
                <w:rFonts w:ascii="Cambria" w:hAnsi="Cambria"/>
                <w:lang w:val="ru-RU"/>
              </w:rPr>
            </w:pPr>
            <w:r>
              <w:rPr>
                <w:rFonts w:ascii="Cambria" w:hAnsi="Cambria"/>
                <w:b/>
                <w:color w:val="FFFFFF"/>
                <w:sz w:val="17"/>
                <w:lang w:val="ru-RU"/>
              </w:rPr>
              <w:t>млрд тг/жыл</w:t>
            </w:r>
          </w:p>
        </w:tc>
        <w:tc>
          <w:tcPr>
            <w:tcW w:w="1555" w:type="pct"/>
            <w:shd w:val="clear" w:color="auto" w:fill="23486F"/>
            <w:vAlign w:val="center"/>
          </w:tcPr>
          <w:p w14:paraId="54AF9184">
            <w:pPr>
              <w:spacing w:after="0" w:line="240" w:lineRule="auto"/>
              <w:ind w:firstLine="0"/>
              <w:jc w:val="center"/>
              <w:rPr>
                <w:rFonts w:ascii="Cambria" w:hAnsi="Cambria"/>
                <w:b/>
                <w:color w:val="FFFFFF"/>
                <w:sz w:val="17"/>
                <w:lang w:val="ru-RU"/>
              </w:rPr>
            </w:pPr>
            <w:r>
              <w:rPr>
                <w:rFonts w:ascii="Cambria" w:hAnsi="Cambria"/>
                <w:b/>
                <w:color w:val="FFFFFF"/>
                <w:sz w:val="17"/>
                <w:lang w:val="ru-RU"/>
              </w:rPr>
              <w:t>Операциялық айырма,</w:t>
            </w:r>
          </w:p>
          <w:p w14:paraId="3329F64A">
            <w:pPr>
              <w:spacing w:after="0" w:line="240" w:lineRule="auto"/>
              <w:ind w:firstLine="0"/>
              <w:jc w:val="center"/>
              <w:rPr>
                <w:rFonts w:ascii="Cambria" w:hAnsi="Cambria"/>
                <w:lang w:val="ru-RU"/>
              </w:rPr>
            </w:pPr>
            <w:r>
              <w:rPr>
                <w:rFonts w:ascii="Cambria" w:hAnsi="Cambria"/>
                <w:b/>
                <w:color w:val="FFFFFF"/>
                <w:sz w:val="17"/>
                <w:lang w:val="ru-RU"/>
              </w:rPr>
              <w:t>млрд тг/жыл</w:t>
            </w:r>
          </w:p>
        </w:tc>
      </w:tr>
      <w:tr w14:paraId="7914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362" w:type="pct"/>
            <w:vAlign w:val="center"/>
          </w:tcPr>
          <w:p w14:paraId="31CB7837">
            <w:pPr>
              <w:spacing w:after="0" w:line="240" w:lineRule="auto"/>
              <w:ind w:firstLine="0"/>
              <w:jc w:val="center"/>
              <w:rPr>
                <w:rFonts w:ascii="Cambria" w:hAnsi="Cambria"/>
              </w:rPr>
            </w:pPr>
            <w:r>
              <w:rPr>
                <w:rFonts w:ascii="Cambria" w:hAnsi="Cambria"/>
                <w:color w:val="1C2839"/>
                <w:sz w:val="17"/>
              </w:rPr>
              <w:t>70%</w:t>
            </w:r>
          </w:p>
        </w:tc>
        <w:tc>
          <w:tcPr>
            <w:tcW w:w="856" w:type="pct"/>
            <w:vAlign w:val="center"/>
          </w:tcPr>
          <w:p w14:paraId="65CFA7E0">
            <w:pPr>
              <w:spacing w:after="0" w:line="240" w:lineRule="auto"/>
              <w:ind w:firstLine="0"/>
              <w:jc w:val="center"/>
              <w:rPr>
                <w:rFonts w:ascii="Cambria" w:hAnsi="Cambria"/>
              </w:rPr>
            </w:pPr>
            <w:r>
              <w:rPr>
                <w:rFonts w:ascii="Cambria" w:hAnsi="Cambria"/>
                <w:color w:val="1C2839"/>
                <w:sz w:val="17"/>
              </w:rPr>
              <w:t>28,73</w:t>
            </w:r>
          </w:p>
        </w:tc>
        <w:tc>
          <w:tcPr>
            <w:tcW w:w="1226" w:type="pct"/>
            <w:vAlign w:val="center"/>
          </w:tcPr>
          <w:p w14:paraId="6A682AAB">
            <w:pPr>
              <w:spacing w:after="0" w:line="240" w:lineRule="auto"/>
              <w:ind w:firstLine="0"/>
              <w:jc w:val="center"/>
              <w:rPr>
                <w:rFonts w:ascii="Cambria" w:hAnsi="Cambria"/>
              </w:rPr>
            </w:pPr>
            <w:r>
              <w:rPr>
                <w:rFonts w:ascii="Cambria" w:hAnsi="Cambria"/>
                <w:color w:val="1C2839"/>
                <w:sz w:val="17"/>
              </w:rPr>
              <w:t>25,32</w:t>
            </w:r>
          </w:p>
        </w:tc>
        <w:tc>
          <w:tcPr>
            <w:tcW w:w="1555" w:type="pct"/>
            <w:vAlign w:val="center"/>
          </w:tcPr>
          <w:p w14:paraId="3939CA59">
            <w:pPr>
              <w:spacing w:after="0" w:line="240" w:lineRule="auto"/>
              <w:ind w:firstLine="0"/>
              <w:jc w:val="center"/>
              <w:rPr>
                <w:rFonts w:ascii="Cambria" w:hAnsi="Cambria"/>
              </w:rPr>
            </w:pPr>
            <w:r>
              <w:rPr>
                <w:rFonts w:ascii="Cambria" w:hAnsi="Cambria"/>
                <w:color w:val="1C2839"/>
                <w:sz w:val="17"/>
              </w:rPr>
              <w:t>3,42</w:t>
            </w:r>
          </w:p>
        </w:tc>
      </w:tr>
      <w:tr w14:paraId="2CD8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362" w:type="pct"/>
            <w:shd w:val="clear" w:color="auto" w:fill="F0F5F9"/>
            <w:vAlign w:val="center"/>
          </w:tcPr>
          <w:p w14:paraId="23472A08">
            <w:pPr>
              <w:spacing w:after="0" w:line="240" w:lineRule="auto"/>
              <w:ind w:firstLine="0"/>
              <w:jc w:val="center"/>
              <w:rPr>
                <w:rFonts w:ascii="Cambria" w:hAnsi="Cambria"/>
              </w:rPr>
            </w:pPr>
            <w:r>
              <w:rPr>
                <w:rFonts w:ascii="Cambria" w:hAnsi="Cambria"/>
                <w:color w:val="1C2839"/>
                <w:sz w:val="17"/>
              </w:rPr>
              <w:t>85%</w:t>
            </w:r>
          </w:p>
        </w:tc>
        <w:tc>
          <w:tcPr>
            <w:tcW w:w="856" w:type="pct"/>
            <w:shd w:val="clear" w:color="auto" w:fill="F0F5F9"/>
            <w:vAlign w:val="center"/>
          </w:tcPr>
          <w:p w14:paraId="7C243E68">
            <w:pPr>
              <w:spacing w:after="0" w:line="240" w:lineRule="auto"/>
              <w:ind w:firstLine="0"/>
              <w:jc w:val="center"/>
              <w:rPr>
                <w:rFonts w:ascii="Cambria" w:hAnsi="Cambria"/>
              </w:rPr>
            </w:pPr>
            <w:r>
              <w:rPr>
                <w:rFonts w:ascii="Cambria" w:hAnsi="Cambria"/>
                <w:color w:val="1C2839"/>
                <w:sz w:val="17"/>
              </w:rPr>
              <w:t>34,89</w:t>
            </w:r>
          </w:p>
        </w:tc>
        <w:tc>
          <w:tcPr>
            <w:tcW w:w="1226" w:type="pct"/>
            <w:shd w:val="clear" w:color="auto" w:fill="F0F5F9"/>
            <w:vAlign w:val="center"/>
          </w:tcPr>
          <w:p w14:paraId="157B2341">
            <w:pPr>
              <w:spacing w:after="0" w:line="240" w:lineRule="auto"/>
              <w:ind w:firstLine="0"/>
              <w:jc w:val="center"/>
              <w:rPr>
                <w:rFonts w:ascii="Cambria" w:hAnsi="Cambria"/>
              </w:rPr>
            </w:pPr>
            <w:r>
              <w:rPr>
                <w:rFonts w:ascii="Cambria" w:hAnsi="Cambria"/>
                <w:color w:val="1C2839"/>
                <w:sz w:val="17"/>
              </w:rPr>
              <w:t>29,48</w:t>
            </w:r>
          </w:p>
        </w:tc>
        <w:tc>
          <w:tcPr>
            <w:tcW w:w="1555" w:type="pct"/>
            <w:shd w:val="clear" w:color="auto" w:fill="F0F5F9"/>
            <w:vAlign w:val="center"/>
          </w:tcPr>
          <w:p w14:paraId="300437AD">
            <w:pPr>
              <w:spacing w:after="0" w:line="240" w:lineRule="auto"/>
              <w:ind w:firstLine="0"/>
              <w:jc w:val="center"/>
              <w:rPr>
                <w:rFonts w:ascii="Cambria" w:hAnsi="Cambria"/>
              </w:rPr>
            </w:pPr>
            <w:r>
              <w:rPr>
                <w:rFonts w:ascii="Cambria" w:hAnsi="Cambria"/>
                <w:color w:val="1C2839"/>
                <w:sz w:val="17"/>
              </w:rPr>
              <w:t>5,41</w:t>
            </w:r>
          </w:p>
        </w:tc>
      </w:tr>
      <w:tr w14:paraId="659C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362" w:type="pct"/>
            <w:vAlign w:val="center"/>
          </w:tcPr>
          <w:p w14:paraId="10100B32">
            <w:pPr>
              <w:spacing w:after="0" w:line="240" w:lineRule="auto"/>
              <w:ind w:firstLine="0"/>
              <w:jc w:val="center"/>
              <w:rPr>
                <w:rFonts w:ascii="Cambria" w:hAnsi="Cambria"/>
              </w:rPr>
            </w:pPr>
            <w:r>
              <w:rPr>
                <w:rFonts w:ascii="Cambria" w:hAnsi="Cambria"/>
                <w:color w:val="1C2839"/>
                <w:sz w:val="17"/>
              </w:rPr>
              <w:t>100%</w:t>
            </w:r>
          </w:p>
        </w:tc>
        <w:tc>
          <w:tcPr>
            <w:tcW w:w="856" w:type="pct"/>
            <w:vAlign w:val="center"/>
          </w:tcPr>
          <w:p w14:paraId="528A2639">
            <w:pPr>
              <w:spacing w:after="0" w:line="240" w:lineRule="auto"/>
              <w:ind w:firstLine="0"/>
              <w:jc w:val="center"/>
              <w:rPr>
                <w:rFonts w:ascii="Cambria" w:hAnsi="Cambria"/>
              </w:rPr>
            </w:pPr>
            <w:r>
              <w:rPr>
                <w:rFonts w:ascii="Cambria" w:hAnsi="Cambria"/>
                <w:color w:val="1C2839"/>
                <w:sz w:val="17"/>
              </w:rPr>
              <w:t>41,05</w:t>
            </w:r>
          </w:p>
        </w:tc>
        <w:tc>
          <w:tcPr>
            <w:tcW w:w="1226" w:type="pct"/>
            <w:vAlign w:val="center"/>
          </w:tcPr>
          <w:p w14:paraId="18E9473B">
            <w:pPr>
              <w:spacing w:after="0" w:line="240" w:lineRule="auto"/>
              <w:ind w:firstLine="0"/>
              <w:jc w:val="center"/>
              <w:rPr>
                <w:rFonts w:ascii="Cambria" w:hAnsi="Cambria"/>
              </w:rPr>
            </w:pPr>
            <w:r>
              <w:rPr>
                <w:rFonts w:ascii="Cambria" w:hAnsi="Cambria"/>
                <w:color w:val="1C2839"/>
                <w:sz w:val="17"/>
              </w:rPr>
              <w:t>33,65</w:t>
            </w:r>
          </w:p>
        </w:tc>
        <w:tc>
          <w:tcPr>
            <w:tcW w:w="1555" w:type="pct"/>
            <w:vAlign w:val="center"/>
          </w:tcPr>
          <w:p w14:paraId="485E52D6">
            <w:pPr>
              <w:spacing w:after="0" w:line="240" w:lineRule="auto"/>
              <w:ind w:firstLine="0"/>
              <w:jc w:val="center"/>
              <w:rPr>
                <w:rFonts w:ascii="Cambria" w:hAnsi="Cambria"/>
              </w:rPr>
            </w:pPr>
            <w:r>
              <w:rPr>
                <w:rFonts w:ascii="Cambria" w:hAnsi="Cambria"/>
                <w:color w:val="1C2839"/>
                <w:sz w:val="17"/>
              </w:rPr>
              <w:t>7,40</w:t>
            </w:r>
          </w:p>
        </w:tc>
      </w:tr>
    </w:tbl>
    <w:p w14:paraId="49E3104C">
      <w:pPr>
        <w:pStyle w:val="75"/>
        <w:spacing w:line="240" w:lineRule="auto"/>
        <w:rPr>
          <w:rFonts w:ascii="Cambria" w:hAnsi="Cambria"/>
          <w:lang w:val="ru-RU"/>
        </w:rPr>
      </w:pPr>
      <w:r>
        <w:rPr>
          <w:rFonts w:ascii="Cambria" w:hAnsi="Cambria"/>
          <w:lang w:val="ru-RU"/>
        </w:rPr>
        <w:t>Әдістеме: шикізат, энергия ресурстары мен логистика шығындары өнім көлеміне пропорционалды өзгереді; еңбекақы төлеу қоры мен өзге шығындар шартты түрде қуат толық жүктелген деңгейде сақталады. Модель көрсеткіштердің өзгергіштігін көрсетеді, бірақ әр резиденттің тұрақты және айнымалы шығындарының нақты құрылымын бейнелемейді.</w:t>
      </w:r>
    </w:p>
    <w:p w14:paraId="3A371A8B">
      <w:pPr>
        <w:spacing w:line="240" w:lineRule="auto"/>
        <w:rPr>
          <w:rFonts w:ascii="Cambria" w:hAnsi="Cambria"/>
          <w:lang w:val="ru-RU"/>
        </w:rPr>
      </w:pPr>
      <w:r>
        <w:rPr>
          <w:rFonts w:ascii="Cambria" w:hAnsi="Cambria"/>
          <w:lang w:val="ru-RU"/>
        </w:rPr>
        <w:t>Сценарийлік талдау нәтижелері қуаттардың әртүрлі жүктеме деңгейінде көзделген өндірістік модельдің экономикалық орнықтылығын растайды. Жобалық жүктеме 70%-ға жеткенде жеті кәсіпорынның жиынтық жылдық түсімі 28,73 млрд теңге, операциялық шығындары 25,32 млрд теңге, ал амортизацияға, пайыздарға және салық салуға дейінгі оң операциялық нәтижесі 3,42 млрд теңге деп бағаланады. Жүктеме 85% болғанда бұл нәтиже 5,41 млрд теңгеге дейін, ал толық жүктеме кезінде операциялық рентабельділік шамамен 18% болып, 7,40 млрд теңгеге дейін өседі.</w:t>
      </w:r>
    </w:p>
    <w:p w14:paraId="6F0226ED">
      <w:pPr>
        <w:spacing w:line="240" w:lineRule="auto"/>
        <w:rPr>
          <w:rFonts w:ascii="Cambria" w:hAnsi="Cambria"/>
          <w:lang w:val="ru-RU"/>
        </w:rPr>
      </w:pPr>
      <w:r>
        <w:rPr>
          <w:rFonts w:ascii="Cambria" w:hAnsi="Cambria"/>
          <w:lang w:val="ru-RU"/>
        </w:rPr>
        <w:t>Бұдан бөлек, Индустриялық аймақ резиденттерінің қызметінен түсетін тікелей бюджеттік әсерге алдын ала баға берілді. Корпоративтік табыс салығының 20%, жеке табыс салығының 10% және әлеуметтік салықтың 6% базалық мөлшерлемелері, сондай-ақ еңбекақы төлеу қоры мен амортизациялық аударымдар жөніндегі қабылданған сценарийлік жорамалдар негізінде өндірістік жеті кәсіпорынның толық жүктеме кезіндегі ықтимал жылдық салық түсімдері 1,54 млрд теңге деп бағаланады. Өндірістік қуаттардың жүктемесі 85% болғанда есептік мән 1,15 млрд теңгені, ал 70% болғанда шамамен 0,75 млрд теңгені құрайды.</w:t>
      </w:r>
    </w:p>
    <w:p w14:paraId="25D63357">
      <w:pPr>
        <w:spacing w:line="240" w:lineRule="auto"/>
        <w:ind w:firstLine="0"/>
        <w:jc w:val="both"/>
        <w:rPr>
          <w:rFonts w:ascii="Cambria" w:hAnsi="Cambria"/>
          <w:lang w:val="ru-RU"/>
        </w:rPr>
      </w:pPr>
      <w:r>
        <w:drawing>
          <wp:inline distT="0" distB="0" distL="114300" distR="114300">
            <wp:extent cx="5659755" cy="3178175"/>
            <wp:effectExtent l="0" t="0" r="17145" b="317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2"/>
                    <a:stretch>
                      <a:fillRect/>
                    </a:stretch>
                  </pic:blipFill>
                  <pic:spPr>
                    <a:xfrm>
                      <a:off x="0" y="0"/>
                      <a:ext cx="5659755" cy="3178175"/>
                    </a:xfrm>
                    <a:prstGeom prst="rect">
                      <a:avLst/>
                    </a:prstGeom>
                  </pic:spPr>
                </pic:pic>
              </a:graphicData>
            </a:graphic>
          </wp:inline>
        </w:drawing>
      </w:r>
    </w:p>
    <w:p w14:paraId="409C4989">
      <w:pPr>
        <w:spacing w:line="240" w:lineRule="auto"/>
        <w:rPr>
          <w:rFonts w:ascii="Cambria" w:hAnsi="Cambria"/>
          <w:lang w:val="ru-RU"/>
        </w:rPr>
      </w:pPr>
      <w:r>
        <w:rPr>
          <w:rFonts w:ascii="Cambria" w:hAnsi="Cambria"/>
          <w:lang w:val="ru-RU"/>
        </w:rPr>
        <w:t>Қарастырылып отырған сценарийде тікелей салық түсімдерінің ең үлкен үлесі корпоративтік табыс салығынан қалыптасады; толық жүктеме кезінде оның мөлшері жылына 1,09 млрд теңгеге жетеді. Персоналдың есептік саны мен еңбекақы төлеу қоры сақталған жағдайда жеке табыс салығы мен әлеуметтік салықтан түсетін қосымша түсімдер жиынтығында жылына 0,45 млрд теңге деп бағаланады.</w:t>
      </w:r>
    </w:p>
    <w:p w14:paraId="0CDCA593">
      <w:pPr>
        <w:pStyle w:val="75"/>
        <w:keepNext/>
        <w:spacing w:line="240" w:lineRule="auto"/>
        <w:rPr>
          <w:rFonts w:ascii="Cambria" w:hAnsi="Cambria"/>
          <w:lang w:val="ru-RU"/>
        </w:rPr>
      </w:pPr>
      <w:r>
        <w:rPr>
          <w:rFonts w:ascii="Cambria" w:hAnsi="Cambria"/>
          <w:lang w:val="ru-RU"/>
        </w:rPr>
        <w:t>5.6-кесте – Жүктеме сценарийлері бойынша тікелей салық түсімдерінің болжамы</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6109"/>
        <w:gridCol w:w="1093"/>
        <w:gridCol w:w="1093"/>
        <w:gridCol w:w="1194"/>
      </w:tblGrid>
      <w:tr w14:paraId="63AD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3219" w:type="pct"/>
            <w:shd w:val="clear" w:color="auto" w:fill="23486F"/>
            <w:vAlign w:val="center"/>
          </w:tcPr>
          <w:p w14:paraId="62041A48">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Көрсеткіш, млрд тг/жыл</w:t>
            </w:r>
          </w:p>
        </w:tc>
        <w:tc>
          <w:tcPr>
            <w:tcW w:w="576" w:type="pct"/>
            <w:shd w:val="clear" w:color="auto" w:fill="23486F"/>
            <w:vAlign w:val="center"/>
          </w:tcPr>
          <w:p w14:paraId="579966FB">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70%</w:t>
            </w:r>
          </w:p>
        </w:tc>
        <w:tc>
          <w:tcPr>
            <w:tcW w:w="576" w:type="pct"/>
            <w:shd w:val="clear" w:color="auto" w:fill="23486F"/>
            <w:vAlign w:val="center"/>
          </w:tcPr>
          <w:p w14:paraId="1C1C853C">
            <w:pPr>
              <w:spacing w:after="0" w:line="240" w:lineRule="auto"/>
              <w:ind w:firstLine="0"/>
              <w:jc w:val="center"/>
              <w:rPr>
                <w:rFonts w:asciiTheme="minorHAnsi" w:hAnsiTheme="minorHAnsi"/>
                <w:color w:val="FFFFFF" w:themeColor="background1"/>
                <w:sz w:val="17"/>
                <w:szCs w:val="17"/>
                <w:lang w:val="ru-RU"/>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85%</w:t>
            </w:r>
          </w:p>
        </w:tc>
        <w:tc>
          <w:tcPr>
            <w:tcW w:w="629" w:type="pct"/>
            <w:shd w:val="clear" w:color="auto" w:fill="23486F"/>
            <w:vAlign w:val="center"/>
          </w:tcPr>
          <w:p w14:paraId="05B74A66">
            <w:pPr>
              <w:spacing w:after="0" w:line="240" w:lineRule="auto"/>
              <w:ind w:firstLine="0"/>
              <w:jc w:val="center"/>
              <w:rPr>
                <w:rFonts w:asciiTheme="minorHAnsi" w:hAnsiTheme="minorHAnsi"/>
                <w:color w:val="FFFFFF" w:themeColor="background1"/>
                <w:sz w:val="17"/>
                <w:szCs w:val="17"/>
                <w:lang w:val="ru-RU"/>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100%</w:t>
            </w:r>
          </w:p>
        </w:tc>
      </w:tr>
      <w:tr w14:paraId="29F7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vAlign w:val="center"/>
          </w:tcPr>
          <w:p w14:paraId="209AD4F1">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Операциялық нәтиже</w:t>
            </w:r>
          </w:p>
        </w:tc>
        <w:tc>
          <w:tcPr>
            <w:tcW w:w="576" w:type="pct"/>
            <w:vAlign w:val="center"/>
          </w:tcPr>
          <w:p w14:paraId="6EE7EA27">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3,42</w:t>
            </w:r>
          </w:p>
        </w:tc>
        <w:tc>
          <w:tcPr>
            <w:tcW w:w="576" w:type="pct"/>
            <w:vAlign w:val="center"/>
          </w:tcPr>
          <w:p w14:paraId="520EDABE">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5,41</w:t>
            </w:r>
          </w:p>
        </w:tc>
        <w:tc>
          <w:tcPr>
            <w:tcW w:w="629" w:type="pct"/>
            <w:vAlign w:val="center"/>
          </w:tcPr>
          <w:p w14:paraId="1EEA9F8A">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7,40</w:t>
            </w:r>
          </w:p>
        </w:tc>
      </w:tr>
      <w:tr w14:paraId="0859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shd w:val="clear" w:color="auto" w:fill="F0F5F9"/>
            <w:vAlign w:val="center"/>
          </w:tcPr>
          <w:p w14:paraId="0BDC4879">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Шартты амортизация</w:t>
            </w:r>
          </w:p>
        </w:tc>
        <w:tc>
          <w:tcPr>
            <w:tcW w:w="576" w:type="pct"/>
            <w:shd w:val="clear" w:color="auto" w:fill="F0F5F9"/>
            <w:vAlign w:val="center"/>
          </w:tcPr>
          <w:p w14:paraId="1CD5041B">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1,94</w:t>
            </w:r>
          </w:p>
        </w:tc>
        <w:tc>
          <w:tcPr>
            <w:tcW w:w="576" w:type="pct"/>
            <w:shd w:val="clear" w:color="auto" w:fill="F0F5F9"/>
            <w:vAlign w:val="center"/>
          </w:tcPr>
          <w:p w14:paraId="330B317D">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1,94</w:t>
            </w:r>
          </w:p>
        </w:tc>
        <w:tc>
          <w:tcPr>
            <w:tcW w:w="629" w:type="pct"/>
            <w:shd w:val="clear" w:color="auto" w:fill="F0F5F9"/>
            <w:vAlign w:val="center"/>
          </w:tcPr>
          <w:p w14:paraId="4F764C4B">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1,94</w:t>
            </w:r>
          </w:p>
        </w:tc>
      </w:tr>
      <w:tr w14:paraId="38FD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vAlign w:val="center"/>
          </w:tcPr>
          <w:p w14:paraId="7779BF28">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Салық салынғанға дейінгі есептік пайда</w:t>
            </w:r>
          </w:p>
        </w:tc>
        <w:tc>
          <w:tcPr>
            <w:tcW w:w="576" w:type="pct"/>
            <w:vAlign w:val="center"/>
          </w:tcPr>
          <w:p w14:paraId="14A75B71">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1,49</w:t>
            </w:r>
          </w:p>
        </w:tc>
        <w:tc>
          <w:tcPr>
            <w:tcW w:w="576" w:type="pct"/>
            <w:vAlign w:val="center"/>
          </w:tcPr>
          <w:p w14:paraId="736BC5E7">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3,48</w:t>
            </w:r>
          </w:p>
        </w:tc>
        <w:tc>
          <w:tcPr>
            <w:tcW w:w="629" w:type="pct"/>
            <w:vAlign w:val="center"/>
          </w:tcPr>
          <w:p w14:paraId="0894368B">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5,47</w:t>
            </w:r>
          </w:p>
        </w:tc>
      </w:tr>
      <w:tr w14:paraId="2DCC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shd w:val="clear" w:color="auto" w:fill="F0F5F9"/>
            <w:vAlign w:val="center"/>
          </w:tcPr>
          <w:p w14:paraId="72D0AF41">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КТС (20%)</w:t>
            </w:r>
          </w:p>
        </w:tc>
        <w:tc>
          <w:tcPr>
            <w:tcW w:w="576" w:type="pct"/>
            <w:shd w:val="clear" w:color="auto" w:fill="F0F5F9"/>
            <w:vAlign w:val="center"/>
          </w:tcPr>
          <w:p w14:paraId="4AE0328B">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0,297</w:t>
            </w:r>
          </w:p>
        </w:tc>
        <w:tc>
          <w:tcPr>
            <w:tcW w:w="576" w:type="pct"/>
            <w:shd w:val="clear" w:color="auto" w:fill="F0F5F9"/>
            <w:vAlign w:val="center"/>
          </w:tcPr>
          <w:p w14:paraId="15FFE7EC">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0,695</w:t>
            </w:r>
          </w:p>
        </w:tc>
        <w:tc>
          <w:tcPr>
            <w:tcW w:w="629" w:type="pct"/>
            <w:shd w:val="clear" w:color="auto" w:fill="F0F5F9"/>
            <w:vAlign w:val="center"/>
          </w:tcPr>
          <w:p w14:paraId="15711204">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1,093</w:t>
            </w:r>
          </w:p>
        </w:tc>
      </w:tr>
      <w:tr w14:paraId="229C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vAlign w:val="center"/>
          </w:tcPr>
          <w:p w14:paraId="5D69FDFE">
            <w:pPr>
              <w:spacing w:after="0" w:line="240" w:lineRule="auto"/>
              <w:ind w:firstLine="0"/>
              <w:jc w:val="left"/>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ЖТС (шартты есеп)</w:t>
            </w:r>
          </w:p>
        </w:tc>
        <w:tc>
          <w:tcPr>
            <w:tcW w:w="576" w:type="pct"/>
            <w:vAlign w:val="center"/>
          </w:tcPr>
          <w:p w14:paraId="4641EE16">
            <w:pPr>
              <w:spacing w:after="0" w:line="240" w:lineRule="auto"/>
              <w:ind w:firstLine="0"/>
              <w:jc w:val="center"/>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0,270</w:t>
            </w:r>
          </w:p>
        </w:tc>
        <w:tc>
          <w:tcPr>
            <w:tcW w:w="576" w:type="pct"/>
            <w:vAlign w:val="center"/>
          </w:tcPr>
          <w:p w14:paraId="6A57A2A6">
            <w:pPr>
              <w:spacing w:after="0" w:line="240" w:lineRule="auto"/>
              <w:ind w:firstLine="0"/>
              <w:jc w:val="center"/>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0,270</w:t>
            </w:r>
          </w:p>
        </w:tc>
        <w:tc>
          <w:tcPr>
            <w:tcW w:w="629" w:type="pct"/>
            <w:vAlign w:val="center"/>
          </w:tcPr>
          <w:p w14:paraId="3F07A048">
            <w:pPr>
              <w:spacing w:after="0" w:line="240" w:lineRule="auto"/>
              <w:ind w:firstLine="0"/>
              <w:jc w:val="center"/>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0,270</w:t>
            </w:r>
          </w:p>
        </w:tc>
      </w:tr>
      <w:tr w14:paraId="096B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shd w:val="clear" w:color="auto" w:fill="F0F5F9"/>
            <w:vAlign w:val="center"/>
          </w:tcPr>
          <w:p w14:paraId="2A12CF75">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Әлеуметтік салық (6%)</w:t>
            </w:r>
          </w:p>
        </w:tc>
        <w:tc>
          <w:tcPr>
            <w:tcW w:w="576" w:type="pct"/>
            <w:shd w:val="clear" w:color="auto" w:fill="F0F5F9"/>
            <w:vAlign w:val="center"/>
          </w:tcPr>
          <w:p w14:paraId="2EAD83A9">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0,180</w:t>
            </w:r>
          </w:p>
        </w:tc>
        <w:tc>
          <w:tcPr>
            <w:tcW w:w="576" w:type="pct"/>
            <w:shd w:val="clear" w:color="auto" w:fill="F0F5F9"/>
            <w:vAlign w:val="center"/>
          </w:tcPr>
          <w:p w14:paraId="51A0C129">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0,180</w:t>
            </w:r>
          </w:p>
        </w:tc>
        <w:tc>
          <w:tcPr>
            <w:tcW w:w="629" w:type="pct"/>
            <w:shd w:val="clear" w:color="auto" w:fill="F0F5F9"/>
            <w:vAlign w:val="center"/>
          </w:tcPr>
          <w:p w14:paraId="1F1F28C6">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0,180</w:t>
            </w:r>
          </w:p>
        </w:tc>
      </w:tr>
      <w:tr w14:paraId="77E0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3219" w:type="pct"/>
            <w:vAlign w:val="center"/>
          </w:tcPr>
          <w:p w14:paraId="7E10F041">
            <w:pPr>
              <w:spacing w:after="0" w:line="240" w:lineRule="auto"/>
              <w:ind w:firstLine="0"/>
              <w:jc w:val="left"/>
              <w:rPr>
                <w:rFonts w:asciiTheme="minorHAnsi" w:hAnsiTheme="minorHAnsi"/>
                <w:b/>
                <w:bCs/>
                <w:color w:val="1C2839"/>
                <w:sz w:val="17"/>
                <w:szCs w:val="17"/>
              </w:rPr>
            </w:pPr>
            <w:r>
              <w:rPr>
                <w:rFonts w:eastAsia="Times New Roman" w:cs="Times New Roman" w:asciiTheme="minorHAnsi" w:hAnsiTheme="minorHAnsi"/>
                <w:b/>
                <w:bCs/>
                <w:color w:val="auto"/>
                <w:sz w:val="17"/>
                <w:szCs w:val="17"/>
                <w:lang w:val="ru-RU" w:eastAsia="ru-RU"/>
              </w:rPr>
              <w:t>Тікелей салықтардың жиыны</w:t>
            </w:r>
          </w:p>
        </w:tc>
        <w:tc>
          <w:tcPr>
            <w:tcW w:w="576" w:type="pct"/>
            <w:vAlign w:val="center"/>
          </w:tcPr>
          <w:p w14:paraId="6ADDF5AE">
            <w:pPr>
              <w:spacing w:after="0" w:line="240" w:lineRule="auto"/>
              <w:ind w:firstLine="0"/>
              <w:jc w:val="center"/>
              <w:rPr>
                <w:rFonts w:asciiTheme="minorHAnsi" w:hAnsiTheme="minorHAnsi"/>
                <w:b/>
                <w:bCs/>
                <w:color w:val="1C2839"/>
                <w:sz w:val="17"/>
                <w:szCs w:val="17"/>
              </w:rPr>
            </w:pPr>
            <w:r>
              <w:rPr>
                <w:rFonts w:eastAsia="Times New Roman" w:cs="Times New Roman" w:asciiTheme="minorHAnsi" w:hAnsiTheme="minorHAnsi"/>
                <w:b/>
                <w:bCs/>
                <w:color w:val="auto"/>
                <w:sz w:val="17"/>
                <w:szCs w:val="17"/>
                <w:lang w:val="ru-RU" w:eastAsia="ru-RU"/>
              </w:rPr>
              <w:t>0,747</w:t>
            </w:r>
          </w:p>
        </w:tc>
        <w:tc>
          <w:tcPr>
            <w:tcW w:w="576" w:type="pct"/>
            <w:vAlign w:val="center"/>
          </w:tcPr>
          <w:p w14:paraId="60270F04">
            <w:pPr>
              <w:spacing w:after="0" w:line="240" w:lineRule="auto"/>
              <w:ind w:firstLine="0"/>
              <w:jc w:val="center"/>
              <w:rPr>
                <w:rFonts w:asciiTheme="minorHAnsi" w:hAnsiTheme="minorHAnsi"/>
                <w:b/>
                <w:bCs/>
                <w:color w:val="1C2839"/>
                <w:sz w:val="17"/>
                <w:szCs w:val="17"/>
              </w:rPr>
            </w:pPr>
            <w:r>
              <w:rPr>
                <w:rFonts w:eastAsia="Times New Roman" w:cs="Times New Roman" w:asciiTheme="minorHAnsi" w:hAnsiTheme="minorHAnsi"/>
                <w:b/>
                <w:bCs/>
                <w:color w:val="auto"/>
                <w:sz w:val="17"/>
                <w:szCs w:val="17"/>
                <w:lang w:val="ru-RU" w:eastAsia="ru-RU"/>
              </w:rPr>
              <w:t>1,145</w:t>
            </w:r>
          </w:p>
        </w:tc>
        <w:tc>
          <w:tcPr>
            <w:tcW w:w="629" w:type="pct"/>
            <w:vAlign w:val="center"/>
          </w:tcPr>
          <w:p w14:paraId="55780191">
            <w:pPr>
              <w:spacing w:after="0" w:line="240" w:lineRule="auto"/>
              <w:ind w:firstLine="0"/>
              <w:jc w:val="center"/>
              <w:rPr>
                <w:rFonts w:asciiTheme="minorHAnsi" w:hAnsiTheme="minorHAnsi"/>
                <w:b/>
                <w:bCs/>
                <w:color w:val="1C2839"/>
                <w:sz w:val="17"/>
                <w:szCs w:val="17"/>
              </w:rPr>
            </w:pPr>
            <w:r>
              <w:rPr>
                <w:rFonts w:eastAsia="Times New Roman" w:cs="Times New Roman" w:asciiTheme="minorHAnsi" w:hAnsiTheme="minorHAnsi"/>
                <w:b/>
                <w:bCs/>
                <w:color w:val="auto"/>
                <w:sz w:val="17"/>
                <w:szCs w:val="17"/>
                <w:lang w:val="ru-RU" w:eastAsia="ru-RU"/>
              </w:rPr>
              <w:t>1,543</w:t>
            </w:r>
          </w:p>
        </w:tc>
      </w:tr>
    </w:tbl>
    <w:p w14:paraId="46BDD4ED">
      <w:pPr>
        <w:spacing w:line="240" w:lineRule="auto"/>
        <w:rPr>
          <w:rFonts w:ascii="Cambria" w:hAnsi="Cambria"/>
          <w:lang w:val="ru-RU"/>
        </w:rPr>
      </w:pPr>
      <w:r>
        <w:rPr>
          <w:rFonts w:ascii="Cambria" w:hAnsi="Cambria"/>
          <w:lang w:val="ru-RU"/>
        </w:rPr>
        <w:t>Тікелей салық түсімдерінен бөлек, инвестициялық жобаларды іске асыру өндірістік кооперацияға тартылатын құрылыс, көлік, логистика және сервистік ұйымдардың қызметі есебінен салық базасын кеңейтеді. Қосымша экономикалық әсер 605 тұрақты жұмыс орнын ашуға, отандық жеткізушілер өнімдеріне сұранысты арттыруға және Байғанин ауданындағы шағын және орта бизнесті дамытуға байланысты болады.</w:t>
      </w:r>
    </w:p>
    <w:p w14:paraId="7B9E5EDC">
      <w:pPr>
        <w:spacing w:line="240" w:lineRule="auto"/>
        <w:rPr>
          <w:rFonts w:ascii="Cambria" w:hAnsi="Cambria"/>
          <w:lang w:val="ru-RU"/>
        </w:rPr>
      </w:pPr>
      <w:r>
        <w:rPr>
          <w:rFonts w:ascii="Cambria" w:hAnsi="Cambria"/>
          <w:lang w:val="ru-RU"/>
        </w:rPr>
        <w:t>Осылайша, Ақтөбе облысының Байғанин ауданындағы «Байғанин» Индустриялық аймағын іске асыру 38,7 млрд теңге жеке инвестиция тартуды және өңдеу өнеркәсібінің жаңа сегментін қалыптастыруды ғана емес, салық түсімдерінің қосымша көзін құруды да көздейді. Алдын ала есептер қабылданған салықтық және қаржылық жорамалдар жағдайындағы ықтимал бюджеттік әсерді сипаттайды және резиденттердің жеке қаржылық модельдері, қолданылатын салық режимдері мен жобаларды қаржыландыру құрылымы ескеріле отырып нақтылануға тиіс.</w:t>
      </w:r>
    </w:p>
    <w:p w14:paraId="18C5E28D">
      <w:pPr>
        <w:pStyle w:val="3"/>
        <w:spacing w:line="240" w:lineRule="auto"/>
        <w:rPr>
          <w:rFonts w:ascii="Cambria" w:hAnsi="Cambria"/>
          <w:lang w:val="ru-RU"/>
        </w:rPr>
      </w:pPr>
      <w:bookmarkStart w:id="23" w:name="__RefHeading___Toc9528_2617525462"/>
      <w:bookmarkEnd w:id="23"/>
      <w:r>
        <w:rPr>
          <w:rFonts w:ascii="Cambria" w:hAnsi="Cambria"/>
          <w:lang w:val="ru-RU"/>
        </w:rPr>
        <w:t>5.5. Индустриялық аймақ құрудың әлеуметтік-демографиялық алғышарттары</w:t>
      </w:r>
    </w:p>
    <w:p w14:paraId="6B019ECD">
      <w:pPr>
        <w:spacing w:line="240" w:lineRule="auto"/>
        <w:rPr>
          <w:rFonts w:ascii="Cambria" w:hAnsi="Cambria"/>
          <w:lang w:val="ru-RU"/>
        </w:rPr>
      </w:pPr>
      <w:r>
        <w:rPr>
          <w:rFonts w:ascii="Cambria" w:hAnsi="Cambria"/>
          <w:lang w:val="ru-RU"/>
        </w:rPr>
        <w:t>Ақтөбе облысының Байғанин ауданындағы «Байғанин» Индустриялық аймағын құру Байғанин ауданы экономикасын әртараптандырудың, халықтың жұмыспен қамтылуын кеңейтудің және жергілікті еңбек ресурстарын кәсіби тұрғыдан іске асыруға жаңа мүмкіндіктер қалыптастырудың басым бағыттарының бірі ретінде қарастырылады. Темірбетон бұйымдары мен құрылыс материалдарын өндіруге маманданған жеті өндірістік кәсіпорынды орналастыру өңдеу өнеркәсібінде қосымша жұмыс орындарын құруға және жұмысшы әрі техникалық мамандықтарға тұрақты сұраныс қалыптастыруға мүмкіндік береді.</w:t>
      </w:r>
    </w:p>
    <w:p w14:paraId="38360C8B">
      <w:pPr>
        <w:spacing w:line="240" w:lineRule="auto"/>
        <w:rPr>
          <w:rFonts w:ascii="Cambria" w:hAnsi="Cambria"/>
          <w:lang w:val="ru-RU"/>
        </w:rPr>
      </w:pPr>
      <w:r>
        <w:rPr>
          <w:rFonts w:ascii="Cambria" w:hAnsi="Cambria"/>
          <w:lang w:val="ru-RU"/>
        </w:rPr>
        <w:t>Қазақстан Республикасы Стратегиялық жоспарлау және реформалар агенттігінің Ұлттық статистика бюросының деректері бойынша, 2026 жылғы 1 шілдедегі жағдайға сәйкес Байғанин ауданының халқы 22 107 адамды құрайды. Ауданның әкімшілік орталығы – халқы 11 123 адам болатын Қарауылкелді ауылы. Демек, аудан орталығында әлеуетті еңбек ресурстарының едәуір бөлігі шоғырланған, бұл жоспарланған өндірістерді кадрлармен қамтамасыз етуге қолайлы алғышарт қалыптастырады.</w:t>
      </w:r>
    </w:p>
    <w:p w14:paraId="0C8C03E5">
      <w:pPr>
        <w:pStyle w:val="75"/>
        <w:keepNext/>
        <w:spacing w:line="240" w:lineRule="auto"/>
        <w:rPr>
          <w:rFonts w:ascii="Cambria" w:hAnsi="Cambria"/>
          <w:lang w:val="ru-RU"/>
        </w:rPr>
      </w:pPr>
      <w:r>
        <w:rPr>
          <w:rFonts w:ascii="Cambria" w:hAnsi="Cambria"/>
          <w:lang w:val="ru-RU"/>
        </w:rPr>
        <w:t>5.7-кесте – Байғанин ауданының негізгі әлеуметтік-демографиялық көрсеткіштері</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5359"/>
        <w:gridCol w:w="1207"/>
        <w:gridCol w:w="2923"/>
      </w:tblGrid>
      <w:tr w14:paraId="35193BF5">
        <w:tblPrEx>
          <w:tblCellMar>
            <w:top w:w="86" w:type="dxa"/>
            <w:left w:w="95" w:type="dxa"/>
            <w:bottom w:w="86" w:type="dxa"/>
            <w:right w:w="95" w:type="dxa"/>
          </w:tblCellMar>
        </w:tblPrEx>
        <w:trPr>
          <w:cantSplit/>
          <w:tblHeader/>
          <w:jc w:val="center"/>
        </w:trPr>
        <w:tc>
          <w:tcPr>
            <w:tcW w:w="2824" w:type="pct"/>
            <w:shd w:val="clear" w:color="auto" w:fill="23486F"/>
            <w:vAlign w:val="center"/>
          </w:tcPr>
          <w:p w14:paraId="2C9C1EA9">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Көрсеткіш</w:t>
            </w:r>
          </w:p>
        </w:tc>
        <w:tc>
          <w:tcPr>
            <w:tcW w:w="636" w:type="pct"/>
            <w:shd w:val="clear" w:color="auto" w:fill="23486F"/>
            <w:vAlign w:val="center"/>
          </w:tcPr>
          <w:p w14:paraId="7C50F5C9">
            <w:pPr>
              <w:spacing w:after="0" w:line="240" w:lineRule="auto"/>
              <w:ind w:firstLine="0"/>
              <w:jc w:val="center"/>
              <w:rPr>
                <w:rFonts w:asciiTheme="minorHAnsi" w:hAnsiTheme="minorHAnsi"/>
                <w:color w:val="FFFFFF" w:themeColor="background1"/>
                <w:sz w:val="17"/>
                <w:szCs w:val="17"/>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Мәні</w:t>
            </w:r>
          </w:p>
        </w:tc>
        <w:tc>
          <w:tcPr>
            <w:tcW w:w="1540" w:type="pct"/>
            <w:shd w:val="clear" w:color="auto" w:fill="23486F"/>
            <w:vAlign w:val="center"/>
          </w:tcPr>
          <w:p w14:paraId="48F2094B">
            <w:pPr>
              <w:spacing w:after="0" w:line="240" w:lineRule="auto"/>
              <w:ind w:firstLine="0"/>
              <w:jc w:val="center"/>
              <w:rPr>
                <w:rFonts w:asciiTheme="minorHAnsi" w:hAnsiTheme="minorHAnsi"/>
                <w:color w:val="FFFFFF" w:themeColor="background1"/>
                <w:sz w:val="17"/>
                <w:szCs w:val="17"/>
                <w:lang w:val="ru-RU"/>
                <w14:textFill>
                  <w14:solidFill>
                    <w14:schemeClr w14:val="bg1"/>
                  </w14:solidFill>
                </w14:textFill>
              </w:rPr>
            </w:pPr>
            <w:r>
              <w:rPr>
                <w:rFonts w:eastAsia="Times New Roman" w:cs="Times New Roman" w:asciiTheme="minorHAnsi" w:hAnsiTheme="minorHAnsi"/>
                <w:b/>
                <w:bCs/>
                <w:color w:val="FFFFFF" w:themeColor="background1"/>
                <w:sz w:val="17"/>
                <w:szCs w:val="17"/>
                <w:lang w:val="ru-RU" w:eastAsia="ru-RU"/>
                <w14:textFill>
                  <w14:solidFill>
                    <w14:schemeClr w14:val="bg1"/>
                  </w14:solidFill>
                </w14:textFill>
              </w:rPr>
              <w:t>Кезең</w:t>
            </w:r>
          </w:p>
        </w:tc>
      </w:tr>
      <w:tr w14:paraId="0D96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vAlign w:val="center"/>
          </w:tcPr>
          <w:p w14:paraId="241DF08F">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Аудан халқының саны</w:t>
            </w:r>
          </w:p>
        </w:tc>
        <w:tc>
          <w:tcPr>
            <w:tcW w:w="636" w:type="pct"/>
            <w:vAlign w:val="center"/>
          </w:tcPr>
          <w:p w14:paraId="2BA26D86">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22 107 адам</w:t>
            </w:r>
          </w:p>
        </w:tc>
        <w:tc>
          <w:tcPr>
            <w:tcW w:w="1540" w:type="pct"/>
            <w:vAlign w:val="center"/>
          </w:tcPr>
          <w:p w14:paraId="115083C7">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2026 жылғы 1 шілде</w:t>
            </w:r>
          </w:p>
        </w:tc>
      </w:tr>
      <w:tr w14:paraId="05CD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shd w:val="clear" w:color="auto" w:fill="F0F5F9"/>
            <w:vAlign w:val="center"/>
          </w:tcPr>
          <w:p w14:paraId="60571F0F">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Қарауылкелді ауылының халқы</w:t>
            </w:r>
          </w:p>
        </w:tc>
        <w:tc>
          <w:tcPr>
            <w:tcW w:w="636" w:type="pct"/>
            <w:shd w:val="clear" w:color="auto" w:fill="F0F5F9"/>
            <w:vAlign w:val="center"/>
          </w:tcPr>
          <w:p w14:paraId="094F64D5">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9 808 адам</w:t>
            </w:r>
          </w:p>
        </w:tc>
        <w:tc>
          <w:tcPr>
            <w:tcW w:w="1540" w:type="pct"/>
            <w:shd w:val="clear" w:color="auto" w:fill="F0F5F9"/>
            <w:vAlign w:val="center"/>
          </w:tcPr>
          <w:p w14:paraId="45DC05D0">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Аудандық бағдарлама деректері</w:t>
            </w:r>
          </w:p>
        </w:tc>
      </w:tr>
      <w:tr w14:paraId="23EA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vAlign w:val="center"/>
          </w:tcPr>
          <w:p w14:paraId="3A20552E">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15 және одан жоғары жастағы халықтың жұмыспен қамтылу деңгейі</w:t>
            </w:r>
          </w:p>
        </w:tc>
        <w:tc>
          <w:tcPr>
            <w:tcW w:w="636" w:type="pct"/>
            <w:vAlign w:val="center"/>
          </w:tcPr>
          <w:p w14:paraId="057088DA">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74,3%</w:t>
            </w:r>
          </w:p>
        </w:tc>
        <w:tc>
          <w:tcPr>
            <w:tcW w:w="1540" w:type="pct"/>
            <w:vAlign w:val="center"/>
          </w:tcPr>
          <w:p w14:paraId="493EBD14">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2025 жыл</w:t>
            </w:r>
          </w:p>
        </w:tc>
      </w:tr>
      <w:tr w14:paraId="03D5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shd w:val="clear" w:color="auto" w:fill="F0F5F9"/>
            <w:vAlign w:val="center"/>
          </w:tcPr>
          <w:p w14:paraId="79396301">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Жұмыссыздық деңгейі</w:t>
            </w:r>
          </w:p>
        </w:tc>
        <w:tc>
          <w:tcPr>
            <w:tcW w:w="636" w:type="pct"/>
            <w:shd w:val="clear" w:color="auto" w:fill="F0F5F9"/>
            <w:vAlign w:val="center"/>
          </w:tcPr>
          <w:p w14:paraId="299805E4">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4,8%</w:t>
            </w:r>
          </w:p>
        </w:tc>
        <w:tc>
          <w:tcPr>
            <w:tcW w:w="1540" w:type="pct"/>
            <w:shd w:val="clear" w:color="auto" w:fill="F0F5F9"/>
            <w:vAlign w:val="center"/>
          </w:tcPr>
          <w:p w14:paraId="4826BE4A">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2025 жыл</w:t>
            </w:r>
          </w:p>
        </w:tc>
      </w:tr>
      <w:tr w14:paraId="7E74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vAlign w:val="center"/>
          </w:tcPr>
          <w:p w14:paraId="30CC40AE">
            <w:pPr>
              <w:spacing w:after="0" w:line="240" w:lineRule="auto"/>
              <w:ind w:firstLine="0"/>
              <w:jc w:val="left"/>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Халықтың табиғи өсімі</w:t>
            </w:r>
          </w:p>
        </w:tc>
        <w:tc>
          <w:tcPr>
            <w:tcW w:w="636" w:type="pct"/>
            <w:vAlign w:val="center"/>
          </w:tcPr>
          <w:p w14:paraId="26DA112E">
            <w:pPr>
              <w:spacing w:after="0" w:line="240" w:lineRule="auto"/>
              <w:ind w:firstLine="0"/>
              <w:jc w:val="center"/>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378 адам</w:t>
            </w:r>
          </w:p>
        </w:tc>
        <w:tc>
          <w:tcPr>
            <w:tcW w:w="1540" w:type="pct"/>
            <w:vAlign w:val="center"/>
          </w:tcPr>
          <w:p w14:paraId="16D1CD82">
            <w:pPr>
              <w:spacing w:after="0" w:line="240" w:lineRule="auto"/>
              <w:ind w:firstLine="0"/>
              <w:jc w:val="center"/>
              <w:rPr>
                <w:rFonts w:asciiTheme="minorHAnsi" w:hAnsiTheme="minorHAnsi"/>
                <w:color w:val="1C2839"/>
                <w:sz w:val="17"/>
                <w:szCs w:val="17"/>
              </w:rPr>
            </w:pPr>
            <w:r>
              <w:rPr>
                <w:rFonts w:eastAsia="Times New Roman" w:cs="Times New Roman" w:asciiTheme="minorHAnsi" w:hAnsiTheme="minorHAnsi"/>
                <w:color w:val="auto"/>
                <w:sz w:val="17"/>
                <w:szCs w:val="17"/>
                <w:lang w:val="ru-RU" w:eastAsia="ru-RU"/>
              </w:rPr>
              <w:t>2024 жыл</w:t>
            </w:r>
          </w:p>
        </w:tc>
      </w:tr>
      <w:tr w14:paraId="4C17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shd w:val="clear" w:color="auto" w:fill="F0F5F9"/>
            <w:vAlign w:val="center"/>
          </w:tcPr>
          <w:p w14:paraId="5EFA5C0B">
            <w:pPr>
              <w:spacing w:after="0" w:line="240" w:lineRule="auto"/>
              <w:ind w:firstLine="0"/>
              <w:jc w:val="left"/>
              <w:rPr>
                <w:rFonts w:asciiTheme="minorHAnsi" w:hAnsiTheme="minorHAnsi"/>
                <w:sz w:val="17"/>
                <w:szCs w:val="17"/>
              </w:rPr>
            </w:pPr>
            <w:r>
              <w:rPr>
                <w:rFonts w:eastAsia="Times New Roman" w:cs="Times New Roman" w:asciiTheme="minorHAnsi" w:hAnsiTheme="minorHAnsi"/>
                <w:color w:val="auto"/>
                <w:sz w:val="17"/>
                <w:szCs w:val="17"/>
                <w:lang w:val="ru-RU" w:eastAsia="ru-RU"/>
              </w:rPr>
              <w:t>Көші-қон сальдосы</w:t>
            </w:r>
          </w:p>
        </w:tc>
        <w:tc>
          <w:tcPr>
            <w:tcW w:w="636" w:type="pct"/>
            <w:shd w:val="clear" w:color="auto" w:fill="F0F5F9"/>
            <w:vAlign w:val="center"/>
          </w:tcPr>
          <w:p w14:paraId="45A9FCEB">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–627 адам</w:t>
            </w:r>
          </w:p>
        </w:tc>
        <w:tc>
          <w:tcPr>
            <w:tcW w:w="1540" w:type="pct"/>
            <w:shd w:val="clear" w:color="auto" w:fill="F0F5F9"/>
            <w:vAlign w:val="center"/>
          </w:tcPr>
          <w:p w14:paraId="2558A4EE">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2024 жыл</w:t>
            </w:r>
          </w:p>
        </w:tc>
      </w:tr>
      <w:tr w14:paraId="3707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vAlign w:val="center"/>
          </w:tcPr>
          <w:p w14:paraId="3AF0C28A">
            <w:pPr>
              <w:spacing w:after="0" w:line="240" w:lineRule="auto"/>
              <w:ind w:firstLine="0"/>
              <w:jc w:val="left"/>
              <w:rPr>
                <w:rFonts w:asciiTheme="minorHAnsi" w:hAnsiTheme="minorHAnsi"/>
                <w:b/>
                <w:bCs/>
                <w:color w:val="1C2839"/>
                <w:sz w:val="17"/>
                <w:szCs w:val="17"/>
                <w:lang w:val="ru-RU"/>
              </w:rPr>
            </w:pPr>
            <w:r>
              <w:rPr>
                <w:rFonts w:eastAsia="Times New Roman" w:cs="Times New Roman" w:asciiTheme="minorHAnsi" w:hAnsiTheme="minorHAnsi"/>
                <w:color w:val="auto"/>
                <w:sz w:val="17"/>
                <w:szCs w:val="17"/>
                <w:lang w:val="ru-RU" w:eastAsia="ru-RU"/>
              </w:rPr>
              <w:t>ИА жоспарлаған тұрақты жұмыс орындары</w:t>
            </w:r>
          </w:p>
        </w:tc>
        <w:tc>
          <w:tcPr>
            <w:tcW w:w="636" w:type="pct"/>
            <w:vAlign w:val="center"/>
          </w:tcPr>
          <w:p w14:paraId="416408CA">
            <w:pPr>
              <w:spacing w:after="0" w:line="240" w:lineRule="auto"/>
              <w:ind w:firstLine="0"/>
              <w:jc w:val="center"/>
              <w:rPr>
                <w:rFonts w:asciiTheme="minorHAnsi" w:hAnsiTheme="minorHAnsi"/>
                <w:b/>
                <w:bCs/>
                <w:color w:val="1C2839"/>
                <w:sz w:val="17"/>
                <w:szCs w:val="17"/>
              </w:rPr>
            </w:pPr>
            <w:r>
              <w:rPr>
                <w:rFonts w:eastAsia="Times New Roman" w:cs="Times New Roman" w:asciiTheme="minorHAnsi" w:hAnsiTheme="minorHAnsi"/>
                <w:color w:val="auto"/>
                <w:sz w:val="17"/>
                <w:szCs w:val="17"/>
                <w:lang w:val="ru-RU" w:eastAsia="ru-RU"/>
              </w:rPr>
              <w:t>605</w:t>
            </w:r>
          </w:p>
        </w:tc>
        <w:tc>
          <w:tcPr>
            <w:tcW w:w="1540" w:type="pct"/>
            <w:vAlign w:val="center"/>
          </w:tcPr>
          <w:p w14:paraId="35B2135C">
            <w:pPr>
              <w:spacing w:after="0" w:line="240" w:lineRule="auto"/>
              <w:ind w:firstLine="0"/>
              <w:jc w:val="center"/>
              <w:rPr>
                <w:rFonts w:asciiTheme="minorHAnsi" w:hAnsiTheme="minorHAnsi"/>
                <w:b/>
                <w:bCs/>
                <w:color w:val="1C2839"/>
                <w:sz w:val="17"/>
                <w:szCs w:val="17"/>
              </w:rPr>
            </w:pPr>
            <w:r>
              <w:rPr>
                <w:rFonts w:eastAsia="Times New Roman" w:cs="Times New Roman" w:asciiTheme="minorHAnsi" w:hAnsiTheme="minorHAnsi"/>
                <w:color w:val="auto"/>
                <w:sz w:val="17"/>
                <w:szCs w:val="17"/>
                <w:lang w:val="ru-RU" w:eastAsia="ru-RU"/>
              </w:rPr>
              <w:t>Толық іске асырылғанда</w:t>
            </w:r>
          </w:p>
        </w:tc>
      </w:tr>
      <w:tr w14:paraId="69E3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2824" w:type="pct"/>
            <w:shd w:val="clear" w:color="auto" w:fill="F0F5F9"/>
            <w:vAlign w:val="center"/>
          </w:tcPr>
          <w:p w14:paraId="5FC4B540">
            <w:pPr>
              <w:spacing w:after="0" w:line="240" w:lineRule="auto"/>
              <w:ind w:firstLine="0"/>
              <w:jc w:val="left"/>
              <w:rPr>
                <w:rFonts w:asciiTheme="minorHAnsi" w:hAnsiTheme="minorHAnsi"/>
                <w:sz w:val="17"/>
                <w:szCs w:val="17"/>
                <w:lang w:val="ru-RU"/>
              </w:rPr>
            </w:pPr>
            <w:r>
              <w:rPr>
                <w:rFonts w:eastAsia="Times New Roman" w:cs="Times New Roman" w:asciiTheme="minorHAnsi" w:hAnsiTheme="minorHAnsi"/>
                <w:color w:val="auto"/>
                <w:sz w:val="17"/>
                <w:szCs w:val="17"/>
                <w:lang w:val="ru-RU" w:eastAsia="ru-RU"/>
              </w:rPr>
              <w:t>Құрылыс кезеңдеріндегі жұмыскерлерге қажеттілік</w:t>
            </w:r>
          </w:p>
        </w:tc>
        <w:tc>
          <w:tcPr>
            <w:tcW w:w="636" w:type="pct"/>
            <w:shd w:val="clear" w:color="auto" w:fill="F0F5F9"/>
            <w:vAlign w:val="center"/>
          </w:tcPr>
          <w:p w14:paraId="186A53A9">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840 адам</w:t>
            </w:r>
          </w:p>
        </w:tc>
        <w:tc>
          <w:tcPr>
            <w:tcW w:w="1540" w:type="pct"/>
            <w:shd w:val="clear" w:color="auto" w:fill="F0F5F9"/>
            <w:vAlign w:val="center"/>
          </w:tcPr>
          <w:p w14:paraId="42183417">
            <w:pPr>
              <w:spacing w:after="0" w:line="240" w:lineRule="auto"/>
              <w:ind w:firstLine="0"/>
              <w:jc w:val="center"/>
              <w:rPr>
                <w:rFonts w:asciiTheme="minorHAnsi" w:hAnsiTheme="minorHAnsi"/>
                <w:sz w:val="17"/>
                <w:szCs w:val="17"/>
              </w:rPr>
            </w:pPr>
            <w:r>
              <w:rPr>
                <w:rFonts w:eastAsia="Times New Roman" w:cs="Times New Roman" w:asciiTheme="minorHAnsi" w:hAnsiTheme="minorHAnsi"/>
                <w:color w:val="auto"/>
                <w:sz w:val="17"/>
                <w:szCs w:val="17"/>
                <w:lang w:val="ru-RU" w:eastAsia="ru-RU"/>
              </w:rPr>
              <w:t>Жобалар бойынша жиынтық</w:t>
            </w:r>
          </w:p>
        </w:tc>
      </w:tr>
    </w:tbl>
    <w:p w14:paraId="4F3597D7">
      <w:pPr>
        <w:spacing w:line="240" w:lineRule="auto"/>
        <w:rPr>
          <w:rFonts w:ascii="Cambria" w:hAnsi="Cambria"/>
          <w:lang w:val="ru-RU"/>
        </w:rPr>
      </w:pPr>
      <w:r>
        <w:rPr>
          <w:rFonts w:ascii="Cambria" w:hAnsi="Cambria"/>
          <w:lang w:val="ru-RU"/>
        </w:rPr>
        <w:t>Еңбек нарығы көрсеткіштерін талдау қалыптасқан еңбек ресурстары базасының бар екенін көрсетеді. 2025 жылы аудан халқының 15 және одан жоғары жастағы тұрғындарының жұмыспен қамтылу деңгейі 74,3%-ды құрап, республикалық орташа көрсеткіштен (64,7%) асып түсті. Бұл ретте жұмыссыздық деңгейі 4,8% болды. Көрсеткіштер халықтың еңбек қызметіне салыстырмалы түрде жоғары дәрежеде тартылғанын сипаттайды және кәсіптік қайта даярлау, экономиканың басқа салаларынан жұмыскерлер тарту, жас мамандарды жұмысқа орналастыру арқылы жаңа өндірістерді кадрлармен жасақтауға алғышарт жасайды.</w:t>
      </w:r>
    </w:p>
    <w:p w14:paraId="560EEFCA">
      <w:pPr>
        <w:spacing w:line="240" w:lineRule="auto"/>
        <w:rPr>
          <w:rFonts w:ascii="Cambria" w:hAnsi="Cambria"/>
          <w:lang w:val="ru-RU"/>
        </w:rPr>
      </w:pPr>
      <w:r>
        <w:rPr>
          <w:rFonts w:ascii="Cambria" w:hAnsi="Cambria"/>
          <w:lang w:val="ru-RU"/>
        </w:rPr>
        <w:t>Маңызды әлеуметтік-демографиялық фактор – аудан аумағында тұрақты жұмыспен қамту мүмкіндіктерін кеңейту қажеттігі. 2024 жылдың қорытындысы бойынша Байғанин ауданының көші-қон сальдосы минус 627 адамды, ал халықтың табиғи өсімі 378 адамды құрады. Өңдеу өнеркәсібінде жаңа жұмыс орындарын құру жергілікті тұрғындарды жұмысқа орналастыру мүмкіндіктерін кеңейтуге және еңбекке қабілетті халықтың ауданда тұрақтап қалуына қосымша экономикалық ынталандыру қалыптастыруға ықпал етеді.</w:t>
      </w:r>
    </w:p>
    <w:p w14:paraId="16120CAD">
      <w:pPr>
        <w:spacing w:line="240" w:lineRule="auto"/>
        <w:rPr>
          <w:rFonts w:ascii="Cambria" w:hAnsi="Cambria"/>
          <w:lang w:val="ru-RU"/>
        </w:rPr>
      </w:pPr>
      <w:r>
        <w:rPr>
          <w:rFonts w:ascii="Cambria" w:hAnsi="Cambria"/>
          <w:lang w:val="ru-RU"/>
        </w:rPr>
        <w:t>Жеті өндірістік жобаны іске асыру 605 тұрақты жұмыс орнын құруды көздейді, бұл Байғанин ауданы халқының 2026 жылғы 1 шілдедегі жалпы санының 2,7%-ына тең. Оның ішінде инфрақұрылымдық және тұрғын үй құрылысына арналған темірбетон конструкцияларын өндіруге маманданған № 1 алаңда 370, ал құрғақ құрылыс қоспаларын, фиброцемент панельдері мен абаттандыру бұйымдарын шығаруға бағдарланған № 2 алаңда 235 жұмыс орны құрылады деп болжанады.</w:t>
      </w:r>
    </w:p>
    <w:p w14:paraId="6B3887CC">
      <w:pPr>
        <w:spacing w:line="240" w:lineRule="auto"/>
        <w:ind w:firstLine="0"/>
        <w:jc w:val="center"/>
        <w:rPr>
          <w:rFonts w:ascii="Cambria" w:hAnsi="Cambria"/>
          <w:lang w:val="ru-RU"/>
        </w:rPr>
      </w:pPr>
      <w:r>
        <w:drawing>
          <wp:inline distT="0" distB="0" distL="114300" distR="114300">
            <wp:extent cx="4803775" cy="2696845"/>
            <wp:effectExtent l="0" t="0" r="15875" b="8255"/>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3"/>
                    <a:stretch>
                      <a:fillRect/>
                    </a:stretch>
                  </pic:blipFill>
                  <pic:spPr>
                    <a:xfrm>
                      <a:off x="0" y="0"/>
                      <a:ext cx="4803775" cy="2696845"/>
                    </a:xfrm>
                    <a:prstGeom prst="rect">
                      <a:avLst/>
                    </a:prstGeom>
                  </pic:spPr>
                </pic:pic>
              </a:graphicData>
            </a:graphic>
          </wp:inline>
        </w:drawing>
      </w:r>
    </w:p>
    <w:p w14:paraId="4D7CF8BA">
      <w:pPr>
        <w:spacing w:line="240" w:lineRule="auto"/>
        <w:rPr>
          <w:rFonts w:ascii="Cambria" w:hAnsi="Cambria"/>
          <w:lang w:val="ru-RU"/>
        </w:rPr>
      </w:pPr>
      <w:r>
        <w:rPr>
          <w:rFonts w:ascii="Cambria" w:hAnsi="Cambria"/>
          <w:lang w:val="ru-RU"/>
        </w:rPr>
        <w:t>Бұған қоса, инвестициялық жобаларды іске асыру кезінде құрылыстың, технологиялық жабдықты монтаждаудың және өндірістерді пайдалануға берудің әртүрлі кезеңдерінде шамамен 840 жұмыс орнын құру көзделеді. Жергілікті құрылыс ұйымдарын, мердігерлерді, материал жеткізушілерді және көлік кәсіпорындарын тарту тікелей құрылатын өндірістік объектілер шегінен тыс қосымша экономикалық әсер береді.</w:t>
      </w:r>
    </w:p>
    <w:p w14:paraId="4E5ED408">
      <w:pPr>
        <w:spacing w:line="240" w:lineRule="auto"/>
        <w:rPr>
          <w:rFonts w:ascii="Cambria" w:hAnsi="Cambria"/>
          <w:lang w:val="ru-RU"/>
        </w:rPr>
      </w:pPr>
      <w:r>
        <w:rPr>
          <w:rFonts w:ascii="Cambria" w:hAnsi="Cambria"/>
          <w:lang w:val="ru-RU"/>
        </w:rPr>
        <w:t>Жоспарланған кәсіпорындарға кадр қажеттілігінің құрылымында жұмысшы және техникалық мамандықтар басым. Олардың көпшілігі үшін техникалық және кәсіптік білім алып, кейін өндірістік оқудан өту жеткілікті біліктілік негізі болады. Негізгі қажеттілік технологиялық жабдық операторларына, темірбетон бұйымдарын қалыптаушыларға, арматурашыларға, электрмонтерлерге, слесарьларға, механиктерге, көтергіш-көлік жабдығы машинистеріне, зертханашыларға және қойма қызметкерлеріне туындайды. Бұл кадр саясатын басқа өңірлерден персоналды жаппай тартпай, негізінен Байғанин ауданының еңбек әлеуетін пайдалануға бағдарлауға мүмкіндік береді.</w:t>
      </w:r>
    </w:p>
    <w:p w14:paraId="26F9164B">
      <w:pPr>
        <w:spacing w:line="240" w:lineRule="auto"/>
        <w:rPr>
          <w:rFonts w:ascii="Cambria" w:hAnsi="Cambria"/>
          <w:lang w:val="ru-RU"/>
        </w:rPr>
      </w:pPr>
      <w:r>
        <w:rPr>
          <w:rFonts w:ascii="Cambria" w:hAnsi="Cambria"/>
          <w:lang w:val="ru-RU"/>
        </w:rPr>
        <w:t>Тұрақты жұмыспен қамтуды қамтамасыз ету үшін кәсіпорындардың жергілікті жұмыспен қамту органдарымен және техникалық әрі кәсіптік білім беру ұйымдарымен өзара іс-қимылын ұйымдастыру көзделеді. Жұмыскерлерді даярлау өндірістерді кезең-кезеңімен іске қосу кестесіне сәйкес жүргізіліп, технологиялық желілер іске қосылған сайын кадр құрамы бірізді қалыптастырылады. Жекелеген инженерлік-техникалық және басқарушылық лауазымдарға басқа елді мекендерден мамандар тартылып, кейін өндірістік тәжірибе жергілікті жұмыскерлерге берілуі мүмкін.</w:t>
      </w:r>
    </w:p>
    <w:p w14:paraId="3CD8F77D">
      <w:pPr>
        <w:spacing w:line="240" w:lineRule="auto"/>
        <w:rPr>
          <w:rFonts w:ascii="Cambria" w:hAnsi="Cambria"/>
          <w:lang w:val="ru-RU"/>
        </w:rPr>
      </w:pPr>
      <w:r>
        <w:rPr>
          <w:rFonts w:ascii="Cambria" w:hAnsi="Cambria"/>
          <w:lang w:val="ru-RU"/>
        </w:rPr>
        <w:t>Қосымша әлеуметтік-экономикалық әсер халық табысының өсуі, тұтынушылық сұраныстың артуы және сабақтас қызмет түрлерінің дамуы есебінен қалыптасады. Өнеркәсіп кәсіпорындарының жұмысы көлік қызметтеріне, қоғамдық тамақтануға, техникалық қызмет көрсетуге, жабдықтарды жөндеуге, құрылыс және тұрмыстық қызметтерге қосымша сұраныс туғызады. Бұл аудандағы шағын және орта кәсіпкерліктің дамуына ықпал етеді.</w:t>
      </w:r>
    </w:p>
    <w:p w14:paraId="6A9B51BF">
      <w:pPr>
        <w:spacing w:line="240" w:lineRule="auto"/>
        <w:rPr>
          <w:rFonts w:ascii="Cambria" w:hAnsi="Cambria"/>
          <w:lang w:val="ru-RU"/>
        </w:rPr>
      </w:pPr>
      <w:r>
        <w:rPr>
          <w:rFonts w:ascii="Cambria" w:hAnsi="Cambria"/>
          <w:lang w:val="ru-RU"/>
        </w:rPr>
        <w:t>Осылайша, Байғанин ауданының әлеуметтік-демографиялық сипаттамалары Индустриялық аймақтың кадрлық базасын негізінен жергілікті халық есебінен қалыптастыруға алғышарт бар екенін растайды. 605 тұрақты жұмыс орнын құру, кәсіби құзыреттерді дамыту және өңдеу өнеркәсібіндегі жұмыспен қамтуды кеңейту ауданның еңбек нарығын әртараптандыруға, экономикалық белсенділікті арттыруға және халықтың Байғанин ауданында тұрақтауына қосымша жағдайлар жасауға ықпал етеді.</w:t>
      </w:r>
    </w:p>
    <w:p w14:paraId="4F45DB0B">
      <w:pPr>
        <w:pStyle w:val="3"/>
        <w:spacing w:line="240" w:lineRule="auto"/>
        <w:rPr>
          <w:rFonts w:ascii="Cambria" w:hAnsi="Cambria"/>
          <w:lang w:val="ru-RU"/>
        </w:rPr>
      </w:pPr>
      <w:bookmarkStart w:id="24" w:name="__RefHeading___Toc9530_2617525462"/>
      <w:bookmarkEnd w:id="24"/>
      <w:r>
        <w:rPr>
          <w:rFonts w:ascii="Cambria" w:hAnsi="Cambria"/>
          <w:lang w:val="ru-RU"/>
        </w:rPr>
        <w:t>5.6. Еңбек ресурстарына қажеттілік және халықтың жұмыспен қамтылуына ықпалы</w:t>
      </w:r>
    </w:p>
    <w:p w14:paraId="45F10339">
      <w:pPr>
        <w:spacing w:line="240" w:lineRule="auto"/>
        <w:rPr>
          <w:rFonts w:ascii="Cambria" w:hAnsi="Cambria"/>
          <w:lang w:val="ru-RU"/>
        </w:rPr>
      </w:pPr>
      <w:r>
        <w:rPr>
          <w:rFonts w:ascii="Cambria" w:hAnsi="Cambria"/>
          <w:lang w:val="ru-RU"/>
        </w:rPr>
        <w:t>Алдын ала инвестициялық портфельді іске асыру жеті өндірістік кәсіпорында 605 тұрақты жұмыс орнын құруды көздейді. Құрылыс кезеңдеріндегі уақытша жұмыспен қамту жобалар бойынша жиынтығында 840 жұмыс орны деп бағаланады. Уақытша жұмыс орындарының бұл көрсеткіші ИА аумағындағы жұмыскерлердің бір мезгілдегі санының болжамы емес, өйткені құрылыс пен кәсіпорындарды іске қосу кезең-кезеңімен жоспарланған. Орташа жылдық жұмыспен қамту мен адам-жыл санын есептеу үшін әрбір жобаның құрылыс ұзақтығы мен күнтізбелік кестелері қажет.</w:t>
      </w:r>
    </w:p>
    <w:p w14:paraId="4A156D76">
      <w:pPr>
        <w:pStyle w:val="75"/>
        <w:keepNext/>
        <w:spacing w:line="240" w:lineRule="auto"/>
        <w:rPr>
          <w:rFonts w:ascii="Cambria" w:hAnsi="Cambria"/>
          <w:lang w:val="ru-RU"/>
        </w:rPr>
      </w:pPr>
      <w:r>
        <w:rPr>
          <w:rFonts w:ascii="Cambria" w:hAnsi="Cambria"/>
          <w:lang w:val="ru-RU"/>
        </w:rPr>
        <w:t>5.8-кесте – ИА алаңдары бойынша еңбек ресурстарына алдын ала қажеттілік</w:t>
      </w:r>
    </w:p>
    <w:tbl>
      <w:tblPr>
        <w:tblStyle w:val="43"/>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6" w:type="dxa"/>
          <w:left w:w="95" w:type="dxa"/>
          <w:bottom w:w="86" w:type="dxa"/>
          <w:right w:w="95" w:type="dxa"/>
        </w:tblCellMar>
      </w:tblPr>
      <w:tblGrid>
        <w:gridCol w:w="1870"/>
        <w:gridCol w:w="1305"/>
        <w:gridCol w:w="1644"/>
        <w:gridCol w:w="2098"/>
        <w:gridCol w:w="2098"/>
      </w:tblGrid>
      <w:tr w14:paraId="38CC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1870" w:type="dxa"/>
            <w:shd w:val="clear" w:color="auto" w:fill="23486F"/>
            <w:vAlign w:val="center"/>
          </w:tcPr>
          <w:p w14:paraId="331513D8">
            <w:pPr>
              <w:spacing w:after="0" w:line="240" w:lineRule="auto"/>
              <w:ind w:firstLine="0"/>
              <w:jc w:val="center"/>
              <w:rPr>
                <w:rFonts w:ascii="Cambria" w:hAnsi="Cambria"/>
              </w:rPr>
            </w:pPr>
            <w:r>
              <w:rPr>
                <w:rFonts w:ascii="Cambria" w:hAnsi="Cambria"/>
                <w:b/>
                <w:color w:val="FFFFFF"/>
                <w:sz w:val="17"/>
              </w:rPr>
              <w:t>Аумақ</w:t>
            </w:r>
          </w:p>
        </w:tc>
        <w:tc>
          <w:tcPr>
            <w:tcW w:w="1305" w:type="dxa"/>
            <w:shd w:val="clear" w:color="auto" w:fill="23486F"/>
            <w:vAlign w:val="center"/>
          </w:tcPr>
          <w:p w14:paraId="4AA7265A">
            <w:pPr>
              <w:spacing w:after="0" w:line="240" w:lineRule="auto"/>
              <w:ind w:firstLine="0"/>
              <w:jc w:val="center"/>
              <w:rPr>
                <w:rFonts w:ascii="Cambria" w:hAnsi="Cambria"/>
              </w:rPr>
            </w:pPr>
            <w:r>
              <w:rPr>
                <w:rFonts w:ascii="Cambria" w:hAnsi="Cambria"/>
                <w:b/>
                <w:color w:val="FFFFFF"/>
                <w:sz w:val="17"/>
              </w:rPr>
              <w:t>Ауданы, га</w:t>
            </w:r>
          </w:p>
        </w:tc>
        <w:tc>
          <w:tcPr>
            <w:tcW w:w="1644" w:type="dxa"/>
            <w:shd w:val="clear" w:color="auto" w:fill="23486F"/>
            <w:vAlign w:val="center"/>
          </w:tcPr>
          <w:p w14:paraId="09771F38">
            <w:pPr>
              <w:spacing w:after="0" w:line="240" w:lineRule="auto"/>
              <w:ind w:firstLine="0"/>
              <w:jc w:val="center"/>
              <w:rPr>
                <w:rFonts w:ascii="Cambria" w:hAnsi="Cambria"/>
              </w:rPr>
            </w:pPr>
            <w:r>
              <w:rPr>
                <w:rFonts w:ascii="Cambria" w:hAnsi="Cambria"/>
                <w:b/>
                <w:color w:val="FFFFFF"/>
                <w:sz w:val="17"/>
              </w:rPr>
              <w:t>Жобалар саны</w:t>
            </w:r>
          </w:p>
        </w:tc>
        <w:tc>
          <w:tcPr>
            <w:tcW w:w="2098" w:type="dxa"/>
            <w:shd w:val="clear" w:color="auto" w:fill="23486F"/>
            <w:vAlign w:val="center"/>
          </w:tcPr>
          <w:p w14:paraId="39F556A0">
            <w:pPr>
              <w:spacing w:after="0" w:line="240" w:lineRule="auto"/>
              <w:ind w:firstLine="0"/>
              <w:jc w:val="center"/>
              <w:rPr>
                <w:rFonts w:ascii="Cambria" w:hAnsi="Cambria"/>
              </w:rPr>
            </w:pPr>
            <w:r>
              <w:rPr>
                <w:rFonts w:ascii="Cambria" w:hAnsi="Cambria"/>
                <w:b/>
                <w:color w:val="FFFFFF"/>
                <w:sz w:val="17"/>
              </w:rPr>
              <w:t>Уақытша жұмыс орындары, адам</w:t>
            </w:r>
          </w:p>
        </w:tc>
        <w:tc>
          <w:tcPr>
            <w:tcW w:w="2098" w:type="dxa"/>
            <w:shd w:val="clear" w:color="auto" w:fill="23486F"/>
            <w:vAlign w:val="center"/>
          </w:tcPr>
          <w:p w14:paraId="14090335">
            <w:pPr>
              <w:spacing w:after="0" w:line="240" w:lineRule="auto"/>
              <w:ind w:firstLine="0"/>
              <w:jc w:val="center"/>
              <w:rPr>
                <w:rFonts w:ascii="Cambria" w:hAnsi="Cambria"/>
              </w:rPr>
            </w:pPr>
            <w:r>
              <w:rPr>
                <w:rFonts w:ascii="Cambria" w:hAnsi="Cambria"/>
                <w:b/>
                <w:color w:val="FFFFFF"/>
                <w:sz w:val="17"/>
              </w:rPr>
              <w:t>Тұрақты жұмыс орындары, адам</w:t>
            </w:r>
          </w:p>
        </w:tc>
      </w:tr>
      <w:tr w14:paraId="12A9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870" w:type="dxa"/>
            <w:vAlign w:val="center"/>
          </w:tcPr>
          <w:p w14:paraId="21508659">
            <w:pPr>
              <w:spacing w:after="0" w:line="240" w:lineRule="auto"/>
              <w:ind w:firstLine="0"/>
              <w:rPr>
                <w:rFonts w:ascii="Cambria" w:hAnsi="Cambria"/>
              </w:rPr>
            </w:pPr>
            <w:r>
              <w:rPr>
                <w:rFonts w:ascii="Cambria" w:hAnsi="Cambria"/>
                <w:color w:val="1C2839"/>
                <w:sz w:val="17"/>
              </w:rPr>
              <w:t>№ 1 алаң</w:t>
            </w:r>
          </w:p>
        </w:tc>
        <w:tc>
          <w:tcPr>
            <w:tcW w:w="1305" w:type="dxa"/>
            <w:vAlign w:val="center"/>
          </w:tcPr>
          <w:p w14:paraId="293ED57B">
            <w:pPr>
              <w:spacing w:after="0" w:line="240" w:lineRule="auto"/>
              <w:ind w:firstLine="0"/>
              <w:jc w:val="center"/>
              <w:rPr>
                <w:rFonts w:ascii="Cambria" w:hAnsi="Cambria"/>
              </w:rPr>
            </w:pPr>
            <w:r>
              <w:rPr>
                <w:rFonts w:ascii="Cambria" w:hAnsi="Cambria"/>
                <w:color w:val="1C2839"/>
                <w:sz w:val="17"/>
              </w:rPr>
              <w:t>122</w:t>
            </w:r>
          </w:p>
        </w:tc>
        <w:tc>
          <w:tcPr>
            <w:tcW w:w="1644" w:type="dxa"/>
            <w:vAlign w:val="center"/>
          </w:tcPr>
          <w:p w14:paraId="6A909EA8">
            <w:pPr>
              <w:spacing w:after="0" w:line="240" w:lineRule="auto"/>
              <w:ind w:firstLine="0"/>
              <w:jc w:val="center"/>
              <w:rPr>
                <w:rFonts w:ascii="Cambria" w:hAnsi="Cambria"/>
              </w:rPr>
            </w:pPr>
            <w:r>
              <w:rPr>
                <w:rFonts w:ascii="Cambria" w:hAnsi="Cambria"/>
                <w:color w:val="1C2839"/>
                <w:sz w:val="17"/>
              </w:rPr>
              <w:t>4</w:t>
            </w:r>
          </w:p>
        </w:tc>
        <w:tc>
          <w:tcPr>
            <w:tcW w:w="2098" w:type="dxa"/>
            <w:vAlign w:val="center"/>
          </w:tcPr>
          <w:p w14:paraId="49237E1B">
            <w:pPr>
              <w:spacing w:after="0" w:line="240" w:lineRule="auto"/>
              <w:ind w:firstLine="0"/>
              <w:jc w:val="center"/>
              <w:rPr>
                <w:rFonts w:ascii="Cambria" w:hAnsi="Cambria"/>
              </w:rPr>
            </w:pPr>
            <w:r>
              <w:rPr>
                <w:rFonts w:ascii="Cambria" w:hAnsi="Cambria"/>
                <w:color w:val="1C2839"/>
                <w:sz w:val="17"/>
              </w:rPr>
              <w:t>505</w:t>
            </w:r>
          </w:p>
        </w:tc>
        <w:tc>
          <w:tcPr>
            <w:tcW w:w="2098" w:type="dxa"/>
            <w:vAlign w:val="center"/>
          </w:tcPr>
          <w:p w14:paraId="71A99AF0">
            <w:pPr>
              <w:spacing w:after="0" w:line="240" w:lineRule="auto"/>
              <w:ind w:firstLine="0"/>
              <w:jc w:val="center"/>
              <w:rPr>
                <w:rFonts w:ascii="Cambria" w:hAnsi="Cambria"/>
              </w:rPr>
            </w:pPr>
            <w:r>
              <w:rPr>
                <w:rFonts w:ascii="Cambria" w:hAnsi="Cambria"/>
                <w:color w:val="1C2839"/>
                <w:sz w:val="17"/>
              </w:rPr>
              <w:t>370</w:t>
            </w:r>
          </w:p>
        </w:tc>
      </w:tr>
      <w:tr w14:paraId="45D8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870" w:type="dxa"/>
            <w:shd w:val="clear" w:color="auto" w:fill="F0F5F9"/>
            <w:vAlign w:val="center"/>
          </w:tcPr>
          <w:p w14:paraId="1749A2AB">
            <w:pPr>
              <w:spacing w:after="0" w:line="240" w:lineRule="auto"/>
              <w:ind w:firstLine="0"/>
              <w:rPr>
                <w:rFonts w:ascii="Cambria" w:hAnsi="Cambria"/>
              </w:rPr>
            </w:pPr>
            <w:r>
              <w:rPr>
                <w:rFonts w:ascii="Cambria" w:hAnsi="Cambria"/>
                <w:color w:val="1C2839"/>
                <w:sz w:val="17"/>
              </w:rPr>
              <w:t>№ 2 алаң</w:t>
            </w:r>
          </w:p>
        </w:tc>
        <w:tc>
          <w:tcPr>
            <w:tcW w:w="1305" w:type="dxa"/>
            <w:shd w:val="clear" w:color="auto" w:fill="F0F5F9"/>
            <w:vAlign w:val="center"/>
          </w:tcPr>
          <w:p w14:paraId="7EF2487E">
            <w:pPr>
              <w:spacing w:after="0" w:line="240" w:lineRule="auto"/>
              <w:ind w:firstLine="0"/>
              <w:jc w:val="center"/>
              <w:rPr>
                <w:rFonts w:ascii="Cambria" w:hAnsi="Cambria"/>
              </w:rPr>
            </w:pPr>
            <w:r>
              <w:rPr>
                <w:rFonts w:ascii="Cambria" w:hAnsi="Cambria"/>
                <w:color w:val="1C2839"/>
                <w:sz w:val="17"/>
              </w:rPr>
              <w:t>78</w:t>
            </w:r>
          </w:p>
        </w:tc>
        <w:tc>
          <w:tcPr>
            <w:tcW w:w="1644" w:type="dxa"/>
            <w:shd w:val="clear" w:color="auto" w:fill="F0F5F9"/>
            <w:vAlign w:val="center"/>
          </w:tcPr>
          <w:p w14:paraId="2FD409D4">
            <w:pPr>
              <w:spacing w:after="0" w:line="240" w:lineRule="auto"/>
              <w:ind w:firstLine="0"/>
              <w:jc w:val="center"/>
              <w:rPr>
                <w:rFonts w:ascii="Cambria" w:hAnsi="Cambria"/>
              </w:rPr>
            </w:pPr>
            <w:r>
              <w:rPr>
                <w:rFonts w:ascii="Cambria" w:hAnsi="Cambria"/>
                <w:color w:val="1C2839"/>
                <w:sz w:val="17"/>
              </w:rPr>
              <w:t>3</w:t>
            </w:r>
          </w:p>
        </w:tc>
        <w:tc>
          <w:tcPr>
            <w:tcW w:w="2098" w:type="dxa"/>
            <w:shd w:val="clear" w:color="auto" w:fill="F0F5F9"/>
            <w:vAlign w:val="center"/>
          </w:tcPr>
          <w:p w14:paraId="7489CDD3">
            <w:pPr>
              <w:spacing w:after="0" w:line="240" w:lineRule="auto"/>
              <w:ind w:firstLine="0"/>
              <w:jc w:val="center"/>
              <w:rPr>
                <w:rFonts w:ascii="Cambria" w:hAnsi="Cambria"/>
              </w:rPr>
            </w:pPr>
            <w:r>
              <w:rPr>
                <w:rFonts w:ascii="Cambria" w:hAnsi="Cambria"/>
                <w:color w:val="1C2839"/>
                <w:sz w:val="17"/>
              </w:rPr>
              <w:t>335</w:t>
            </w:r>
          </w:p>
        </w:tc>
        <w:tc>
          <w:tcPr>
            <w:tcW w:w="2098" w:type="dxa"/>
            <w:shd w:val="clear" w:color="auto" w:fill="F0F5F9"/>
            <w:vAlign w:val="center"/>
          </w:tcPr>
          <w:p w14:paraId="65AA0040">
            <w:pPr>
              <w:spacing w:after="0" w:line="240" w:lineRule="auto"/>
              <w:ind w:firstLine="0"/>
              <w:jc w:val="center"/>
              <w:rPr>
                <w:rFonts w:ascii="Cambria" w:hAnsi="Cambria"/>
              </w:rPr>
            </w:pPr>
            <w:r>
              <w:rPr>
                <w:rFonts w:ascii="Cambria" w:hAnsi="Cambria"/>
                <w:color w:val="1C2839"/>
                <w:sz w:val="17"/>
              </w:rPr>
              <w:t>235</w:t>
            </w:r>
          </w:p>
        </w:tc>
      </w:tr>
      <w:tr w14:paraId="5276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1870" w:type="dxa"/>
            <w:shd w:val="clear" w:color="auto" w:fill="DBE8F2"/>
            <w:vAlign w:val="center"/>
          </w:tcPr>
          <w:p w14:paraId="1EBEAB44">
            <w:pPr>
              <w:spacing w:after="0" w:line="240" w:lineRule="auto"/>
              <w:ind w:firstLine="0"/>
              <w:rPr>
                <w:rFonts w:ascii="Cambria" w:hAnsi="Cambria"/>
              </w:rPr>
            </w:pPr>
            <w:r>
              <w:rPr>
                <w:rFonts w:ascii="Cambria" w:hAnsi="Cambria"/>
                <w:b/>
                <w:color w:val="1C2839"/>
                <w:sz w:val="17"/>
              </w:rPr>
              <w:t>Барлығы</w:t>
            </w:r>
          </w:p>
        </w:tc>
        <w:tc>
          <w:tcPr>
            <w:tcW w:w="1305" w:type="dxa"/>
            <w:shd w:val="clear" w:color="auto" w:fill="DBE8F2"/>
            <w:vAlign w:val="center"/>
          </w:tcPr>
          <w:p w14:paraId="13BD1B02">
            <w:pPr>
              <w:spacing w:after="0" w:line="240" w:lineRule="auto"/>
              <w:ind w:firstLine="0"/>
              <w:jc w:val="center"/>
              <w:rPr>
                <w:rFonts w:ascii="Cambria" w:hAnsi="Cambria"/>
              </w:rPr>
            </w:pPr>
            <w:r>
              <w:rPr>
                <w:rFonts w:ascii="Cambria" w:hAnsi="Cambria"/>
                <w:b/>
                <w:color w:val="1C2839"/>
                <w:sz w:val="17"/>
              </w:rPr>
              <w:t>200</w:t>
            </w:r>
          </w:p>
        </w:tc>
        <w:tc>
          <w:tcPr>
            <w:tcW w:w="1644" w:type="dxa"/>
            <w:shd w:val="clear" w:color="auto" w:fill="DBE8F2"/>
            <w:vAlign w:val="center"/>
          </w:tcPr>
          <w:p w14:paraId="58C1E442">
            <w:pPr>
              <w:spacing w:after="0" w:line="240" w:lineRule="auto"/>
              <w:ind w:firstLine="0"/>
              <w:jc w:val="center"/>
              <w:rPr>
                <w:rFonts w:ascii="Cambria" w:hAnsi="Cambria"/>
              </w:rPr>
            </w:pPr>
            <w:r>
              <w:rPr>
                <w:rFonts w:ascii="Cambria" w:hAnsi="Cambria"/>
                <w:b/>
                <w:color w:val="1C2839"/>
                <w:sz w:val="17"/>
              </w:rPr>
              <w:t>7</w:t>
            </w:r>
          </w:p>
        </w:tc>
        <w:tc>
          <w:tcPr>
            <w:tcW w:w="2098" w:type="dxa"/>
            <w:shd w:val="clear" w:color="auto" w:fill="DBE8F2"/>
            <w:vAlign w:val="center"/>
          </w:tcPr>
          <w:p w14:paraId="215E8B39">
            <w:pPr>
              <w:spacing w:after="0" w:line="240" w:lineRule="auto"/>
              <w:ind w:firstLine="0"/>
              <w:jc w:val="center"/>
              <w:rPr>
                <w:rFonts w:ascii="Cambria" w:hAnsi="Cambria"/>
              </w:rPr>
            </w:pPr>
            <w:r>
              <w:rPr>
                <w:rFonts w:ascii="Cambria" w:hAnsi="Cambria"/>
                <w:b/>
                <w:color w:val="1C2839"/>
                <w:sz w:val="17"/>
              </w:rPr>
              <w:t>840</w:t>
            </w:r>
          </w:p>
        </w:tc>
        <w:tc>
          <w:tcPr>
            <w:tcW w:w="2098" w:type="dxa"/>
            <w:shd w:val="clear" w:color="auto" w:fill="DBE8F2"/>
            <w:vAlign w:val="center"/>
          </w:tcPr>
          <w:p w14:paraId="430FDBFA">
            <w:pPr>
              <w:spacing w:after="0" w:line="240" w:lineRule="auto"/>
              <w:ind w:firstLine="0"/>
              <w:jc w:val="center"/>
              <w:rPr>
                <w:rFonts w:ascii="Cambria" w:hAnsi="Cambria"/>
              </w:rPr>
            </w:pPr>
            <w:r>
              <w:rPr>
                <w:rFonts w:ascii="Cambria" w:hAnsi="Cambria"/>
                <w:b/>
                <w:color w:val="1C2839"/>
                <w:sz w:val="17"/>
              </w:rPr>
              <w:t>605</w:t>
            </w:r>
          </w:p>
        </w:tc>
      </w:tr>
    </w:tbl>
    <w:p w14:paraId="37F8CAD7">
      <w:pPr>
        <w:spacing w:line="240" w:lineRule="auto"/>
        <w:rPr>
          <w:rFonts w:ascii="Cambria" w:hAnsi="Cambria"/>
          <w:lang w:val="ru-RU"/>
        </w:rPr>
      </w:pPr>
      <w:r>
        <w:rPr>
          <w:rFonts w:ascii="Cambria" w:hAnsi="Cambria"/>
          <w:lang w:val="ru-RU"/>
        </w:rPr>
        <w:t>Операциялық шығындардың қабылданған шартты құрылымы шеңберінде қуат толық жүктелген кезде еңбекақы төлеудің және жұмыс берушілердің ілеспе шығыстарының жиынтық жылдық қоры шамамен 3,60 млрд теңгені құрайды. Оны 605 тұрақты жұмыс орнына бөлгенде, бір жұмыс орнына шаққандағы жұмыс берушінің жиынтық шығыны айына шамамен 496 мың теңгеге тең болады. Бұл көрсеткіш қолға алатын орташа жалақыны білдірмейді, өйткені оның құрамына жұмыс берушінің шартты ілеспе шығыстары да енгізілген. Нақты еңбекақы төлеу шарттары мамандыққа, ауысымдылыққа, біліктілікке, еңбек өнімділігіне және нақты инвесторлардың талаптарына байланысты болады.</w:t>
      </w:r>
    </w:p>
    <w:p w14:paraId="42FC0810">
      <w:pPr>
        <w:pStyle w:val="3"/>
        <w:spacing w:line="240" w:lineRule="auto"/>
        <w:rPr>
          <w:rFonts w:ascii="Cambria" w:hAnsi="Cambria"/>
          <w:lang w:val="ru-RU"/>
        </w:rPr>
      </w:pPr>
      <w:bookmarkStart w:id="25" w:name="__RefHeading___Toc9532_2617525462"/>
      <w:bookmarkEnd w:id="25"/>
      <w:r>
        <w:rPr>
          <w:rFonts w:ascii="Cambria" w:hAnsi="Cambria"/>
          <w:lang w:val="ru-RU"/>
        </w:rPr>
        <w:t>5.7. Білікті еңбек ресурстарымен қамтамасыз етілу</w:t>
      </w:r>
    </w:p>
    <w:p w14:paraId="59CE3164">
      <w:pPr>
        <w:spacing w:line="240" w:lineRule="auto"/>
        <w:rPr>
          <w:rFonts w:ascii="Cambria" w:hAnsi="Cambria"/>
          <w:lang w:val="ru-RU"/>
        </w:rPr>
      </w:pPr>
      <w:r>
        <w:rPr>
          <w:rFonts w:ascii="Cambria" w:hAnsi="Cambria"/>
          <w:lang w:val="ru-RU"/>
        </w:rPr>
        <w:t>Өндірістердің технологиялық құрылымы өндірістік мамандықтар бойынша персоналға, инженерлік-техникалық мамандарға және әкімшілік-қамтамасыз ету қызметтерінің жұмыскерлеріне қажеттілік туғызады. Бетон қоспаларын дайындау, арматуралау, қалыптау, жылумен өңдеу, сапаны бақылау, темірбетон өнімдерін жинақтау және тиеу үшін персоналдың ең көп саны қажет болады. Құрғақ құрылыс қоспалары мен фиброцемент панельдерінің желілері автоматтандыру деңгейін жоғарылатуға бағдарланады, бұл операторлық және инженерлік құзыреттерге қойылатын талаптарды арттырады.</w:t>
      </w:r>
    </w:p>
    <w:p w14:paraId="5649B287">
      <w:pPr>
        <w:pStyle w:val="75"/>
        <w:keepNext/>
        <w:spacing w:line="240" w:lineRule="auto"/>
        <w:rPr>
          <w:rFonts w:ascii="Cambria" w:hAnsi="Cambria"/>
          <w:lang w:val="ru-RU"/>
        </w:rPr>
      </w:pPr>
      <w:r>
        <w:rPr>
          <w:rFonts w:ascii="Cambria" w:hAnsi="Cambria"/>
          <w:lang w:val="ru-RU"/>
        </w:rPr>
        <w:t>5.9-кесте – Жұмыспен қамтудың есептік біліктілік-функционалдық құрылымы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2789"/>
        <w:gridCol w:w="909"/>
        <w:gridCol w:w="5791"/>
      </w:tblGrid>
      <w:tr w14:paraId="04C5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0" w:type="auto"/>
            <w:shd w:val="clear" w:color="auto" w:fill="23486F"/>
            <w:vAlign w:val="center"/>
          </w:tcPr>
          <w:p w14:paraId="6452BFC7">
            <w:pPr>
              <w:spacing w:after="0" w:line="240" w:lineRule="auto"/>
              <w:ind w:firstLine="0"/>
              <w:jc w:val="center"/>
              <w:rPr>
                <w:rFonts w:ascii="Cambria" w:hAnsi="Cambria"/>
              </w:rPr>
            </w:pPr>
            <w:r>
              <w:rPr>
                <w:rFonts w:ascii="Cambria" w:hAnsi="Cambria"/>
                <w:b/>
                <w:color w:val="FFFFFF"/>
                <w:sz w:val="17"/>
              </w:rPr>
              <w:t>Персонал санаты</w:t>
            </w:r>
          </w:p>
        </w:tc>
        <w:tc>
          <w:tcPr>
            <w:tcW w:w="0" w:type="auto"/>
            <w:shd w:val="clear" w:color="auto" w:fill="23486F"/>
            <w:vAlign w:val="center"/>
          </w:tcPr>
          <w:p w14:paraId="55943438">
            <w:pPr>
              <w:spacing w:after="0" w:line="240" w:lineRule="auto"/>
              <w:ind w:firstLine="0"/>
              <w:jc w:val="center"/>
              <w:rPr>
                <w:rFonts w:ascii="Cambria" w:hAnsi="Cambria"/>
              </w:rPr>
            </w:pPr>
            <w:r>
              <w:rPr>
                <w:rFonts w:ascii="Cambria" w:hAnsi="Cambria"/>
                <w:b/>
                <w:color w:val="FFFFFF"/>
                <w:sz w:val="17"/>
              </w:rPr>
              <w:t>Саны, адам</w:t>
            </w:r>
          </w:p>
        </w:tc>
        <w:tc>
          <w:tcPr>
            <w:tcW w:w="0" w:type="auto"/>
            <w:shd w:val="clear" w:color="auto" w:fill="23486F"/>
            <w:vAlign w:val="center"/>
          </w:tcPr>
          <w:p w14:paraId="31A43D02">
            <w:pPr>
              <w:spacing w:after="0" w:line="240" w:lineRule="auto"/>
              <w:ind w:firstLine="0"/>
              <w:jc w:val="center"/>
              <w:rPr>
                <w:rFonts w:ascii="Cambria" w:hAnsi="Cambria"/>
              </w:rPr>
            </w:pPr>
            <w:r>
              <w:rPr>
                <w:rFonts w:ascii="Cambria" w:hAnsi="Cambria"/>
                <w:b/>
                <w:color w:val="FFFFFF"/>
                <w:sz w:val="17"/>
              </w:rPr>
              <w:t>Құзыреттердің мысалдары</w:t>
            </w:r>
          </w:p>
        </w:tc>
      </w:tr>
      <w:tr w14:paraId="455D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1F792BA3">
            <w:pPr>
              <w:spacing w:after="0" w:line="240" w:lineRule="auto"/>
              <w:ind w:firstLine="0"/>
              <w:jc w:val="left"/>
              <w:rPr>
                <w:rFonts w:ascii="Cambria" w:hAnsi="Cambria"/>
                <w:lang w:val="ru-RU"/>
              </w:rPr>
            </w:pPr>
            <w:r>
              <w:rPr>
                <w:rFonts w:ascii="Cambria" w:hAnsi="Cambria"/>
                <w:color w:val="1C2839"/>
                <w:sz w:val="17"/>
                <w:lang w:val="ru-RU"/>
              </w:rPr>
              <w:t>Негізгі және қосалқы өндірістің жұмысшылары</w:t>
            </w:r>
          </w:p>
        </w:tc>
        <w:tc>
          <w:tcPr>
            <w:tcW w:w="0" w:type="auto"/>
            <w:vAlign w:val="center"/>
          </w:tcPr>
          <w:p w14:paraId="068BC71D">
            <w:pPr>
              <w:spacing w:after="0" w:line="240" w:lineRule="auto"/>
              <w:ind w:firstLine="0"/>
              <w:jc w:val="center"/>
              <w:rPr>
                <w:rFonts w:ascii="Cambria" w:hAnsi="Cambria"/>
              </w:rPr>
            </w:pPr>
            <w:r>
              <w:rPr>
                <w:rFonts w:ascii="Cambria" w:hAnsi="Cambria"/>
                <w:color w:val="1C2839"/>
                <w:sz w:val="17"/>
              </w:rPr>
              <w:t>400</w:t>
            </w:r>
          </w:p>
        </w:tc>
        <w:tc>
          <w:tcPr>
            <w:tcW w:w="0" w:type="auto"/>
            <w:vAlign w:val="center"/>
          </w:tcPr>
          <w:p w14:paraId="3B624E2C">
            <w:pPr>
              <w:spacing w:after="0" w:line="240" w:lineRule="auto"/>
              <w:ind w:firstLine="0"/>
              <w:jc w:val="left"/>
              <w:rPr>
                <w:rFonts w:ascii="Cambria" w:hAnsi="Cambria"/>
                <w:lang w:val="ru-RU"/>
              </w:rPr>
            </w:pPr>
            <w:r>
              <w:rPr>
                <w:rFonts w:ascii="Cambria" w:hAnsi="Cambria"/>
                <w:color w:val="1C2839"/>
                <w:sz w:val="17"/>
                <w:lang w:val="ru-RU"/>
              </w:rPr>
              <w:t>Жабдық операторлары, арматурашылар, қалыптаушылар, механизм машинистері, қойма және тиеу жұмыскерлері</w:t>
            </w:r>
          </w:p>
        </w:tc>
      </w:tr>
      <w:tr w14:paraId="1733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F0F5F9"/>
            <w:vAlign w:val="center"/>
          </w:tcPr>
          <w:p w14:paraId="36104622">
            <w:pPr>
              <w:spacing w:after="0" w:line="240" w:lineRule="auto"/>
              <w:ind w:firstLine="0"/>
              <w:jc w:val="left"/>
              <w:rPr>
                <w:rFonts w:ascii="Cambria" w:hAnsi="Cambria"/>
              </w:rPr>
            </w:pPr>
            <w:r>
              <w:rPr>
                <w:rFonts w:ascii="Cambria" w:hAnsi="Cambria"/>
                <w:color w:val="1C2839"/>
                <w:sz w:val="17"/>
              </w:rPr>
              <w:t>Инженерлік-техникалық персонал</w:t>
            </w:r>
          </w:p>
        </w:tc>
        <w:tc>
          <w:tcPr>
            <w:tcW w:w="0" w:type="auto"/>
            <w:shd w:val="clear" w:color="auto" w:fill="F0F5F9"/>
            <w:vAlign w:val="center"/>
          </w:tcPr>
          <w:p w14:paraId="295F4EBC">
            <w:pPr>
              <w:spacing w:after="0" w:line="240" w:lineRule="auto"/>
              <w:ind w:firstLine="0"/>
              <w:jc w:val="center"/>
              <w:rPr>
                <w:rFonts w:ascii="Cambria" w:hAnsi="Cambria"/>
              </w:rPr>
            </w:pPr>
            <w:r>
              <w:rPr>
                <w:rFonts w:ascii="Cambria" w:hAnsi="Cambria"/>
                <w:color w:val="1C2839"/>
                <w:sz w:val="17"/>
              </w:rPr>
              <w:t>125</w:t>
            </w:r>
          </w:p>
        </w:tc>
        <w:tc>
          <w:tcPr>
            <w:tcW w:w="0" w:type="auto"/>
            <w:shd w:val="clear" w:color="auto" w:fill="F0F5F9"/>
            <w:vAlign w:val="center"/>
          </w:tcPr>
          <w:p w14:paraId="485C479B">
            <w:pPr>
              <w:spacing w:after="0" w:line="240" w:lineRule="auto"/>
              <w:ind w:firstLine="0"/>
              <w:jc w:val="left"/>
              <w:rPr>
                <w:rFonts w:ascii="Cambria" w:hAnsi="Cambria"/>
                <w:lang w:val="ru-RU"/>
              </w:rPr>
            </w:pPr>
            <w:r>
              <w:rPr>
                <w:rFonts w:ascii="Cambria" w:hAnsi="Cambria"/>
                <w:color w:val="1C2839"/>
                <w:sz w:val="17"/>
                <w:lang w:val="ru-RU"/>
              </w:rPr>
              <w:t>Технологтар, инженерлер, электриктер, механиктер, сапаны бақылау және өнеркәсіптік қауіпсіздік мамандары</w:t>
            </w:r>
          </w:p>
        </w:tc>
      </w:tr>
      <w:tr w14:paraId="33DD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3C1E6550">
            <w:pPr>
              <w:spacing w:after="0" w:line="240" w:lineRule="auto"/>
              <w:ind w:firstLine="0"/>
              <w:jc w:val="left"/>
              <w:rPr>
                <w:rFonts w:ascii="Cambria" w:hAnsi="Cambria"/>
              </w:rPr>
            </w:pPr>
            <w:r>
              <w:rPr>
                <w:rFonts w:ascii="Cambria" w:hAnsi="Cambria"/>
                <w:color w:val="1C2839"/>
                <w:sz w:val="17"/>
              </w:rPr>
              <w:t>Әкімшілік және қамтамасыз ету персоналы</w:t>
            </w:r>
          </w:p>
        </w:tc>
        <w:tc>
          <w:tcPr>
            <w:tcW w:w="0" w:type="auto"/>
            <w:vAlign w:val="center"/>
          </w:tcPr>
          <w:p w14:paraId="752188B9">
            <w:pPr>
              <w:spacing w:after="0" w:line="240" w:lineRule="auto"/>
              <w:ind w:firstLine="0"/>
              <w:jc w:val="center"/>
              <w:rPr>
                <w:rFonts w:ascii="Cambria" w:hAnsi="Cambria"/>
              </w:rPr>
            </w:pPr>
            <w:r>
              <w:rPr>
                <w:rFonts w:ascii="Cambria" w:hAnsi="Cambria"/>
                <w:color w:val="1C2839"/>
                <w:sz w:val="17"/>
              </w:rPr>
              <w:t>80</w:t>
            </w:r>
          </w:p>
        </w:tc>
        <w:tc>
          <w:tcPr>
            <w:tcW w:w="0" w:type="auto"/>
            <w:vAlign w:val="center"/>
          </w:tcPr>
          <w:p w14:paraId="2287192B">
            <w:pPr>
              <w:spacing w:after="0" w:line="240" w:lineRule="auto"/>
              <w:ind w:firstLine="0"/>
              <w:jc w:val="left"/>
              <w:rPr>
                <w:rFonts w:ascii="Cambria" w:hAnsi="Cambria"/>
                <w:lang w:val="ru-RU"/>
              </w:rPr>
            </w:pPr>
            <w:r>
              <w:rPr>
                <w:rFonts w:ascii="Cambria" w:hAnsi="Cambria"/>
                <w:color w:val="1C2839"/>
                <w:sz w:val="17"/>
                <w:lang w:val="ru-RU"/>
              </w:rPr>
              <w:t>Өндірісті басқару, жабдықтау, сату, бухгалтерия, жоспарлау, құжат айналымы</w:t>
            </w:r>
          </w:p>
        </w:tc>
      </w:tr>
      <w:tr w14:paraId="5A0D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DBE8F2"/>
            <w:vAlign w:val="center"/>
          </w:tcPr>
          <w:p w14:paraId="4DB0AD36">
            <w:pPr>
              <w:spacing w:after="0" w:line="240" w:lineRule="auto"/>
              <w:ind w:firstLine="0"/>
              <w:jc w:val="left"/>
              <w:rPr>
                <w:rFonts w:ascii="Cambria" w:hAnsi="Cambria"/>
              </w:rPr>
            </w:pPr>
            <w:r>
              <w:rPr>
                <w:rFonts w:ascii="Cambria" w:hAnsi="Cambria"/>
                <w:b/>
                <w:color w:val="1C2839"/>
                <w:sz w:val="17"/>
              </w:rPr>
              <w:t>Барлығы</w:t>
            </w:r>
          </w:p>
        </w:tc>
        <w:tc>
          <w:tcPr>
            <w:tcW w:w="0" w:type="auto"/>
            <w:shd w:val="clear" w:color="auto" w:fill="DBE8F2"/>
            <w:vAlign w:val="center"/>
          </w:tcPr>
          <w:p w14:paraId="0DF1DE3E">
            <w:pPr>
              <w:spacing w:after="0" w:line="240" w:lineRule="auto"/>
              <w:ind w:firstLine="0"/>
              <w:jc w:val="center"/>
              <w:rPr>
                <w:rFonts w:ascii="Cambria" w:hAnsi="Cambria"/>
              </w:rPr>
            </w:pPr>
            <w:r>
              <w:rPr>
                <w:rFonts w:ascii="Cambria" w:hAnsi="Cambria"/>
                <w:b/>
                <w:color w:val="1C2839"/>
                <w:sz w:val="17"/>
              </w:rPr>
              <w:t>605</w:t>
            </w:r>
          </w:p>
        </w:tc>
        <w:tc>
          <w:tcPr>
            <w:tcW w:w="0" w:type="auto"/>
            <w:shd w:val="clear" w:color="auto" w:fill="DBE8F2"/>
            <w:vAlign w:val="center"/>
          </w:tcPr>
          <w:p w14:paraId="12E79A09">
            <w:pPr>
              <w:spacing w:after="0" w:line="240" w:lineRule="auto"/>
              <w:ind w:firstLine="0"/>
              <w:jc w:val="left"/>
              <w:rPr>
                <w:rFonts w:ascii="Cambria" w:hAnsi="Cambria"/>
                <w:lang w:val="ru-RU"/>
              </w:rPr>
            </w:pPr>
            <w:r>
              <w:rPr>
                <w:rFonts w:ascii="Cambria" w:hAnsi="Cambria"/>
                <w:b/>
                <w:color w:val="1C2839"/>
                <w:sz w:val="17"/>
                <w:lang w:val="ru-RU"/>
              </w:rPr>
              <w:t>Алдын ала бөлініс; резиденттер штат кестесін әзірлеген кезде түзетіледі</w:t>
            </w:r>
          </w:p>
        </w:tc>
      </w:tr>
    </w:tbl>
    <w:p w14:paraId="43334D6A">
      <w:pPr>
        <w:spacing w:line="240" w:lineRule="auto"/>
        <w:rPr>
          <w:rFonts w:ascii="Cambria" w:hAnsi="Cambria"/>
          <w:lang w:val="ru-RU"/>
        </w:rPr>
      </w:pPr>
      <w:r>
        <w:rPr>
          <w:rFonts w:ascii="Cambria" w:hAnsi="Cambria"/>
          <w:lang w:val="ru-RU"/>
        </w:rPr>
        <w:t>Ұйымдастырушылық басымдық ретінде өндірістік талаптар мен үміткерлерді іріктеудің тең шарттарын сақтай отырып, қолжетімді жергілікті кадрларды барынша пайдалану көзделеді.</w:t>
      </w:r>
    </w:p>
    <w:p w14:paraId="222DC4A2">
      <w:pPr>
        <w:spacing w:line="240" w:lineRule="auto"/>
        <w:rPr>
          <w:rFonts w:ascii="Cambria" w:hAnsi="Cambria"/>
          <w:lang w:val="ru-RU"/>
        </w:rPr>
      </w:pPr>
      <w:r>
        <w:rPr>
          <w:rFonts w:ascii="Cambria" w:hAnsi="Cambria"/>
          <w:lang w:val="ru-RU"/>
        </w:rPr>
        <w:t>Жаңа алаң үшін ең тапшы мамандарға құрама темірбетон технологтары, автоматтандырылған желілерді баптаушылар, фиброцемент технологиялары, бұйымдардың беріктігін зертханалық бақылау, тарату электр жабдығына қызмет көрсету және теміржол логистикасы жөніндегі мамандар жатуы мүмкін. Мұндай кадрларға қажеттілікті жабдық жеткізушілерімен және әлеуетті инвесторлармен бірлесіп алдын ала нақтылау, оның ішінде жаңа қуаттар іске қосылғанға дейін жұмыскерлерді ұқсас кәсіпорындарда оқыту мүмкіндігін қарастыру орынды.</w:t>
      </w:r>
    </w:p>
    <w:p w14:paraId="50DD4E9F">
      <w:pPr>
        <w:pStyle w:val="3"/>
        <w:spacing w:line="240" w:lineRule="auto"/>
        <w:rPr>
          <w:rFonts w:ascii="Cambria" w:hAnsi="Cambria"/>
          <w:lang w:val="ru-RU"/>
        </w:rPr>
      </w:pPr>
      <w:bookmarkStart w:id="26" w:name="__RefHeading___Toc9534_2617525462"/>
      <w:bookmarkEnd w:id="26"/>
      <w:r>
        <w:rPr>
          <w:rFonts w:ascii="Cambria" w:hAnsi="Cambria"/>
          <w:lang w:val="ru-RU"/>
        </w:rPr>
        <w:t>5.8. Жұмыскерлерді оқыту және қайта даярлау жөніндегі шаралар</w:t>
      </w:r>
    </w:p>
    <w:p w14:paraId="551E0672">
      <w:pPr>
        <w:spacing w:line="240" w:lineRule="auto"/>
        <w:rPr>
          <w:rFonts w:ascii="Cambria" w:hAnsi="Cambria"/>
          <w:lang w:val="ru-RU"/>
        </w:rPr>
      </w:pPr>
      <w:r>
        <w:rPr>
          <w:rFonts w:ascii="Cambria" w:hAnsi="Cambria"/>
          <w:lang w:val="ru-RU"/>
        </w:rPr>
        <w:t>ИА-ны кадрлармен қамтамасыз ету кәсіпорындарды жобалау және салу кезеңдерімен қатар қалыптастырылуға тиіс, өйткені монтаждау аяқталғаннан кейін технологиялық персоналды даярлау өндірістік қуаттарды іске қосуды баяулатуы мүмкін. Жергілікті үміткерлерді іріктеуді, жұмыс істеп тұрған кәсіпорындар жұмыскерлерінің біліктілігін арттыруды, техникалық мамандарды нысаналы даярлауды, өндірістік тағылымдаманы және өнеркәсіптік, экологиялық әрі өрт қауіпсіздігі талаптары бойынша нұсқама беруді біріктіретін кезеңдік оқыту бағдарламасын қарастыру орынды.</w:t>
      </w:r>
    </w:p>
    <w:p w14:paraId="7BEA37B3">
      <w:pPr>
        <w:spacing w:line="240" w:lineRule="auto"/>
        <w:rPr>
          <w:rFonts w:ascii="Cambria" w:hAnsi="Cambria"/>
          <w:lang w:val="ru-RU"/>
        </w:rPr>
      </w:pPr>
      <w:r>
        <w:rPr>
          <w:rFonts w:ascii="Cambria" w:hAnsi="Cambria"/>
          <w:lang w:val="ru-RU"/>
        </w:rPr>
        <w:t>Ақтөбе облысының жұмыс істеп тұрған техникалық және кәсіптік білім беру ұйымдарымен, еңбек мобильділігі орталықтарымен және технологиялық жабдық жеткізушілерімен кооперация маңызды рөл атқаруы мүмкін. Нақты білім беру ұйымдары, оқу топтарының саны және бағдарламаларды қаржыландыру көздері айқындалмаған; олар инвесторлар мен өндірістерді іске қосу кестелері расталғаннан кейін келісуге тиіс. Кәсіпорындарда оқыту мен кіріспе нұсқама заңнамада көзделген кәсіптік даярлықты, аттестаттауды және жұмысқа жіберудің міндетті түрлерін алмастырмайды.</w:t>
      </w:r>
    </w:p>
    <w:p w14:paraId="6367CAA2">
      <w:pPr>
        <w:pStyle w:val="75"/>
        <w:keepNext/>
        <w:spacing w:line="240" w:lineRule="auto"/>
        <w:rPr>
          <w:rFonts w:ascii="Cambria" w:hAnsi="Cambria"/>
          <w:lang w:val="ru-RU"/>
        </w:rPr>
      </w:pPr>
      <w:r>
        <w:rPr>
          <w:rFonts w:ascii="Cambria" w:hAnsi="Cambria"/>
          <w:lang w:val="ru-RU"/>
        </w:rPr>
        <w:t>5.10-кесте – ИА іске асырылатын кезеңде кадрлар даярлаудың ұсынылатын бағыттары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6" w:type="dxa"/>
          <w:left w:w="95" w:type="dxa"/>
          <w:bottom w:w="86" w:type="dxa"/>
          <w:right w:w="95" w:type="dxa"/>
        </w:tblCellMar>
      </w:tblPr>
      <w:tblGrid>
        <w:gridCol w:w="1455"/>
        <w:gridCol w:w="4782"/>
        <w:gridCol w:w="3252"/>
      </w:tblGrid>
      <w:tr w14:paraId="3E11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tblHeader/>
          <w:jc w:val="center"/>
        </w:trPr>
        <w:tc>
          <w:tcPr>
            <w:tcW w:w="0" w:type="auto"/>
            <w:shd w:val="clear" w:color="auto" w:fill="23486F"/>
            <w:vAlign w:val="center"/>
          </w:tcPr>
          <w:p w14:paraId="1FD58564">
            <w:pPr>
              <w:spacing w:after="0" w:line="240" w:lineRule="auto"/>
              <w:ind w:firstLine="0"/>
              <w:jc w:val="center"/>
              <w:rPr>
                <w:rFonts w:ascii="Cambria" w:hAnsi="Cambria"/>
              </w:rPr>
            </w:pPr>
            <w:r>
              <w:rPr>
                <w:rFonts w:ascii="Cambria" w:hAnsi="Cambria"/>
                <w:b/>
                <w:color w:val="FFFFFF"/>
                <w:sz w:val="17"/>
              </w:rPr>
              <w:t>Кезең</w:t>
            </w:r>
          </w:p>
        </w:tc>
        <w:tc>
          <w:tcPr>
            <w:tcW w:w="0" w:type="auto"/>
            <w:shd w:val="clear" w:color="auto" w:fill="23486F"/>
            <w:vAlign w:val="center"/>
          </w:tcPr>
          <w:p w14:paraId="5D6B0D51">
            <w:pPr>
              <w:spacing w:after="0" w:line="240" w:lineRule="auto"/>
              <w:ind w:firstLine="0"/>
              <w:jc w:val="center"/>
              <w:rPr>
                <w:rFonts w:ascii="Cambria" w:hAnsi="Cambria"/>
              </w:rPr>
            </w:pPr>
            <w:r>
              <w:rPr>
                <w:rFonts w:ascii="Cambria" w:hAnsi="Cambria"/>
                <w:b/>
                <w:color w:val="FFFFFF"/>
                <w:sz w:val="17"/>
              </w:rPr>
              <w:t>Даярлау бағыты</w:t>
            </w:r>
          </w:p>
        </w:tc>
        <w:tc>
          <w:tcPr>
            <w:tcW w:w="0" w:type="auto"/>
            <w:shd w:val="clear" w:color="auto" w:fill="23486F"/>
            <w:vAlign w:val="center"/>
          </w:tcPr>
          <w:p w14:paraId="6EEABAE8">
            <w:pPr>
              <w:spacing w:after="0" w:line="240" w:lineRule="auto"/>
              <w:ind w:firstLine="0"/>
              <w:jc w:val="center"/>
              <w:rPr>
                <w:rFonts w:ascii="Cambria" w:hAnsi="Cambria"/>
              </w:rPr>
            </w:pPr>
            <w:r>
              <w:rPr>
                <w:rFonts w:ascii="Cambria" w:hAnsi="Cambria"/>
                <w:b/>
                <w:color w:val="FFFFFF"/>
                <w:sz w:val="17"/>
              </w:rPr>
              <w:t>Болжанатын нәтиже</w:t>
            </w:r>
          </w:p>
        </w:tc>
      </w:tr>
      <w:tr w14:paraId="197C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3A77817C">
            <w:pPr>
              <w:spacing w:after="0" w:line="240" w:lineRule="auto"/>
              <w:ind w:firstLine="0"/>
              <w:jc w:val="left"/>
              <w:rPr>
                <w:rFonts w:ascii="Cambria" w:hAnsi="Cambria"/>
              </w:rPr>
            </w:pPr>
            <w:r>
              <w:rPr>
                <w:rFonts w:ascii="Cambria" w:hAnsi="Cambria"/>
                <w:color w:val="1C2839"/>
                <w:sz w:val="17"/>
              </w:rPr>
              <w:t>Жобалау алдындағы кезең</w:t>
            </w:r>
          </w:p>
        </w:tc>
        <w:tc>
          <w:tcPr>
            <w:tcW w:w="0" w:type="auto"/>
            <w:vAlign w:val="center"/>
          </w:tcPr>
          <w:p w14:paraId="15AF5781">
            <w:pPr>
              <w:spacing w:after="0" w:line="240" w:lineRule="auto"/>
              <w:ind w:firstLine="0"/>
              <w:jc w:val="left"/>
              <w:rPr>
                <w:rFonts w:ascii="Cambria" w:hAnsi="Cambria"/>
                <w:lang w:val="ru-RU"/>
              </w:rPr>
            </w:pPr>
            <w:r>
              <w:rPr>
                <w:rFonts w:ascii="Cambria" w:hAnsi="Cambria"/>
                <w:color w:val="1C2839"/>
                <w:sz w:val="17"/>
                <w:lang w:val="ru-RU"/>
              </w:rPr>
              <w:t>Жергілікті кадр әлеуетін талдау, мамандықтар мен ауысым кестелері бойынша қажеттілікті айқындау.</w:t>
            </w:r>
          </w:p>
        </w:tc>
        <w:tc>
          <w:tcPr>
            <w:tcW w:w="0" w:type="auto"/>
            <w:vAlign w:val="center"/>
          </w:tcPr>
          <w:p w14:paraId="02BCA118">
            <w:pPr>
              <w:spacing w:after="0" w:line="240" w:lineRule="auto"/>
              <w:ind w:firstLine="0"/>
              <w:jc w:val="left"/>
              <w:rPr>
                <w:rFonts w:ascii="Cambria" w:hAnsi="Cambria"/>
                <w:lang w:val="ru-RU"/>
              </w:rPr>
            </w:pPr>
            <w:r>
              <w:rPr>
                <w:rFonts w:ascii="Cambria" w:hAnsi="Cambria"/>
                <w:color w:val="1C2839"/>
                <w:sz w:val="17"/>
                <w:lang w:val="ru-RU"/>
              </w:rPr>
              <w:t>Резиденттердің кадрларға қажеттілік паспорттары және персоналды қабылдау жоспары.</w:t>
            </w:r>
          </w:p>
        </w:tc>
      </w:tr>
      <w:tr w14:paraId="4C8A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F0F5F9"/>
            <w:vAlign w:val="center"/>
          </w:tcPr>
          <w:p w14:paraId="65309E77">
            <w:pPr>
              <w:spacing w:after="0" w:line="240" w:lineRule="auto"/>
              <w:ind w:firstLine="0"/>
              <w:jc w:val="left"/>
              <w:rPr>
                <w:rFonts w:ascii="Cambria" w:hAnsi="Cambria"/>
              </w:rPr>
            </w:pPr>
            <w:r>
              <w:rPr>
                <w:rFonts w:ascii="Cambria" w:hAnsi="Cambria"/>
                <w:color w:val="1C2839"/>
                <w:sz w:val="17"/>
              </w:rPr>
              <w:t>Құрылыс және жабдықтау</w:t>
            </w:r>
          </w:p>
        </w:tc>
        <w:tc>
          <w:tcPr>
            <w:tcW w:w="0" w:type="auto"/>
            <w:shd w:val="clear" w:color="auto" w:fill="F0F5F9"/>
            <w:vAlign w:val="center"/>
          </w:tcPr>
          <w:p w14:paraId="153C1539">
            <w:pPr>
              <w:spacing w:after="0" w:line="240" w:lineRule="auto"/>
              <w:ind w:firstLine="0"/>
              <w:jc w:val="left"/>
              <w:rPr>
                <w:rFonts w:ascii="Cambria" w:hAnsi="Cambria"/>
                <w:lang w:val="ru-RU"/>
              </w:rPr>
            </w:pPr>
            <w:r>
              <w:rPr>
                <w:rFonts w:ascii="Cambria" w:hAnsi="Cambria"/>
                <w:color w:val="1C2839"/>
                <w:sz w:val="17"/>
                <w:lang w:val="ru-RU"/>
              </w:rPr>
              <w:t>Жабдық жеткізушілерінің қатысуымен өндірістік желілердің болашақ операторларын, электриктерді, механиктер мен зертханашыларды даярлау.</w:t>
            </w:r>
          </w:p>
        </w:tc>
        <w:tc>
          <w:tcPr>
            <w:tcW w:w="0" w:type="auto"/>
            <w:shd w:val="clear" w:color="auto" w:fill="F0F5F9"/>
            <w:vAlign w:val="center"/>
          </w:tcPr>
          <w:p w14:paraId="3D06E4F4">
            <w:pPr>
              <w:spacing w:after="0" w:line="240" w:lineRule="auto"/>
              <w:ind w:firstLine="0"/>
              <w:jc w:val="left"/>
              <w:rPr>
                <w:rFonts w:ascii="Cambria" w:hAnsi="Cambria"/>
                <w:lang w:val="ru-RU"/>
              </w:rPr>
            </w:pPr>
            <w:r>
              <w:rPr>
                <w:rFonts w:ascii="Cambria" w:hAnsi="Cambria"/>
                <w:color w:val="1C2839"/>
                <w:sz w:val="17"/>
                <w:lang w:val="ru-RU"/>
              </w:rPr>
              <w:t>Іске қосу-баптау аяқталғанға дейін негізгі кадрлық құрамды қалыптастыру.</w:t>
            </w:r>
          </w:p>
        </w:tc>
      </w:tr>
      <w:tr w14:paraId="5056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vAlign w:val="center"/>
          </w:tcPr>
          <w:p w14:paraId="6D3E555B">
            <w:pPr>
              <w:spacing w:after="0" w:line="240" w:lineRule="auto"/>
              <w:ind w:firstLine="0"/>
              <w:jc w:val="left"/>
              <w:rPr>
                <w:rFonts w:ascii="Cambria" w:hAnsi="Cambria"/>
              </w:rPr>
            </w:pPr>
            <w:r>
              <w:rPr>
                <w:rFonts w:ascii="Cambria" w:hAnsi="Cambria"/>
                <w:color w:val="1C2839"/>
                <w:sz w:val="17"/>
              </w:rPr>
              <w:t>Іске қосу-баптау</w:t>
            </w:r>
          </w:p>
        </w:tc>
        <w:tc>
          <w:tcPr>
            <w:tcW w:w="0" w:type="auto"/>
            <w:vAlign w:val="center"/>
          </w:tcPr>
          <w:p w14:paraId="0B5D6F22">
            <w:pPr>
              <w:spacing w:after="0" w:line="240" w:lineRule="auto"/>
              <w:ind w:firstLine="0"/>
              <w:jc w:val="left"/>
              <w:rPr>
                <w:rFonts w:ascii="Cambria" w:hAnsi="Cambria"/>
                <w:lang w:val="ru-RU"/>
              </w:rPr>
            </w:pPr>
            <w:r>
              <w:rPr>
                <w:rFonts w:ascii="Cambria" w:hAnsi="Cambria"/>
                <w:color w:val="1C2839"/>
                <w:sz w:val="17"/>
                <w:lang w:val="ru-RU"/>
              </w:rPr>
              <w:t>Технологиялық карталар, жұмыс қауіпсіздігі және шығарылатын өнім сапасын бақылау бойынша практикалық оқыту.</w:t>
            </w:r>
          </w:p>
        </w:tc>
        <w:tc>
          <w:tcPr>
            <w:tcW w:w="0" w:type="auto"/>
            <w:vAlign w:val="center"/>
          </w:tcPr>
          <w:p w14:paraId="1A7D348F">
            <w:pPr>
              <w:spacing w:after="0" w:line="240" w:lineRule="auto"/>
              <w:ind w:firstLine="0"/>
              <w:jc w:val="left"/>
              <w:rPr>
                <w:rFonts w:ascii="Cambria" w:hAnsi="Cambria"/>
                <w:lang w:val="ru-RU"/>
              </w:rPr>
            </w:pPr>
            <w:r>
              <w:rPr>
                <w:rFonts w:ascii="Cambria" w:hAnsi="Cambria"/>
                <w:color w:val="1C2839"/>
                <w:sz w:val="17"/>
                <w:lang w:val="ru-RU"/>
              </w:rPr>
              <w:t>Жұмыскерлердің тәлімгерлер жетекшілігімен операцияларды орындауға дайындығы.</w:t>
            </w:r>
          </w:p>
        </w:tc>
      </w:tr>
      <w:tr w14:paraId="11C4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6" w:type="dxa"/>
            <w:left w:w="95" w:type="dxa"/>
            <w:bottom w:w="86" w:type="dxa"/>
            <w:right w:w="95" w:type="dxa"/>
          </w:tblCellMar>
        </w:tblPrEx>
        <w:trPr>
          <w:cantSplit/>
          <w:jc w:val="center"/>
        </w:trPr>
        <w:tc>
          <w:tcPr>
            <w:tcW w:w="0" w:type="auto"/>
            <w:shd w:val="clear" w:color="auto" w:fill="F0F5F9"/>
            <w:vAlign w:val="center"/>
          </w:tcPr>
          <w:p w14:paraId="11C4399F">
            <w:pPr>
              <w:spacing w:after="0" w:line="240" w:lineRule="auto"/>
              <w:ind w:firstLine="0"/>
              <w:jc w:val="left"/>
              <w:rPr>
                <w:rFonts w:ascii="Cambria" w:hAnsi="Cambria"/>
              </w:rPr>
            </w:pPr>
            <w:r>
              <w:rPr>
                <w:rFonts w:ascii="Cambria" w:hAnsi="Cambria"/>
                <w:color w:val="1C2839"/>
                <w:sz w:val="17"/>
              </w:rPr>
              <w:t>Пайдалану</w:t>
            </w:r>
          </w:p>
        </w:tc>
        <w:tc>
          <w:tcPr>
            <w:tcW w:w="0" w:type="auto"/>
            <w:shd w:val="clear" w:color="auto" w:fill="F0F5F9"/>
            <w:vAlign w:val="center"/>
          </w:tcPr>
          <w:p w14:paraId="2FE3508B">
            <w:pPr>
              <w:spacing w:after="0" w:line="240" w:lineRule="auto"/>
              <w:ind w:firstLine="0"/>
              <w:jc w:val="left"/>
              <w:rPr>
                <w:rFonts w:ascii="Cambria" w:hAnsi="Cambria"/>
                <w:lang w:val="ru-RU"/>
              </w:rPr>
            </w:pPr>
            <w:r>
              <w:rPr>
                <w:rFonts w:ascii="Cambria" w:hAnsi="Cambria"/>
                <w:color w:val="1C2839"/>
                <w:sz w:val="17"/>
                <w:lang w:val="ru-RU"/>
              </w:rPr>
              <w:t>Біліктілікті арттыру, бұйымдардың жаңа түрлерін меңгеру, үнемді өндіріс пен ресурстарды үнемдеу бойынша оқыту.</w:t>
            </w:r>
          </w:p>
        </w:tc>
        <w:tc>
          <w:tcPr>
            <w:tcW w:w="0" w:type="auto"/>
            <w:shd w:val="clear" w:color="auto" w:fill="F0F5F9"/>
            <w:vAlign w:val="center"/>
          </w:tcPr>
          <w:p w14:paraId="3E95BEC9">
            <w:pPr>
              <w:spacing w:after="0" w:line="240" w:lineRule="auto"/>
              <w:ind w:firstLine="0"/>
              <w:jc w:val="left"/>
              <w:rPr>
                <w:rFonts w:ascii="Cambria" w:hAnsi="Cambria"/>
                <w:lang w:val="ru-RU"/>
              </w:rPr>
            </w:pPr>
            <w:r>
              <w:rPr>
                <w:rFonts w:ascii="Cambria" w:hAnsi="Cambria"/>
                <w:color w:val="1C2839"/>
                <w:sz w:val="17"/>
                <w:lang w:val="ru-RU"/>
              </w:rPr>
              <w:t>Сапаны сақтау, еңбек өнімділігін арттыру және технологиялық шығындарды азайту.</w:t>
            </w:r>
          </w:p>
        </w:tc>
      </w:tr>
    </w:tbl>
    <w:p w14:paraId="4CBCF7BE">
      <w:pPr>
        <w:spacing w:line="240" w:lineRule="auto"/>
        <w:rPr>
          <w:rFonts w:ascii="Cambria" w:hAnsi="Cambria"/>
          <w:lang w:val="ru-RU"/>
        </w:rPr>
      </w:pPr>
      <w:r>
        <w:rPr>
          <w:rFonts w:ascii="Cambria" w:hAnsi="Cambria"/>
          <w:lang w:val="ru-RU"/>
        </w:rPr>
        <w:t>Оқыту кәсіпорындардың өз қаражаты, кадрлар даярлаудың қолданыстағы тетіктері және тиісті бағдарламалардың шарттары сақталған жағдайда өзге заңды көздер есебінен қаржыландырылуы мүмкін.</w:t>
      </w:r>
    </w:p>
    <w:p w14:paraId="08790480">
      <w:pPr>
        <w:spacing w:line="240" w:lineRule="auto"/>
        <w:rPr>
          <w:rFonts w:ascii="Cambria" w:hAnsi="Cambria"/>
          <w:lang w:val="ru-RU"/>
        </w:rPr>
      </w:pPr>
      <w:r>
        <w:rPr>
          <w:rFonts w:ascii="Cambria" w:hAnsi="Cambria"/>
          <w:lang w:val="ru-RU"/>
        </w:rPr>
        <w:t>Осылайша, ИА-ның болжанатын әлеуметтік-экономикалық салдары жиынтық көлемі шамамен 50,7 млрд теңге болатын инвестиция тартумен, оның ішінде өндірістік жобаларға 38,7 млрд теңге салумен, 605-ке дейін тұрақты жұмыс орнын құрумен және барлық резиденттер жобалық қуатқа шыққан кезде есептік жылдық түсімі 41,05 млрд теңгеге дейін жететін цемент қосылған дайын құрылыс материалдарын өндіруді дамытумен байланысты.</w:t>
      </w:r>
    </w:p>
    <w:p w14:paraId="3EBA0747">
      <w:pPr>
        <w:pStyle w:val="2"/>
        <w:spacing w:before="0" w:line="240" w:lineRule="auto"/>
        <w:rPr>
          <w:rFonts w:ascii="Cambria" w:hAnsi="Cambria"/>
          <w:lang w:val="ru-RU"/>
        </w:rPr>
      </w:pPr>
      <w:bookmarkStart w:id="27" w:name="__RefHeading___Toc9536_2617525462"/>
      <w:bookmarkEnd w:id="27"/>
    </w:p>
    <w:p w14:paraId="4042FF92">
      <w:pPr>
        <w:pStyle w:val="2"/>
        <w:pageBreakBefore/>
        <w:spacing w:before="0" w:line="240" w:lineRule="auto"/>
        <w:rPr>
          <w:rFonts w:ascii="Cambria" w:hAnsi="Cambria"/>
          <w:lang w:val="ru-RU"/>
        </w:rPr>
      </w:pPr>
      <w:r>
        <w:rPr>
          <w:rFonts w:ascii="Cambria" w:hAnsi="Cambria"/>
          <w:lang w:val="ru-RU"/>
        </w:rPr>
        <w:t>6. ИНДУСТРИЯЛЫҚ АЙМАҚТЫҢ ОРНАЛАСУ СХЕМАСЫ</w:t>
      </w:r>
    </w:p>
    <w:p w14:paraId="3C9865D3">
      <w:pPr>
        <w:spacing w:line="240" w:lineRule="auto"/>
        <w:rPr>
          <w:rFonts w:ascii="Cambria" w:hAnsi="Cambria"/>
          <w:lang w:val="ru-RU"/>
        </w:rPr>
      </w:pPr>
      <w:r>
        <w:rPr>
          <w:rFonts w:ascii="Cambria" w:hAnsi="Cambria"/>
          <w:lang w:val="ru-RU"/>
        </w:rPr>
        <w:t>Өңірлік маңызы бар индустриялық аймақ құру жөніндегі аумақтық шешім «QazCement Industries» ЖШС салып жатқан цемент зауытына тікелей жақын орналасқан, жалпы шамамен 200 га болатын екі бөлек өндірістік алаң қалыптастыруды көздейді. Алаңдарды цемент зауытының екі жағында орналастыру өндірістік объектілерді кеңістікте кіріктіруге мүмкіндік береді және өңдеу өнеркәсібін, соның ішінде цементті негізгі шикізат ретінде пайдаланатын өндірістерді дамытуға бағдарланған бірыңғай өнеркәсіптік торап қалыптастыруға алғышарт жасайды. Мұндай орналасу цемент зауыты жобасын іске асыру шеңберінде құрылатын инженерлік және көлік инфрақұрылымын бірлесіп пайдалану мүмкіндігін де қарастыруға мүмкіндік береді. Бұл күрделі шығындарды оңтайландыруға және индустриялық аймақты инфрақұрылыммен қамтамасыз ету тиімділігін арттыруға ықпал етуі мүмкін.</w:t>
      </w:r>
    </w:p>
    <w:p w14:paraId="2C40E52E">
      <w:pPr>
        <w:spacing w:line="240" w:lineRule="auto"/>
        <w:ind w:firstLine="0"/>
        <w:rPr>
          <w:rFonts w:ascii="Cambria" w:hAnsi="Cambria"/>
          <w:lang w:val="ru-RU"/>
        </w:rPr>
      </w:pPr>
      <w:r>
        <w:drawing>
          <wp:inline distT="0" distB="0" distL="114300" distR="114300">
            <wp:extent cx="5906770" cy="3133725"/>
            <wp:effectExtent l="0" t="0" r="17780" b="95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a:blip r:embed="rId15"/>
                    <a:stretch>
                      <a:fillRect/>
                    </a:stretch>
                  </pic:blipFill>
                  <pic:spPr>
                    <a:xfrm>
                      <a:off x="0" y="0"/>
                      <a:ext cx="5906770" cy="3133725"/>
                    </a:xfrm>
                    <a:prstGeom prst="rect">
                      <a:avLst/>
                    </a:prstGeom>
                  </pic:spPr>
                </pic:pic>
              </a:graphicData>
            </a:graphic>
          </wp:inline>
        </w:drawing>
      </w:r>
    </w:p>
    <w:p w14:paraId="3D87224C">
      <w:pPr>
        <w:spacing w:line="240" w:lineRule="auto"/>
        <w:rPr>
          <w:rFonts w:ascii="Cambria" w:hAnsi="Cambria"/>
          <w:lang w:val="ru-RU"/>
        </w:rPr>
      </w:pPr>
      <w:r>
        <w:rPr>
          <w:rFonts w:ascii="Cambria" w:hAnsi="Cambria"/>
          <w:lang w:val="ru-RU"/>
        </w:rPr>
        <w:t>Осы бөлімде жоспарланып отырған индустриялық аймақтың әкімшілік-аумақтық орналасуы, жер учаскелерінің бастапқы жер-құқықтық сипаттамалары және функционалдық бөлінісі айқындалады. ИА аумағын ұйымдастыру қолданыстағы және жобаланатын өнеркәсіптік әрі көлік инфрақұрылымы объектілерінің орналасуын, кадастрлық мәліметтерді және өндірістік алаңдардың болжанған салалық бағытын ескере отырып қалыптастырылды. Қазіргі кезеңде жер учаскелерінің шекаралары мен аудандары алдын ала белгіленген және жерге орналастыру жұмыстары, бұрылу нүктелерінің координаттарын анықтау және аумақтың түпкілікті конфигурациясын келісу нәтижелері бойынша нақтылануға тиіс. Индустриялық аймақты орналастырудың ұсынылған схемасы өнеркәсіптік тораптың жоспарланып отырған кеңістіктік құрылымын көрсетеді және жерді жоспарлау мен инфрақұрылым шешімдерін кейіннен егжей-тегжейлі әзірлеуге негіз болады.</w:t>
      </w:r>
    </w:p>
    <w:p w14:paraId="11981F86">
      <w:pPr>
        <w:pStyle w:val="3"/>
        <w:spacing w:line="240" w:lineRule="auto"/>
        <w:rPr>
          <w:rFonts w:ascii="Cambria" w:hAnsi="Cambria"/>
          <w:lang w:val="ru-RU"/>
        </w:rPr>
      </w:pPr>
      <w:bookmarkStart w:id="28" w:name="__RefHeading___Toc9538_2617525462"/>
      <w:bookmarkEnd w:id="28"/>
      <w:r>
        <w:rPr>
          <w:rFonts w:ascii="Cambria" w:hAnsi="Cambria"/>
          <w:lang w:val="ru-RU"/>
        </w:rPr>
        <w:t>6.1. Географиялық және әкімшілік-аумақтық орналасуы</w:t>
      </w:r>
    </w:p>
    <w:p w14:paraId="3D0A93C8">
      <w:pPr>
        <w:spacing w:line="240" w:lineRule="auto"/>
        <w:rPr>
          <w:rFonts w:ascii="Cambria" w:hAnsi="Cambria"/>
          <w:lang w:val="ru-RU"/>
        </w:rPr>
      </w:pPr>
      <w:r>
        <w:rPr>
          <w:rFonts w:ascii="Cambria" w:hAnsi="Cambria"/>
          <w:lang w:val="ru-RU"/>
        </w:rPr>
        <w:t>Өңірлік маңызы бар жоспарланған индустриялық аймақ Ақтөбе облысы Байғанин ауданының Қолтабан ауылдық округі аумағында, «QazCement Industries» ЖШС салып жатқан цемент зауытына тікелей жақын орналасады. Орналасу орнын таңдау өңдеу өндірістерін, оның ішінде құрылыс материалдарын өндіретін сабақтас кәсіпорындарды дамытуға алғышарт қалыптастыратын ірі өнеркәсіптік жобаның болуына, сондай-ақ құрылып жатқан инженерлік және көлік инфрақұрылымын пайдалану перспективасына негізделген.</w:t>
      </w:r>
    </w:p>
    <w:p w14:paraId="59D43FB7">
      <w:pPr>
        <w:spacing w:line="240" w:lineRule="auto"/>
        <w:rPr>
          <w:rFonts w:ascii="Cambria" w:hAnsi="Cambria"/>
          <w:lang w:val="ru-RU"/>
        </w:rPr>
      </w:pPr>
      <w:r>
        <w:rPr>
          <w:rFonts w:ascii="Cambria" w:hAnsi="Cambria"/>
          <w:lang w:val="ru-RU"/>
        </w:rPr>
        <w:t>«QazCement Industries» ЖШС цемент зауыты қалыптастырылып жатқан өнеркәсіптік тораптың сыртқы якорлық кәсіпорны ретінде қарастырылады. Ауданы шамамен 70 га болатын оның өндірістік аумағы индустриялық аймақ құрамына кірмейді және дербес өнеркәсіптік объект болып табылады. Сонымен бірге цемент өндірісінің болуы цементті қосылған құны жоғары құрылыс материалдары мен бұйымдарына кезең-кезеңімен өңдеуге негізделген өндірістік кооперацияны зауыт маңында қалыптастыруға алғышарт жасайды.</w:t>
      </w:r>
    </w:p>
    <w:p w14:paraId="3E9D2F8A">
      <w:pPr>
        <w:spacing w:line="240" w:lineRule="auto"/>
        <w:rPr>
          <w:rFonts w:ascii="Cambria" w:hAnsi="Cambria"/>
          <w:lang w:val="ru-RU"/>
        </w:rPr>
      </w:pPr>
      <w:r>
        <w:rPr>
          <w:rFonts w:ascii="Cambria" w:hAnsi="Cambria"/>
          <w:lang w:val="ru-RU"/>
        </w:rPr>
        <w:t>ИА-ның аумақтық ұйымдастырылуы цемент зауытының екі жағында ауданы 122 және 78 га болатын екі бөлек өндірістік алаң орналастыруды көздейді. Құрылатын индустриялық аймақтың жалпы ауданы 200 га болады; аумақ өңдеу өнеркәсібі жобаларына, негізінен құрылыс индустриясын дамытуға арналған. Мұндай кеңістіктік шешім әлеуетті резидент кәсіпорындарды негізгі шикізат көзіне тікелей жақын орналастыруға, өндірістік логистиканы ұтымды ұйымдастыруға және бірін-бірі толықтыратын екі өндірістік учаске қалыптастыруға мүмкіндік береді.</w:t>
      </w:r>
    </w:p>
    <w:p w14:paraId="2F3595BA">
      <w:pPr>
        <w:spacing w:line="240" w:lineRule="auto"/>
        <w:rPr>
          <w:rFonts w:ascii="Cambria" w:hAnsi="Cambria"/>
          <w:lang w:val="ru-RU"/>
        </w:rPr>
      </w:pPr>
      <w:r>
        <w:rPr>
          <w:rFonts w:ascii="Cambria" w:hAnsi="Cambria"/>
          <w:lang w:val="ru-RU"/>
        </w:rPr>
        <w:t>Аумақтың көлік жағдайы республикалық маңызы бар Атырау – Ақтөбе автомобиль жолы мен теміржол инфрақұрылымына жақын орналасуымен сипатталады. Цемент зауыты жобасын іске асыру шеңберінде кірме автомобиль жолын, теміржол жолдарын және инженерлік коммуникацияларды дамыту көзделеді. Бұл объектілер индустриялық аймақты болашақта инфрақұрылыммен қамтамасыз етуге және өткізу сыртқы нарықтарымен көлік байланысын ұйымдастыруға негіз болады.</w:t>
      </w:r>
    </w:p>
    <w:p w14:paraId="35BDDD2F">
      <w:pPr>
        <w:spacing w:line="240" w:lineRule="auto"/>
        <w:rPr>
          <w:rFonts w:ascii="Cambria" w:hAnsi="Cambria"/>
          <w:lang w:val="ru-RU"/>
        </w:rPr>
      </w:pPr>
      <w:r>
        <w:rPr>
          <w:rFonts w:ascii="Cambria" w:hAnsi="Cambria"/>
          <w:lang w:val="ru-RU"/>
        </w:rPr>
        <w:t>Цемент зауытына тікелей жақын орналасу цементті кластер ішіндегі тасымалдау қашықтығын барынша азайта отырып, ИА кәсіпорындарына тұрақты жеткізуді ұйымдастыруға әлеуетті мүмкіндік береді. Бұл темірбетон конструкциялары, құрғақ құрылыс қоспалары, фиброцемент бұйымдары және басқа цементті көп қажет ететін өнімдер өндірісі үшін елеулі мәнге ие, өйткені олардың өзіндік құнында шикізатты сатып алу мен жеткізу шығындарының үлесі жоғары. Бұл ретте аумақтық жақындықтың экономикалық әсері цемент жеткізудің нақты шарттарына, өндірістік кооперацияға және көлік ағындарын ұйымдастыруға байланысты болады.</w:t>
      </w:r>
    </w:p>
    <w:p w14:paraId="4FDB1B08">
      <w:pPr>
        <w:spacing w:line="240" w:lineRule="auto"/>
        <w:rPr>
          <w:rFonts w:ascii="Cambria" w:hAnsi="Cambria"/>
          <w:lang w:val="ru-RU"/>
        </w:rPr>
      </w:pPr>
      <w:r>
        <w:rPr>
          <w:rFonts w:ascii="Cambria" w:hAnsi="Cambria"/>
          <w:lang w:val="ru-RU"/>
        </w:rPr>
        <w:t>Аумақтың ірі қалалық агломерациялардан шалғай орналасуын ескере отырып, ИА әлеуетті жобаларының тізбесі негізінен зауытта дайындалатын, сақтауға, тауар партияларын жинақтауға және кейін ауданаралық әрі өңіраралық нарықтарға тасымалдауға болатын өнім шығаруға бағдарланған. Инфрақұрылымдық және тұрғын үй құрылысына арналған құрама темірбетон конструкцияларын, құрғақ құрылыс қоспаларын, фиброцемент панельдері мен бетон бұйымдарының жекелеген түрлерін өндіруге басымдық беріледі. Бұл өндірістерді дамыту шикізат көзіне жақындықтың артықшылықтарын пайдалана отырып, дайын өнімді кеңірек аумақта өткізуге бағдарлануға мүмкіндік береді.</w:t>
      </w:r>
    </w:p>
    <w:p w14:paraId="23A8DC46">
      <w:pPr>
        <w:spacing w:line="240" w:lineRule="auto"/>
        <w:rPr>
          <w:rFonts w:ascii="Cambria" w:hAnsi="Cambria"/>
          <w:lang w:val="ru-RU"/>
        </w:rPr>
      </w:pPr>
      <w:r>
        <w:rPr>
          <w:rFonts w:ascii="Cambria" w:hAnsi="Cambria"/>
          <w:lang w:val="ru-RU"/>
        </w:rPr>
        <w:t>Темірбетон бұйымдарының жекелеген түрлерінің салмағы мен габариттерінің үлкен болуына байланысты ИА жұмысы үшін теміржол қатынасын ұйымдастыру ерекше маңызды. Цемент зауытының теміржол инфрақұрылымын пайдалану вагондарды беру және әкету, жүк партияларын жинақтау және дайын өнімді жөнелтуді ұйымдастыру сияқты ортақ логистикалық шешімдерді қарастыруға мүмкіндік береді. Сонымен бірге автомобиль қатынасы шикізатты, жабдықты, персоналды және автомобильмен жеткізу экономикалық тұрғыдан тиімді өнімді тасымалдауды қамтамасыз етеді.</w:t>
      </w:r>
    </w:p>
    <w:p w14:paraId="20171F28">
      <w:pPr>
        <w:spacing w:line="240" w:lineRule="auto"/>
        <w:rPr>
          <w:rFonts w:ascii="Cambria" w:hAnsi="Cambria"/>
          <w:lang w:val="ru-RU"/>
        </w:rPr>
      </w:pPr>
      <w:r>
        <w:rPr>
          <w:rFonts w:ascii="Cambria" w:hAnsi="Cambria"/>
          <w:lang w:val="ru-RU"/>
        </w:rPr>
        <w:t>Индустриялық аймақты инженерлік ресурстармен қамтамасыз ету негізінен цемент зауыты құрылысы аясында құрылып жатқан инфрақұрылымға қосылу арқылы ұйымдастырылады деп болжанады. Алдын ала жоспарлау мақсатында ИА-ның электр қуатына жиынтық қажеттілігі 10 МВт деңгейінде, әр өндірістік алаңға 5 МВт-тан қабылданды. Тиісті қуат резерві болған және қосылудың техникалық шарттары келісілген жағдайда кәсіпорындарды қосалқы тұтынушылар ретінде қосу мүмкіндігі көзделеді. Сумен жабдықтау және өзге инженерлік коммуникациялар бойынша да олардың нақты өткізу қабілеті мен пайдалану талаптарын ескере отырып, осындай тәсіл қолданылады.</w:t>
      </w:r>
    </w:p>
    <w:p w14:paraId="3212FE13">
      <w:pPr>
        <w:spacing w:line="240" w:lineRule="auto"/>
        <w:rPr>
          <w:rFonts w:ascii="Cambria" w:hAnsi="Cambria"/>
          <w:lang w:val="ru-RU"/>
        </w:rPr>
      </w:pPr>
      <w:r>
        <w:rPr>
          <w:rFonts w:ascii="Cambria" w:hAnsi="Cambria"/>
          <w:lang w:val="ru-RU"/>
        </w:rPr>
        <w:t>Екі алаң аумақтық тұрғыдан бөлек болғанымен, оларды дамыту өңдеу өнеркәсібіне ортақ салалық бағыты, инфрақұрылыммен қамтамасыз етуге, көлік қатынасын ұйымдастыруға және басқаруға келісілген тәсілдері бар бірыңғай индустриялық аймақ шеңберінде көзделеді. Өндірістік учаскелердің цемент зауытына кеңістіктік жақын орналасуы шикізат, өндіріс және логистика ағындары өзара байланысты бірыңғай өнеркәсіптік торап қалыптастыруға мүмкіндік береді.</w:t>
      </w:r>
    </w:p>
    <w:p w14:paraId="1CDD05D0">
      <w:pPr>
        <w:spacing w:line="240" w:lineRule="auto"/>
        <w:rPr>
          <w:rFonts w:ascii="Cambria" w:hAnsi="Cambria"/>
          <w:lang w:val="ru-RU"/>
        </w:rPr>
      </w:pPr>
      <w:r>
        <w:rPr>
          <w:rFonts w:ascii="Cambria" w:hAnsi="Cambria"/>
          <w:lang w:val="ru-RU"/>
        </w:rPr>
        <w:t>Осылайша, Ақтөбе облысы Байғанин ауданындағы «Байғанин» индустриялық аймағын орналастыру орнын таңдау үш негізгі фактордың үйлесімімен айқындалады: ірі цемент өндірісіне тікелей жақындық, құрылып жатқан инженерлік және көлік инфрақұрылымына қосылу мүмкіндігі және өңіраралық нарықтарға бағдарланған өңдеу өндірістерін, соның ішінде құрылыс материалдары өндірісін дамыту перспективасы.</w:t>
      </w:r>
    </w:p>
    <w:p w14:paraId="6634B1D6">
      <w:pPr>
        <w:pStyle w:val="3"/>
        <w:spacing w:line="240" w:lineRule="auto"/>
        <w:rPr>
          <w:rFonts w:ascii="Cambria" w:hAnsi="Cambria"/>
          <w:lang w:val="ru-RU"/>
        </w:rPr>
      </w:pPr>
      <w:bookmarkStart w:id="29" w:name="__RefHeading___Toc9540_2617525462"/>
      <w:bookmarkEnd w:id="29"/>
      <w:r>
        <w:rPr>
          <w:rFonts w:ascii="Cambria" w:hAnsi="Cambria"/>
          <w:lang w:val="ru-RU"/>
        </w:rPr>
        <w:t>6.2. Жер учаскелерінің сипаттамасы</w:t>
      </w:r>
    </w:p>
    <w:p w14:paraId="660B236A">
      <w:pPr>
        <w:spacing w:line="240" w:lineRule="auto"/>
        <w:rPr>
          <w:rFonts w:ascii="Cambria" w:hAnsi="Cambria"/>
          <w:lang w:val="ru-RU"/>
        </w:rPr>
      </w:pPr>
      <w:r>
        <w:rPr>
          <w:rFonts w:ascii="Cambria" w:hAnsi="Cambria"/>
          <w:lang w:val="ru-RU"/>
        </w:rPr>
        <w:t>Индустриялық аймақ құрудың жер негізі ретінде «Қосбол» шаруа қожалығы пайдаланатын қолданыстағы жер массивінің бір бөлігі қарастырылады. Кадастрлық нөмірі 02-023-020-238 бастапқы жер учаскесі Ақтөбе облысы Байғанин ауданының Қолтабан ауылдық округінде орналасқан, ауыл шаруашылығы мақсатындағы жерлер санатына жатады және шаруа қожалығын жүргізуге арналған. Учаскеге құқық уақытша өтеулі ұзақ мерзімді жер пайдалану ретінде көрсетілген; ауданы 22 040 000 шаршы метрді немесе 2 204 гектарды құрайды.</w:t>
      </w:r>
    </w:p>
    <w:p w14:paraId="5B3A141A">
      <w:pPr>
        <w:pStyle w:val="75"/>
        <w:keepNext/>
        <w:spacing w:line="240" w:lineRule="auto"/>
        <w:rPr>
          <w:rFonts w:ascii="Cambria" w:hAnsi="Cambria"/>
          <w:lang w:val="ru-RU"/>
        </w:rPr>
      </w:pPr>
      <w:r>
        <w:rPr>
          <w:rFonts w:ascii="Cambria" w:hAnsi="Cambria"/>
          <w:lang w:val="ru-RU"/>
        </w:rPr>
        <w:t>6.1-кесте – ИА орналастыру болжанған аумақтың бастапқы жер-кадастрлық мәліметтері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95" w:type="dxa"/>
          <w:bottom w:w="80" w:type="dxa"/>
          <w:right w:w="95" w:type="dxa"/>
        </w:tblCellMar>
      </w:tblPr>
      <w:tblGrid>
        <w:gridCol w:w="3223"/>
        <w:gridCol w:w="6266"/>
      </w:tblGrid>
      <w:tr w14:paraId="27CC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tblHeader/>
          <w:jc w:val="center"/>
        </w:trPr>
        <w:tc>
          <w:tcPr>
            <w:tcW w:w="0" w:type="auto"/>
            <w:shd w:val="clear" w:color="auto" w:fill="23486F"/>
            <w:vAlign w:val="center"/>
          </w:tcPr>
          <w:p w14:paraId="5E2200A9">
            <w:pPr>
              <w:spacing w:after="0" w:line="240" w:lineRule="auto"/>
              <w:ind w:firstLine="0"/>
              <w:jc w:val="center"/>
              <w:rPr>
                <w:rFonts w:ascii="Cambria" w:hAnsi="Cambria"/>
              </w:rPr>
            </w:pPr>
            <w:r>
              <w:rPr>
                <w:rFonts w:ascii="Cambria" w:hAnsi="Cambria"/>
                <w:b/>
                <w:color w:val="FFFFFF"/>
                <w:sz w:val="17"/>
              </w:rPr>
              <w:t>Көрсеткіш</w:t>
            </w:r>
          </w:p>
        </w:tc>
        <w:tc>
          <w:tcPr>
            <w:tcW w:w="0" w:type="auto"/>
            <w:shd w:val="clear" w:color="auto" w:fill="23486F"/>
            <w:vAlign w:val="center"/>
          </w:tcPr>
          <w:p w14:paraId="59803DB7">
            <w:pPr>
              <w:spacing w:after="0" w:line="240" w:lineRule="auto"/>
              <w:ind w:firstLine="0"/>
              <w:jc w:val="center"/>
              <w:rPr>
                <w:rFonts w:ascii="Cambria" w:hAnsi="Cambria"/>
              </w:rPr>
            </w:pPr>
            <w:r>
              <w:rPr>
                <w:rFonts w:ascii="Cambria" w:hAnsi="Cambria"/>
                <w:b/>
                <w:color w:val="FFFFFF"/>
                <w:sz w:val="17"/>
              </w:rPr>
              <w:t>Мәні / мәртебесі</w:t>
            </w:r>
          </w:p>
        </w:tc>
      </w:tr>
      <w:tr w14:paraId="5BE5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6D245CED">
            <w:pPr>
              <w:spacing w:after="0" w:line="240" w:lineRule="auto"/>
              <w:ind w:firstLine="0"/>
              <w:rPr>
                <w:rFonts w:ascii="Cambria" w:hAnsi="Cambria"/>
              </w:rPr>
            </w:pPr>
            <w:r>
              <w:rPr>
                <w:rFonts w:ascii="Cambria" w:hAnsi="Cambria"/>
                <w:color w:val="1C2839"/>
                <w:sz w:val="17"/>
              </w:rPr>
              <w:t>Бастапқы кадастрлық нөмір</w:t>
            </w:r>
          </w:p>
        </w:tc>
        <w:tc>
          <w:tcPr>
            <w:tcW w:w="0" w:type="auto"/>
            <w:vAlign w:val="center"/>
          </w:tcPr>
          <w:p w14:paraId="270DEA62">
            <w:pPr>
              <w:spacing w:after="0" w:line="240" w:lineRule="auto"/>
              <w:ind w:firstLine="0"/>
              <w:rPr>
                <w:rFonts w:ascii="Cambria" w:hAnsi="Cambria"/>
              </w:rPr>
            </w:pPr>
            <w:r>
              <w:rPr>
                <w:rFonts w:ascii="Cambria" w:hAnsi="Cambria"/>
                <w:color w:val="1C2839"/>
                <w:sz w:val="17"/>
              </w:rPr>
              <w:t>02-023-020-238</w:t>
            </w:r>
          </w:p>
        </w:tc>
      </w:tr>
      <w:tr w14:paraId="7AE2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0CE764F9">
            <w:pPr>
              <w:spacing w:after="0" w:line="240" w:lineRule="auto"/>
              <w:ind w:firstLine="0"/>
              <w:rPr>
                <w:rFonts w:ascii="Cambria" w:hAnsi="Cambria"/>
              </w:rPr>
            </w:pPr>
            <w:r>
              <w:rPr>
                <w:rFonts w:ascii="Cambria" w:hAnsi="Cambria"/>
                <w:color w:val="1C2839"/>
                <w:sz w:val="17"/>
              </w:rPr>
              <w:t>Орналасқан жері</w:t>
            </w:r>
          </w:p>
        </w:tc>
        <w:tc>
          <w:tcPr>
            <w:tcW w:w="0" w:type="auto"/>
            <w:shd w:val="clear" w:color="auto" w:fill="F0F5F9"/>
            <w:vAlign w:val="center"/>
          </w:tcPr>
          <w:p w14:paraId="24195516">
            <w:pPr>
              <w:spacing w:after="0" w:line="240" w:lineRule="auto"/>
              <w:ind w:firstLine="0"/>
              <w:rPr>
                <w:rFonts w:ascii="Cambria" w:hAnsi="Cambria"/>
                <w:lang w:val="ru-RU"/>
              </w:rPr>
            </w:pPr>
            <w:r>
              <w:rPr>
                <w:rFonts w:ascii="Cambria" w:hAnsi="Cambria"/>
                <w:color w:val="1C2839"/>
                <w:sz w:val="17"/>
                <w:lang w:val="ru-RU"/>
              </w:rPr>
              <w:t>Ақтөбе облысы, Байғанин ауданы, Қолтабан ауылдық округі</w:t>
            </w:r>
          </w:p>
        </w:tc>
      </w:tr>
      <w:tr w14:paraId="2CE9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4B8352AE">
            <w:pPr>
              <w:spacing w:after="0" w:line="240" w:lineRule="auto"/>
              <w:ind w:firstLine="0"/>
              <w:rPr>
                <w:rFonts w:ascii="Cambria" w:hAnsi="Cambria"/>
              </w:rPr>
            </w:pPr>
            <w:r>
              <w:rPr>
                <w:rFonts w:ascii="Cambria" w:hAnsi="Cambria"/>
                <w:color w:val="1C2839"/>
                <w:sz w:val="17"/>
              </w:rPr>
              <w:t>Жер пайдаланушы (тапсырыс берушінің мәліметтері бойынша)</w:t>
            </w:r>
          </w:p>
        </w:tc>
        <w:tc>
          <w:tcPr>
            <w:tcW w:w="0" w:type="auto"/>
            <w:vAlign w:val="center"/>
          </w:tcPr>
          <w:p w14:paraId="0807C3A4">
            <w:pPr>
              <w:spacing w:after="0" w:line="240" w:lineRule="auto"/>
              <w:ind w:firstLine="0"/>
              <w:rPr>
                <w:rFonts w:ascii="Cambria" w:hAnsi="Cambria"/>
              </w:rPr>
            </w:pPr>
            <w:r>
              <w:rPr>
                <w:rFonts w:ascii="Cambria" w:hAnsi="Cambria"/>
                <w:color w:val="1C2839"/>
                <w:sz w:val="17"/>
              </w:rPr>
              <w:t>«Қосбол» ШҚ</w:t>
            </w:r>
          </w:p>
        </w:tc>
      </w:tr>
      <w:tr w14:paraId="42F4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07F05CB7">
            <w:pPr>
              <w:spacing w:after="0" w:line="240" w:lineRule="auto"/>
              <w:ind w:firstLine="0"/>
              <w:rPr>
                <w:rFonts w:ascii="Cambria" w:hAnsi="Cambria"/>
              </w:rPr>
            </w:pPr>
            <w:r>
              <w:rPr>
                <w:rFonts w:ascii="Cambria" w:hAnsi="Cambria"/>
                <w:color w:val="1C2839"/>
                <w:sz w:val="17"/>
              </w:rPr>
              <w:t>Жер санаты</w:t>
            </w:r>
          </w:p>
        </w:tc>
        <w:tc>
          <w:tcPr>
            <w:tcW w:w="0" w:type="auto"/>
            <w:shd w:val="clear" w:color="auto" w:fill="F0F5F9"/>
            <w:vAlign w:val="center"/>
          </w:tcPr>
          <w:p w14:paraId="2B2198EC">
            <w:pPr>
              <w:spacing w:after="0" w:line="240" w:lineRule="auto"/>
              <w:ind w:firstLine="0"/>
              <w:rPr>
                <w:rFonts w:ascii="Cambria" w:hAnsi="Cambria"/>
              </w:rPr>
            </w:pPr>
            <w:r>
              <w:rPr>
                <w:rFonts w:ascii="Cambria" w:hAnsi="Cambria"/>
                <w:color w:val="1C2839"/>
                <w:sz w:val="17"/>
              </w:rPr>
              <w:t>Ауыл шаруашылығы мақсатындағы жерлер</w:t>
            </w:r>
          </w:p>
        </w:tc>
      </w:tr>
      <w:tr w14:paraId="41D8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31DFE053">
            <w:pPr>
              <w:spacing w:after="0" w:line="240" w:lineRule="auto"/>
              <w:ind w:firstLine="0"/>
              <w:rPr>
                <w:rFonts w:ascii="Cambria" w:hAnsi="Cambria"/>
              </w:rPr>
            </w:pPr>
            <w:r>
              <w:rPr>
                <w:rFonts w:ascii="Cambria" w:hAnsi="Cambria"/>
                <w:color w:val="1C2839"/>
                <w:sz w:val="17"/>
              </w:rPr>
              <w:t>Нысаналы мақсаты</w:t>
            </w:r>
          </w:p>
        </w:tc>
        <w:tc>
          <w:tcPr>
            <w:tcW w:w="0" w:type="auto"/>
            <w:vAlign w:val="center"/>
          </w:tcPr>
          <w:p w14:paraId="74AD9276">
            <w:pPr>
              <w:spacing w:after="0" w:line="240" w:lineRule="auto"/>
              <w:ind w:firstLine="0"/>
              <w:rPr>
                <w:rFonts w:ascii="Cambria" w:hAnsi="Cambria"/>
              </w:rPr>
            </w:pPr>
            <w:r>
              <w:rPr>
                <w:rFonts w:ascii="Cambria" w:hAnsi="Cambria"/>
                <w:color w:val="1C2839"/>
                <w:sz w:val="17"/>
              </w:rPr>
              <w:t>Шаруа қожалығын жүргізу</w:t>
            </w:r>
          </w:p>
        </w:tc>
      </w:tr>
      <w:tr w14:paraId="2EF9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30D3A9A3">
            <w:pPr>
              <w:spacing w:after="0" w:line="240" w:lineRule="auto"/>
              <w:ind w:firstLine="0"/>
              <w:rPr>
                <w:rFonts w:ascii="Cambria" w:hAnsi="Cambria"/>
              </w:rPr>
            </w:pPr>
            <w:r>
              <w:rPr>
                <w:rFonts w:ascii="Cambria" w:hAnsi="Cambria"/>
                <w:color w:val="1C2839"/>
                <w:sz w:val="17"/>
              </w:rPr>
              <w:t>Құқық түрі</w:t>
            </w:r>
          </w:p>
        </w:tc>
        <w:tc>
          <w:tcPr>
            <w:tcW w:w="0" w:type="auto"/>
            <w:shd w:val="clear" w:color="auto" w:fill="F0F5F9"/>
            <w:vAlign w:val="center"/>
          </w:tcPr>
          <w:p w14:paraId="431F9DE4">
            <w:pPr>
              <w:spacing w:after="0" w:line="240" w:lineRule="auto"/>
              <w:ind w:firstLine="0"/>
              <w:rPr>
                <w:rFonts w:ascii="Cambria" w:hAnsi="Cambria"/>
              </w:rPr>
            </w:pPr>
            <w:r>
              <w:rPr>
                <w:rFonts w:ascii="Cambria" w:hAnsi="Cambria"/>
                <w:color w:val="1C2839"/>
                <w:sz w:val="17"/>
              </w:rPr>
              <w:t>Уақытша өтеулі ұзақ мерзімді жер пайдалану</w:t>
            </w:r>
          </w:p>
        </w:tc>
      </w:tr>
      <w:tr w14:paraId="1F6A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262ECC88">
            <w:pPr>
              <w:spacing w:after="0" w:line="240" w:lineRule="auto"/>
              <w:ind w:firstLine="0"/>
              <w:rPr>
                <w:rFonts w:ascii="Cambria" w:hAnsi="Cambria"/>
              </w:rPr>
            </w:pPr>
            <w:r>
              <w:rPr>
                <w:rFonts w:ascii="Cambria" w:hAnsi="Cambria"/>
                <w:color w:val="1C2839"/>
                <w:sz w:val="17"/>
              </w:rPr>
              <w:t>Бастапқы учаскенің ауданы</w:t>
            </w:r>
          </w:p>
        </w:tc>
        <w:tc>
          <w:tcPr>
            <w:tcW w:w="0" w:type="auto"/>
            <w:vAlign w:val="center"/>
          </w:tcPr>
          <w:p w14:paraId="6C69518C">
            <w:pPr>
              <w:spacing w:after="0" w:line="240" w:lineRule="auto"/>
              <w:ind w:firstLine="0"/>
              <w:rPr>
                <w:rFonts w:ascii="Cambria" w:hAnsi="Cambria"/>
              </w:rPr>
            </w:pPr>
            <w:r>
              <w:rPr>
                <w:rFonts w:ascii="Cambria" w:hAnsi="Cambria"/>
                <w:color w:val="1C2839"/>
                <w:sz w:val="17"/>
              </w:rPr>
              <w:t>2 204,0000 га (22 040 000 шаршы м)</w:t>
            </w:r>
          </w:p>
        </w:tc>
      </w:tr>
      <w:tr w14:paraId="589B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500D20CC">
            <w:pPr>
              <w:spacing w:after="0" w:line="240" w:lineRule="auto"/>
              <w:ind w:firstLine="0"/>
              <w:rPr>
                <w:rFonts w:ascii="Cambria" w:hAnsi="Cambria"/>
                <w:lang w:val="ru-RU"/>
              </w:rPr>
            </w:pPr>
            <w:r>
              <w:rPr>
                <w:rFonts w:ascii="Cambria" w:hAnsi="Cambria"/>
                <w:color w:val="1C2839"/>
                <w:sz w:val="17"/>
                <w:lang w:val="ru-RU"/>
              </w:rPr>
              <w:t>ИА құру үшін жоспарланған аудан</w:t>
            </w:r>
          </w:p>
        </w:tc>
        <w:tc>
          <w:tcPr>
            <w:tcW w:w="0" w:type="auto"/>
            <w:shd w:val="clear" w:color="auto" w:fill="F0F5F9"/>
            <w:vAlign w:val="center"/>
          </w:tcPr>
          <w:p w14:paraId="22B0182A">
            <w:pPr>
              <w:spacing w:after="0" w:line="240" w:lineRule="auto"/>
              <w:ind w:firstLine="0"/>
              <w:rPr>
                <w:rFonts w:ascii="Cambria" w:hAnsi="Cambria"/>
                <w:lang w:val="ru-RU"/>
              </w:rPr>
            </w:pPr>
            <w:r>
              <w:rPr>
                <w:rFonts w:ascii="Cambria" w:hAnsi="Cambria"/>
                <w:color w:val="1C2839"/>
                <w:sz w:val="17"/>
                <w:lang w:val="ru-RU"/>
              </w:rPr>
              <w:t>200,0000 га: № 1 учаске – шамамен 122,0000 га (қабырғалары 1,30; 0,95; 1,10; 1,16 км), № 2 учаске – шамамен 78,0000 га (0,40 × 1,95 км)</w:t>
            </w:r>
          </w:p>
        </w:tc>
      </w:tr>
      <w:tr w14:paraId="3F25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6B02C1D8">
            <w:pPr>
              <w:spacing w:after="0" w:line="240" w:lineRule="auto"/>
              <w:ind w:firstLine="0"/>
              <w:rPr>
                <w:rFonts w:ascii="Cambria" w:hAnsi="Cambria"/>
              </w:rPr>
            </w:pPr>
            <w:r>
              <w:rPr>
                <w:rFonts w:ascii="Cambria" w:hAnsi="Cambria"/>
                <w:color w:val="1C2839"/>
                <w:sz w:val="17"/>
              </w:rPr>
              <w:t>Шамамен қалған аудан</w:t>
            </w:r>
          </w:p>
        </w:tc>
        <w:tc>
          <w:tcPr>
            <w:tcW w:w="0" w:type="auto"/>
            <w:vAlign w:val="center"/>
          </w:tcPr>
          <w:p w14:paraId="63D36065">
            <w:pPr>
              <w:spacing w:after="0" w:line="240" w:lineRule="auto"/>
              <w:ind w:firstLine="0"/>
              <w:rPr>
                <w:rFonts w:ascii="Cambria" w:hAnsi="Cambria"/>
                <w:lang w:val="ru-RU"/>
              </w:rPr>
            </w:pPr>
            <w:r>
              <w:rPr>
                <w:rFonts w:ascii="Cambria" w:hAnsi="Cambria"/>
                <w:color w:val="1C2839"/>
                <w:sz w:val="17"/>
                <w:lang w:val="ru-RU"/>
              </w:rPr>
              <w:t>Дәл 200,0000 га бөлінген жағдайда 2 004,0000 га</w:t>
            </w:r>
          </w:p>
        </w:tc>
      </w:tr>
      <w:tr w14:paraId="38D8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2E66F297">
            <w:pPr>
              <w:spacing w:after="0" w:line="240" w:lineRule="auto"/>
              <w:ind w:firstLine="0"/>
              <w:rPr>
                <w:rFonts w:ascii="Cambria" w:hAnsi="Cambria"/>
                <w:lang w:val="ru-RU"/>
              </w:rPr>
            </w:pPr>
            <w:r>
              <w:rPr>
                <w:rFonts w:ascii="Cambria" w:hAnsi="Cambria"/>
                <w:color w:val="1C2839"/>
                <w:sz w:val="17"/>
                <w:lang w:val="ru-RU"/>
              </w:rPr>
              <w:t>Екі жаңа учаскенің кадастрлық нөмірлері</w:t>
            </w:r>
          </w:p>
        </w:tc>
        <w:tc>
          <w:tcPr>
            <w:tcW w:w="0" w:type="auto"/>
            <w:shd w:val="clear" w:color="auto" w:fill="F0F5F9"/>
            <w:vAlign w:val="center"/>
          </w:tcPr>
          <w:p w14:paraId="3E75660B">
            <w:pPr>
              <w:spacing w:after="0" w:line="240" w:lineRule="auto"/>
              <w:ind w:firstLine="0"/>
              <w:rPr>
                <w:rFonts w:ascii="Cambria" w:hAnsi="Cambria"/>
                <w:lang w:val="ru-RU"/>
              </w:rPr>
            </w:pPr>
            <w:r>
              <w:rPr>
                <w:rFonts w:ascii="Cambria" w:hAnsi="Cambria"/>
                <w:color w:val="1C2839"/>
                <w:sz w:val="17"/>
                <w:lang w:val="ru-RU"/>
              </w:rPr>
              <w:t>Қалыптастырылмаған / ұсынылмаған; жерге орналастырудан кейін айқындалады</w:t>
            </w:r>
          </w:p>
        </w:tc>
      </w:tr>
    </w:tbl>
    <w:p w14:paraId="5736E6BA">
      <w:pPr>
        <w:spacing w:line="240" w:lineRule="auto"/>
        <w:rPr>
          <w:rFonts w:ascii="Cambria" w:hAnsi="Cambria"/>
          <w:lang w:val="ru-RU"/>
        </w:rPr>
      </w:pPr>
      <w:r>
        <w:rPr>
          <w:rFonts w:ascii="Cambria" w:hAnsi="Cambria"/>
          <w:lang w:val="ru-RU"/>
        </w:rPr>
        <w:t>Көрсетілген жер массивінен ауданы 122 га және 78 га болатын, шамамен тиісінше 1,30 × 0,95–1,16 км және 0,40 × 1,95 км габаритті екі дербес учаске бөліп беру ұсынылады. Жалпы 200 га бастапқы аумақтың шамамен 9,07%-ын құрайды. Учаскелер бөлінгеннен кейін жер массивінің қалған есептік ауданы 2 004 га болады. Қалған аумақтың түпкілікті көлемі жерге орналастыру жобасының нәтижелері бойынша айқындалады, өйткені шекаралар нақтыланғанда құрылатын жекелеген учаскелердің конфигурациясы мен ауданы өзгеруі мүмкін.</w:t>
      </w:r>
    </w:p>
    <w:p w14:paraId="703E46A8">
      <w:pPr>
        <w:spacing w:line="240" w:lineRule="auto"/>
        <w:rPr>
          <w:rFonts w:ascii="Cambria" w:hAnsi="Cambria"/>
          <w:lang w:val="ru-RU"/>
        </w:rPr>
      </w:pPr>
      <w:r>
        <w:rPr>
          <w:rFonts w:ascii="Cambria" w:hAnsi="Cambria"/>
          <w:lang w:val="ru-RU"/>
        </w:rPr>
        <w:t>Тұжырымдама әзірленген күнгі жағдай бойынша бастапқы жердің қолданыстағы нысаналы мақсаты өнеркәсіп кәсіпорындарын орналастыруға сәйкес келмейді. Жобаны одан әрі іске асыру үшін бөлінетін бөлікке қатысты қолданыстағы жер пайдаланушының құқықтарын реттеу, ИА құру үшін учаскені берудің жол берілетін құқықтық тетігін растау, заңнамада көзделген тәртіппен санатын және (немесе) нысаналы мақсатын өзгерту жөніндегі қажетті шешімдерді қамтамасыз ету, жаңа жер учаскелерін қалыптастыру, құқық белгілейтін және кадастрлық құжаттарды рәсімдеу қажет.</w:t>
      </w:r>
    </w:p>
    <w:p w14:paraId="0A823992">
      <w:pPr>
        <w:spacing w:line="240" w:lineRule="auto"/>
        <w:rPr>
          <w:rFonts w:ascii="Cambria" w:hAnsi="Cambria"/>
          <w:lang w:val="ru-RU"/>
        </w:rPr>
      </w:pPr>
      <w:r>
        <w:rPr>
          <w:rFonts w:ascii="Cambria" w:hAnsi="Cambria"/>
          <w:lang w:val="ru-RU"/>
        </w:rPr>
        <w:t>Қазіргі уақытта Байғанин ауданының әкімдігі «Қосбол» шаруа қожалығының жер массивінің бір бөлігін мемлекеттік меншікке қайтару немесе оның конфигурациясын өзгертіп, жер пайдаланушыға басқа жерде көлемі ұқсас жер учаскесін беру мүмкіндігін пысықтап жатыр. Бұл мәселе Ақтөбе облысының және Байғанин ауданының әкімдіктерінің ерекше бақылауында. Индустриялық аймақ құру үшін жалпы ауданы 200 га (122 га және 78 га) болатын екі жер учаскесін қалыптастыру көзделеді. Жер мәселесі бойынша түпкілікті шешім Қазақстан Республикасының қолданыстағы заңнамасының талаптарын ескере отырып, жүргізіліп жатқан жұмыстың нәтижелері бойынша қабылданады; одан кейін жер санаты мен нысаналы мақсаты өзгертіліп, жерге орналастыру жұмыстары жүргізіледі және жаңадан қалыптастырылатын учаскелерге құқықтар рәсімделеді. Тиісті рәсімдер аяқталғанға дейін бұл жер параметрлері Тұжырымдаманың алдын ала жоспарлау негізі ретінде қарастырылады.</w:t>
      </w:r>
    </w:p>
    <w:p w14:paraId="770A0068">
      <w:pPr>
        <w:spacing w:line="240" w:lineRule="auto"/>
        <w:rPr>
          <w:rFonts w:ascii="Cambria" w:hAnsi="Cambria"/>
          <w:lang w:val="ru-RU"/>
        </w:rPr>
      </w:pPr>
      <w:r>
        <w:rPr>
          <w:rFonts w:ascii="Cambria" w:hAnsi="Cambria"/>
          <w:lang w:val="ru-RU"/>
        </w:rPr>
        <w:t>Жерге орналастыру кезеңінің негізгі нәтижесі – ауданы 122 га және 78 га болатын, шекаралары геодезиялық тұрғыдан белгіленген, кірме жолдары қалыптастырылған және автомобиль мен теміржолдардың бөлу жолақтарымен, инженерлік дәліздермен, цемент зауыты объектілерімен және пайдаланудың ерекше шарттары бар өзге аумақтармен жол берілмейтін қиылыстары жоқ екені расталған екі алаңды құру. Ықтимал күзет және санитариялық-қорғау аймақтары, жерді пайдалануға, ғимараттар, құрылыстар мен коммуникацияларды орналастыруға қойылатын шектеулер бөлек тексерілуге тиіс.</w:t>
      </w:r>
    </w:p>
    <w:p w14:paraId="093F70E2">
      <w:pPr>
        <w:pStyle w:val="3"/>
        <w:spacing w:line="240" w:lineRule="auto"/>
        <w:rPr>
          <w:rFonts w:ascii="Cambria" w:hAnsi="Cambria"/>
          <w:lang w:val="ru-RU"/>
        </w:rPr>
      </w:pPr>
      <w:bookmarkStart w:id="30" w:name="__RefHeading___Toc9542_2617525462"/>
      <w:bookmarkEnd w:id="30"/>
      <w:r>
        <w:rPr>
          <w:rFonts w:ascii="Cambria" w:hAnsi="Cambria"/>
          <w:lang w:val="ru-RU"/>
        </w:rPr>
        <w:t>6.3. Индустриялық аймақтың аумақтық құрылымы</w:t>
      </w:r>
    </w:p>
    <w:p w14:paraId="61DA4FE3">
      <w:pPr>
        <w:spacing w:line="240" w:lineRule="auto"/>
        <w:rPr>
          <w:rFonts w:ascii="Cambria" w:hAnsi="Cambria"/>
          <w:lang w:val="ru-RU"/>
        </w:rPr>
      </w:pPr>
      <w:r>
        <w:rPr>
          <w:rFonts w:ascii="Cambria" w:hAnsi="Cambria"/>
          <w:lang w:val="ru-RU"/>
        </w:rPr>
        <w:t>ИА-ны функционалдық аймақтарға бөлу ауданы 122 және 78 га болатын аумақтық тұрғыдан бөлінген екі алаңды көздейді. Әр алаңда цементті пайдаланумен технологиялық тұрғыдан байланысты екі бағыттағы әлеуетті инвесторлардың жобалары және өңдеу өнеркәсібінің өзге жобаларына арналған бос жерлер орналастырылады. № 1 алаңда инфрақұрылымдық және тұрғын үй құрылысына арналған ауыр құрама темірбетон конструкцияларын өндіру, ал № 2 алаңда құрғақ құрылыс қоспаларын, фиброцемент материалдары мен жол құрылысы және абаттандыруға арналған бетон бұйымдарын өндіру кәсіпорындарын шоғырландыру көзделеді.</w:t>
      </w:r>
    </w:p>
    <w:p w14:paraId="0F37A3BD">
      <w:pPr>
        <w:spacing w:line="240" w:lineRule="auto"/>
        <w:rPr>
          <w:rFonts w:ascii="Cambria" w:hAnsi="Cambria"/>
          <w:lang w:val="ru-RU"/>
        </w:rPr>
      </w:pPr>
      <w:r>
        <w:rPr>
          <w:rFonts w:ascii="Cambria" w:hAnsi="Cambria"/>
          <w:lang w:val="ru-RU"/>
        </w:rPr>
        <w:t>Шамамен 122 га болатын № 1 алаңға жалпы ауданы 25 га болатын әлеуетті инвесторлардың төрт өндіріс учаскесі және өңдеу өнеркәсібінің басқа жобаларына арналған 97 га бос жер кіреді. Инфрақұрылымдық мақсаттағы ТББ өндіруге 8 га, темірбетон шпалдарға 5 га, электр беру желілерінің тіректеріне 4 га, тұрғын үй құрылысына арналған құрама темірбетон конструкцияларына 8 га бөлінеді. Учаскелер құрамына негізгі технологиялық желілер, арматуралау және қалыптау учаскелері, дайын бұйымдарды күтіп-баптау мен сақтау алаңдары, тиеу аймақтары, ішкі жолдар, инженерлік және қосалқы объектілер кіреді. Ауыр ТББ-ны бір алаңға орналастыру жекелеген кәсіпорындарды бір заңды тұлғаға біріктірмей-ақ жүк операцияларын үйлестіруге және өнеркәсіптік тораптың ортақ инфрақұрылымын пайдалануға алғышарт жасайды.</w:t>
      </w:r>
    </w:p>
    <w:p w14:paraId="2327B87E">
      <w:pPr>
        <w:spacing w:line="240" w:lineRule="auto"/>
        <w:rPr>
          <w:rFonts w:ascii="Cambria" w:hAnsi="Cambria"/>
          <w:lang w:val="ru-RU"/>
        </w:rPr>
      </w:pPr>
      <w:r>
        <w:rPr>
          <w:rFonts w:ascii="Cambria" w:hAnsi="Cambria"/>
          <w:lang w:val="ru-RU"/>
        </w:rPr>
        <w:t>Шамамен 78 га болатын № 2 алаңға әлеуетті инвесторлардың жалпы ауданы 28 га болатын үш өндіріс учаскесі кіреді: құрғақ құрылыс қоспаларына – 9 га, фиброцемент панельдеріне – 11 га және абаттандыру бұйымдарына – 8 га; қалған 50 га өңдеу өнеркәсібінің басқа жобаларына арналған бос жерді құрайды. Бұл өндірістер үшін мамандандырылған корпустар мен технологиялық қондырғылар, цемент пен қоспаларды жергілікті сақтау орындары, өнімді дайындау және қаптау учаскелері, кірме жолдар мен жөнелту алаңдары көзделеді. Технологиялардың айырмашылығы шаң түзілетін процестерді, жүк көлігінің қозғалыс жолдарын және дайын өнімді сақтау аймақтарын ажыратуды талап етеді.</w:t>
      </w:r>
    </w:p>
    <w:p w14:paraId="3597FA38">
      <w:pPr>
        <w:pStyle w:val="75"/>
        <w:keepNext/>
        <w:spacing w:line="240" w:lineRule="auto"/>
        <w:rPr>
          <w:rFonts w:ascii="Cambria" w:hAnsi="Cambria"/>
          <w:lang w:val="ru-RU"/>
        </w:rPr>
      </w:pPr>
      <w:r>
        <w:rPr>
          <w:rFonts w:ascii="Cambria" w:hAnsi="Cambria"/>
          <w:lang w:val="ru-RU"/>
        </w:rPr>
        <w:t>6.2-кесте – ИА аумағының 200 гектарын инвестициялық жобалар бойынша алдын ала бөлу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95" w:type="dxa"/>
          <w:bottom w:w="80" w:type="dxa"/>
          <w:right w:w="95" w:type="dxa"/>
        </w:tblCellMar>
      </w:tblPr>
      <w:tblGrid>
        <w:gridCol w:w="369"/>
        <w:gridCol w:w="4304"/>
        <w:gridCol w:w="2552"/>
        <w:gridCol w:w="2064"/>
      </w:tblGrid>
      <w:tr w14:paraId="0566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tblHeader/>
          <w:jc w:val="center"/>
        </w:trPr>
        <w:tc>
          <w:tcPr>
            <w:tcW w:w="0" w:type="auto"/>
            <w:shd w:val="clear" w:color="auto" w:fill="23486F"/>
            <w:vAlign w:val="center"/>
          </w:tcPr>
          <w:p w14:paraId="22671402">
            <w:pPr>
              <w:spacing w:after="0" w:line="240" w:lineRule="auto"/>
              <w:ind w:firstLine="0"/>
              <w:jc w:val="center"/>
              <w:rPr>
                <w:rFonts w:ascii="Cambria" w:hAnsi="Cambria"/>
              </w:rPr>
            </w:pPr>
            <w:r>
              <w:rPr>
                <w:rFonts w:ascii="Cambria" w:hAnsi="Cambria"/>
                <w:b/>
                <w:color w:val="FFFFFF"/>
                <w:sz w:val="17"/>
              </w:rPr>
              <w:t>№</w:t>
            </w:r>
          </w:p>
        </w:tc>
        <w:tc>
          <w:tcPr>
            <w:tcW w:w="4304" w:type="dxa"/>
            <w:shd w:val="clear" w:color="auto" w:fill="23486F"/>
            <w:vAlign w:val="center"/>
          </w:tcPr>
          <w:p w14:paraId="67774626">
            <w:pPr>
              <w:spacing w:after="0" w:line="240" w:lineRule="auto"/>
              <w:ind w:firstLine="0"/>
              <w:jc w:val="center"/>
              <w:rPr>
                <w:rFonts w:ascii="Cambria" w:hAnsi="Cambria"/>
              </w:rPr>
            </w:pPr>
            <w:r>
              <w:rPr>
                <w:rFonts w:ascii="Cambria" w:hAnsi="Cambria"/>
                <w:b/>
                <w:color w:val="FFFFFF"/>
                <w:sz w:val="17"/>
              </w:rPr>
              <w:t>Алаң және өндірістік жоба</w:t>
            </w:r>
          </w:p>
        </w:tc>
        <w:tc>
          <w:tcPr>
            <w:tcW w:w="2552" w:type="dxa"/>
            <w:shd w:val="clear" w:color="auto" w:fill="23486F"/>
            <w:vAlign w:val="center"/>
          </w:tcPr>
          <w:p w14:paraId="65CB0D33">
            <w:pPr>
              <w:spacing w:after="0" w:line="240" w:lineRule="auto"/>
              <w:ind w:firstLine="0"/>
              <w:jc w:val="center"/>
              <w:rPr>
                <w:rFonts w:ascii="Cambria" w:hAnsi="Cambria"/>
              </w:rPr>
            </w:pPr>
            <w:r>
              <w:rPr>
                <w:rFonts w:ascii="Cambria" w:hAnsi="Cambria"/>
                <w:b/>
                <w:color w:val="FFFFFF"/>
                <w:sz w:val="17"/>
              </w:rPr>
              <w:t>Мамандану бағыты</w:t>
            </w:r>
          </w:p>
        </w:tc>
        <w:tc>
          <w:tcPr>
            <w:tcW w:w="2064" w:type="dxa"/>
            <w:shd w:val="clear" w:color="auto" w:fill="23486F"/>
            <w:vAlign w:val="center"/>
          </w:tcPr>
          <w:p w14:paraId="39C63EDC">
            <w:pPr>
              <w:spacing w:after="0" w:line="240" w:lineRule="auto"/>
              <w:ind w:firstLine="0"/>
              <w:jc w:val="center"/>
              <w:rPr>
                <w:rFonts w:ascii="Cambria" w:hAnsi="Cambria"/>
              </w:rPr>
            </w:pPr>
            <w:r>
              <w:rPr>
                <w:rFonts w:ascii="Cambria" w:hAnsi="Cambria"/>
                <w:b/>
                <w:color w:val="FFFFFF"/>
                <w:sz w:val="17"/>
              </w:rPr>
              <w:t>Ауданы, га</w:t>
            </w:r>
          </w:p>
        </w:tc>
      </w:tr>
      <w:tr w14:paraId="1D1B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41F9C8BF">
            <w:pPr>
              <w:spacing w:after="0" w:line="240" w:lineRule="auto"/>
              <w:ind w:firstLine="0"/>
              <w:rPr>
                <w:rFonts w:ascii="Cambria" w:hAnsi="Cambria"/>
              </w:rPr>
            </w:pPr>
            <w:r>
              <w:rPr>
                <w:rFonts w:ascii="Cambria" w:hAnsi="Cambria"/>
                <w:color w:val="1C2839"/>
                <w:sz w:val="16"/>
              </w:rPr>
              <w:t>1</w:t>
            </w:r>
          </w:p>
        </w:tc>
        <w:tc>
          <w:tcPr>
            <w:tcW w:w="4304" w:type="dxa"/>
            <w:vAlign w:val="center"/>
          </w:tcPr>
          <w:p w14:paraId="269714B7">
            <w:pPr>
              <w:spacing w:after="0" w:line="240" w:lineRule="auto"/>
              <w:ind w:firstLine="0"/>
              <w:jc w:val="left"/>
              <w:rPr>
                <w:rFonts w:ascii="Cambria" w:hAnsi="Cambria"/>
                <w:lang w:val="ru-RU"/>
              </w:rPr>
            </w:pPr>
            <w:r>
              <w:rPr>
                <w:rFonts w:ascii="Cambria" w:hAnsi="Cambria"/>
                <w:color w:val="1C2839"/>
                <w:sz w:val="16"/>
                <w:lang w:val="ru-RU"/>
              </w:rPr>
              <w:t>Жол және инфрақұрылым құрылысына арналған ТББ</w:t>
            </w:r>
          </w:p>
        </w:tc>
        <w:tc>
          <w:tcPr>
            <w:tcW w:w="2552" w:type="dxa"/>
            <w:vAlign w:val="center"/>
          </w:tcPr>
          <w:p w14:paraId="0D027558">
            <w:pPr>
              <w:spacing w:after="0" w:line="240" w:lineRule="auto"/>
              <w:ind w:firstLine="0"/>
              <w:jc w:val="left"/>
              <w:rPr>
                <w:rFonts w:ascii="Cambria" w:hAnsi="Cambria"/>
              </w:rPr>
            </w:pPr>
            <w:r>
              <w:rPr>
                <w:rFonts w:ascii="Cambria" w:hAnsi="Cambria"/>
                <w:color w:val="1C2839"/>
                <w:sz w:val="16"/>
              </w:rPr>
              <w:t>Инфрақұрылымдық ТББ</w:t>
            </w:r>
          </w:p>
        </w:tc>
        <w:tc>
          <w:tcPr>
            <w:tcW w:w="2064" w:type="dxa"/>
            <w:vAlign w:val="center"/>
          </w:tcPr>
          <w:p w14:paraId="325C61AC">
            <w:pPr>
              <w:spacing w:after="0" w:line="240" w:lineRule="auto"/>
              <w:ind w:firstLine="0"/>
              <w:jc w:val="center"/>
              <w:rPr>
                <w:rFonts w:ascii="Cambria" w:hAnsi="Cambria"/>
              </w:rPr>
            </w:pPr>
            <w:r>
              <w:rPr>
                <w:rFonts w:ascii="Cambria" w:hAnsi="Cambria"/>
                <w:color w:val="1C2839"/>
                <w:sz w:val="16"/>
              </w:rPr>
              <w:t>8</w:t>
            </w:r>
          </w:p>
        </w:tc>
      </w:tr>
      <w:tr w14:paraId="65AF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5168466D">
            <w:pPr>
              <w:spacing w:after="0" w:line="240" w:lineRule="auto"/>
              <w:ind w:firstLine="0"/>
              <w:rPr>
                <w:rFonts w:ascii="Cambria" w:hAnsi="Cambria"/>
              </w:rPr>
            </w:pPr>
            <w:r>
              <w:rPr>
                <w:rFonts w:ascii="Cambria" w:hAnsi="Cambria"/>
                <w:color w:val="1C2839"/>
                <w:sz w:val="16"/>
              </w:rPr>
              <w:t>2</w:t>
            </w:r>
          </w:p>
        </w:tc>
        <w:tc>
          <w:tcPr>
            <w:tcW w:w="4304" w:type="dxa"/>
            <w:shd w:val="clear" w:color="auto" w:fill="F0F5F9"/>
            <w:vAlign w:val="center"/>
          </w:tcPr>
          <w:p w14:paraId="2862AA53">
            <w:pPr>
              <w:spacing w:after="0" w:line="240" w:lineRule="auto"/>
              <w:ind w:firstLine="0"/>
              <w:jc w:val="left"/>
              <w:rPr>
                <w:rFonts w:ascii="Cambria" w:hAnsi="Cambria"/>
              </w:rPr>
            </w:pPr>
            <w:r>
              <w:rPr>
                <w:rFonts w:ascii="Cambria" w:hAnsi="Cambria"/>
                <w:color w:val="1C2839"/>
                <w:sz w:val="16"/>
              </w:rPr>
              <w:t>Темірбетон шпалдар өндірісі</w:t>
            </w:r>
          </w:p>
        </w:tc>
        <w:tc>
          <w:tcPr>
            <w:tcW w:w="2552" w:type="dxa"/>
            <w:shd w:val="clear" w:color="auto" w:fill="F0F5F9"/>
            <w:vAlign w:val="center"/>
          </w:tcPr>
          <w:p w14:paraId="6C2D0D1D">
            <w:pPr>
              <w:spacing w:after="0" w:line="240" w:lineRule="auto"/>
              <w:ind w:firstLine="0"/>
              <w:jc w:val="left"/>
              <w:rPr>
                <w:rFonts w:ascii="Cambria" w:hAnsi="Cambria"/>
              </w:rPr>
            </w:pPr>
            <w:r>
              <w:rPr>
                <w:rFonts w:ascii="Cambria" w:hAnsi="Cambria"/>
                <w:color w:val="1C2839"/>
                <w:sz w:val="16"/>
              </w:rPr>
              <w:t>Инфрақұрылымдық ТББ</w:t>
            </w:r>
          </w:p>
        </w:tc>
        <w:tc>
          <w:tcPr>
            <w:tcW w:w="2064" w:type="dxa"/>
            <w:shd w:val="clear" w:color="auto" w:fill="F0F5F9"/>
            <w:vAlign w:val="center"/>
          </w:tcPr>
          <w:p w14:paraId="175CFF02">
            <w:pPr>
              <w:spacing w:after="0" w:line="240" w:lineRule="auto"/>
              <w:ind w:firstLine="0"/>
              <w:jc w:val="center"/>
              <w:rPr>
                <w:rFonts w:ascii="Cambria" w:hAnsi="Cambria"/>
              </w:rPr>
            </w:pPr>
            <w:r>
              <w:rPr>
                <w:rFonts w:ascii="Cambria" w:hAnsi="Cambria"/>
                <w:color w:val="1C2839"/>
                <w:sz w:val="16"/>
              </w:rPr>
              <w:t>5</w:t>
            </w:r>
          </w:p>
        </w:tc>
      </w:tr>
      <w:tr w14:paraId="7BA6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20427A7A">
            <w:pPr>
              <w:spacing w:after="0" w:line="240" w:lineRule="auto"/>
              <w:ind w:firstLine="0"/>
              <w:rPr>
                <w:rFonts w:ascii="Cambria" w:hAnsi="Cambria"/>
              </w:rPr>
            </w:pPr>
            <w:r>
              <w:rPr>
                <w:rFonts w:ascii="Cambria" w:hAnsi="Cambria"/>
                <w:color w:val="1C2839"/>
                <w:sz w:val="16"/>
              </w:rPr>
              <w:t>3</w:t>
            </w:r>
          </w:p>
        </w:tc>
        <w:tc>
          <w:tcPr>
            <w:tcW w:w="4304" w:type="dxa"/>
            <w:vAlign w:val="center"/>
          </w:tcPr>
          <w:p w14:paraId="3161537E">
            <w:pPr>
              <w:spacing w:after="0" w:line="240" w:lineRule="auto"/>
              <w:ind w:firstLine="0"/>
              <w:jc w:val="left"/>
              <w:rPr>
                <w:rFonts w:ascii="Cambria" w:hAnsi="Cambria"/>
              </w:rPr>
            </w:pPr>
            <w:r>
              <w:rPr>
                <w:rFonts w:ascii="Cambria" w:hAnsi="Cambria"/>
                <w:color w:val="1C2839"/>
                <w:sz w:val="16"/>
              </w:rPr>
              <w:t>Электр беру желілерінің темірбетон тіректерін өндіру</w:t>
            </w:r>
          </w:p>
        </w:tc>
        <w:tc>
          <w:tcPr>
            <w:tcW w:w="2552" w:type="dxa"/>
            <w:vAlign w:val="center"/>
          </w:tcPr>
          <w:p w14:paraId="7DCCD2F3">
            <w:pPr>
              <w:spacing w:after="0" w:line="240" w:lineRule="auto"/>
              <w:ind w:firstLine="0"/>
              <w:jc w:val="left"/>
              <w:rPr>
                <w:rFonts w:ascii="Cambria" w:hAnsi="Cambria"/>
              </w:rPr>
            </w:pPr>
            <w:r>
              <w:rPr>
                <w:rFonts w:ascii="Cambria" w:hAnsi="Cambria"/>
                <w:color w:val="1C2839"/>
                <w:sz w:val="16"/>
              </w:rPr>
              <w:t>Инфрақұрылымдық ТББ</w:t>
            </w:r>
          </w:p>
        </w:tc>
        <w:tc>
          <w:tcPr>
            <w:tcW w:w="2064" w:type="dxa"/>
            <w:vAlign w:val="center"/>
          </w:tcPr>
          <w:p w14:paraId="35C5ADBD">
            <w:pPr>
              <w:spacing w:after="0" w:line="240" w:lineRule="auto"/>
              <w:ind w:firstLine="0"/>
              <w:jc w:val="center"/>
              <w:rPr>
                <w:rFonts w:ascii="Cambria" w:hAnsi="Cambria"/>
              </w:rPr>
            </w:pPr>
            <w:r>
              <w:rPr>
                <w:rFonts w:ascii="Cambria" w:hAnsi="Cambria"/>
                <w:color w:val="1C2839"/>
                <w:sz w:val="16"/>
              </w:rPr>
              <w:t>4</w:t>
            </w:r>
          </w:p>
        </w:tc>
      </w:tr>
      <w:tr w14:paraId="59C7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4E54B629">
            <w:pPr>
              <w:spacing w:after="0" w:line="240" w:lineRule="auto"/>
              <w:ind w:firstLine="0"/>
              <w:rPr>
                <w:rFonts w:ascii="Cambria" w:hAnsi="Cambria"/>
              </w:rPr>
            </w:pPr>
            <w:r>
              <w:rPr>
                <w:rFonts w:ascii="Cambria" w:hAnsi="Cambria"/>
                <w:color w:val="1C2839"/>
                <w:sz w:val="16"/>
              </w:rPr>
              <w:t>4</w:t>
            </w:r>
          </w:p>
        </w:tc>
        <w:tc>
          <w:tcPr>
            <w:tcW w:w="4304" w:type="dxa"/>
            <w:shd w:val="clear" w:color="auto" w:fill="F0F5F9"/>
            <w:vAlign w:val="center"/>
          </w:tcPr>
          <w:p w14:paraId="22DD11A5">
            <w:pPr>
              <w:spacing w:after="0" w:line="240" w:lineRule="auto"/>
              <w:ind w:firstLine="0"/>
              <w:jc w:val="left"/>
              <w:rPr>
                <w:rFonts w:ascii="Cambria" w:hAnsi="Cambria"/>
              </w:rPr>
            </w:pPr>
            <w:r>
              <w:rPr>
                <w:rFonts w:ascii="Cambria" w:hAnsi="Cambria"/>
                <w:color w:val="1C2839"/>
                <w:sz w:val="16"/>
              </w:rPr>
              <w:t>Тұрғын үй құрылысына арналған ТББ</w:t>
            </w:r>
          </w:p>
        </w:tc>
        <w:tc>
          <w:tcPr>
            <w:tcW w:w="2552" w:type="dxa"/>
            <w:shd w:val="clear" w:color="auto" w:fill="F0F5F9"/>
            <w:vAlign w:val="center"/>
          </w:tcPr>
          <w:p w14:paraId="15FABD1D">
            <w:pPr>
              <w:spacing w:after="0" w:line="240" w:lineRule="auto"/>
              <w:ind w:firstLine="0"/>
              <w:jc w:val="left"/>
              <w:rPr>
                <w:rFonts w:ascii="Cambria" w:hAnsi="Cambria"/>
              </w:rPr>
            </w:pPr>
            <w:r>
              <w:rPr>
                <w:rFonts w:ascii="Cambria" w:hAnsi="Cambria"/>
                <w:color w:val="1C2839"/>
                <w:sz w:val="16"/>
              </w:rPr>
              <w:t>Тұрғын үй құрылысына арналған ТББ</w:t>
            </w:r>
          </w:p>
        </w:tc>
        <w:tc>
          <w:tcPr>
            <w:tcW w:w="2064" w:type="dxa"/>
            <w:shd w:val="clear" w:color="auto" w:fill="F0F5F9"/>
            <w:vAlign w:val="center"/>
          </w:tcPr>
          <w:p w14:paraId="4F35B0AA">
            <w:pPr>
              <w:spacing w:after="0" w:line="240" w:lineRule="auto"/>
              <w:ind w:firstLine="0"/>
              <w:jc w:val="center"/>
              <w:rPr>
                <w:rFonts w:ascii="Cambria" w:hAnsi="Cambria"/>
              </w:rPr>
            </w:pPr>
            <w:r>
              <w:rPr>
                <w:rFonts w:ascii="Cambria" w:hAnsi="Cambria"/>
                <w:color w:val="1C2839"/>
                <w:sz w:val="16"/>
              </w:rPr>
              <w:t>8</w:t>
            </w:r>
          </w:p>
        </w:tc>
      </w:tr>
      <w:tr w14:paraId="1702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DBE8F2"/>
            <w:vAlign w:val="center"/>
          </w:tcPr>
          <w:p w14:paraId="4DEBE592">
            <w:pPr>
              <w:spacing w:after="0" w:line="240" w:lineRule="auto"/>
              <w:ind w:firstLine="0"/>
              <w:rPr>
                <w:rFonts w:ascii="Cambria" w:hAnsi="Cambria"/>
              </w:rPr>
            </w:pPr>
          </w:p>
        </w:tc>
        <w:tc>
          <w:tcPr>
            <w:tcW w:w="4304" w:type="dxa"/>
            <w:shd w:val="clear" w:color="auto" w:fill="DBE8F2"/>
            <w:vAlign w:val="center"/>
          </w:tcPr>
          <w:p w14:paraId="6DD2F0E5">
            <w:pPr>
              <w:spacing w:after="0" w:line="240" w:lineRule="auto"/>
              <w:ind w:firstLine="0"/>
              <w:jc w:val="left"/>
              <w:rPr>
                <w:rFonts w:ascii="Cambria" w:hAnsi="Cambria"/>
              </w:rPr>
            </w:pPr>
            <w:r>
              <w:rPr>
                <w:rFonts w:ascii="Cambria" w:hAnsi="Cambria"/>
                <w:b/>
                <w:color w:val="1C2839"/>
                <w:sz w:val="16"/>
              </w:rPr>
              <w:t>№ 1 алаң бойынша жиыны</w:t>
            </w:r>
          </w:p>
        </w:tc>
        <w:tc>
          <w:tcPr>
            <w:tcW w:w="2552" w:type="dxa"/>
            <w:shd w:val="clear" w:color="auto" w:fill="DBE8F2"/>
            <w:vAlign w:val="center"/>
          </w:tcPr>
          <w:p w14:paraId="50707FBF">
            <w:pPr>
              <w:spacing w:after="0" w:line="240" w:lineRule="auto"/>
              <w:ind w:firstLine="0"/>
              <w:jc w:val="left"/>
              <w:rPr>
                <w:rFonts w:ascii="Cambria" w:hAnsi="Cambria"/>
              </w:rPr>
            </w:pPr>
            <w:r>
              <w:rPr>
                <w:rFonts w:ascii="Cambria" w:hAnsi="Cambria"/>
                <w:b/>
                <w:color w:val="1C2839"/>
                <w:sz w:val="16"/>
              </w:rPr>
              <w:t>Екі бағыт</w:t>
            </w:r>
          </w:p>
        </w:tc>
        <w:tc>
          <w:tcPr>
            <w:tcW w:w="2064" w:type="dxa"/>
            <w:shd w:val="clear" w:color="auto" w:fill="DBE8F2"/>
            <w:vAlign w:val="center"/>
          </w:tcPr>
          <w:p w14:paraId="06E1944A">
            <w:pPr>
              <w:spacing w:after="0" w:line="240" w:lineRule="auto"/>
              <w:ind w:firstLine="0"/>
              <w:jc w:val="center"/>
              <w:rPr>
                <w:rFonts w:ascii="Cambria" w:hAnsi="Cambria"/>
                <w:lang w:val="ru-RU"/>
              </w:rPr>
            </w:pPr>
            <w:r>
              <w:rPr>
                <w:rFonts w:ascii="Cambria" w:hAnsi="Cambria"/>
                <w:b/>
                <w:color w:val="1C2839"/>
                <w:sz w:val="16"/>
                <w:lang w:val="ru-RU"/>
              </w:rPr>
              <w:t>122 (оның ішінде 25 – жобалар, 97 – бос аумақ)</w:t>
            </w:r>
          </w:p>
        </w:tc>
      </w:tr>
      <w:tr w14:paraId="1254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556D3000">
            <w:pPr>
              <w:spacing w:after="0" w:line="240" w:lineRule="auto"/>
              <w:ind w:firstLine="0"/>
              <w:rPr>
                <w:rFonts w:ascii="Cambria" w:hAnsi="Cambria"/>
              </w:rPr>
            </w:pPr>
            <w:r>
              <w:rPr>
                <w:rFonts w:ascii="Cambria" w:hAnsi="Cambria"/>
                <w:color w:val="1C2839"/>
                <w:sz w:val="16"/>
              </w:rPr>
              <w:t>5</w:t>
            </w:r>
          </w:p>
        </w:tc>
        <w:tc>
          <w:tcPr>
            <w:tcW w:w="4304" w:type="dxa"/>
            <w:shd w:val="clear" w:color="auto" w:fill="F0F5F9"/>
            <w:vAlign w:val="center"/>
          </w:tcPr>
          <w:p w14:paraId="58D7633D">
            <w:pPr>
              <w:spacing w:after="0" w:line="240" w:lineRule="auto"/>
              <w:ind w:firstLine="0"/>
              <w:jc w:val="left"/>
              <w:rPr>
                <w:rFonts w:ascii="Cambria" w:hAnsi="Cambria"/>
              </w:rPr>
            </w:pPr>
            <w:r>
              <w:rPr>
                <w:rFonts w:ascii="Cambria" w:hAnsi="Cambria"/>
                <w:color w:val="1C2839"/>
                <w:sz w:val="16"/>
              </w:rPr>
              <w:t>Құрғақ құрылыс қоспаларын өндіру</w:t>
            </w:r>
          </w:p>
        </w:tc>
        <w:tc>
          <w:tcPr>
            <w:tcW w:w="2552" w:type="dxa"/>
            <w:shd w:val="clear" w:color="auto" w:fill="F0F5F9"/>
            <w:vAlign w:val="center"/>
          </w:tcPr>
          <w:p w14:paraId="5A0702EF">
            <w:pPr>
              <w:spacing w:after="0" w:line="240" w:lineRule="auto"/>
              <w:ind w:firstLine="0"/>
              <w:jc w:val="left"/>
              <w:rPr>
                <w:rFonts w:ascii="Cambria" w:hAnsi="Cambria"/>
              </w:rPr>
            </w:pPr>
            <w:r>
              <w:rPr>
                <w:rFonts w:ascii="Cambria" w:hAnsi="Cambria"/>
                <w:color w:val="1C2839"/>
                <w:sz w:val="16"/>
              </w:rPr>
              <w:t>Цементті терең өңдеу</w:t>
            </w:r>
          </w:p>
        </w:tc>
        <w:tc>
          <w:tcPr>
            <w:tcW w:w="2064" w:type="dxa"/>
            <w:shd w:val="clear" w:color="auto" w:fill="F0F5F9"/>
            <w:vAlign w:val="center"/>
          </w:tcPr>
          <w:p w14:paraId="5A087A9E">
            <w:pPr>
              <w:spacing w:after="0" w:line="240" w:lineRule="auto"/>
              <w:ind w:firstLine="0"/>
              <w:jc w:val="center"/>
              <w:rPr>
                <w:rFonts w:ascii="Cambria" w:hAnsi="Cambria"/>
              </w:rPr>
            </w:pPr>
            <w:r>
              <w:rPr>
                <w:rFonts w:ascii="Cambria" w:hAnsi="Cambria"/>
                <w:color w:val="1C2839"/>
                <w:sz w:val="16"/>
              </w:rPr>
              <w:t>9</w:t>
            </w:r>
          </w:p>
        </w:tc>
      </w:tr>
      <w:tr w14:paraId="6B80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vAlign w:val="center"/>
          </w:tcPr>
          <w:p w14:paraId="5C2A4A50">
            <w:pPr>
              <w:spacing w:after="0" w:line="240" w:lineRule="auto"/>
              <w:ind w:firstLine="0"/>
              <w:rPr>
                <w:rFonts w:ascii="Cambria" w:hAnsi="Cambria"/>
              </w:rPr>
            </w:pPr>
            <w:r>
              <w:rPr>
                <w:rFonts w:ascii="Cambria" w:hAnsi="Cambria"/>
                <w:color w:val="1C2839"/>
                <w:sz w:val="16"/>
              </w:rPr>
              <w:t>6</w:t>
            </w:r>
          </w:p>
        </w:tc>
        <w:tc>
          <w:tcPr>
            <w:tcW w:w="4304" w:type="dxa"/>
            <w:vAlign w:val="center"/>
          </w:tcPr>
          <w:p w14:paraId="5D71CE54">
            <w:pPr>
              <w:spacing w:after="0" w:line="240" w:lineRule="auto"/>
              <w:ind w:firstLine="0"/>
              <w:jc w:val="left"/>
              <w:rPr>
                <w:rFonts w:ascii="Cambria" w:hAnsi="Cambria"/>
              </w:rPr>
            </w:pPr>
            <w:r>
              <w:rPr>
                <w:rFonts w:ascii="Cambria" w:hAnsi="Cambria"/>
                <w:color w:val="1C2839"/>
                <w:sz w:val="16"/>
              </w:rPr>
              <w:t>Фиброцемент панельдерін өндіру</w:t>
            </w:r>
          </w:p>
        </w:tc>
        <w:tc>
          <w:tcPr>
            <w:tcW w:w="2552" w:type="dxa"/>
            <w:vAlign w:val="center"/>
          </w:tcPr>
          <w:p w14:paraId="7205629A">
            <w:pPr>
              <w:spacing w:after="0" w:line="240" w:lineRule="auto"/>
              <w:ind w:firstLine="0"/>
              <w:jc w:val="left"/>
              <w:rPr>
                <w:rFonts w:ascii="Cambria" w:hAnsi="Cambria"/>
              </w:rPr>
            </w:pPr>
            <w:r>
              <w:rPr>
                <w:rFonts w:ascii="Cambria" w:hAnsi="Cambria"/>
                <w:color w:val="1C2839"/>
                <w:sz w:val="16"/>
              </w:rPr>
              <w:t>Цементті терең өңдеу</w:t>
            </w:r>
          </w:p>
        </w:tc>
        <w:tc>
          <w:tcPr>
            <w:tcW w:w="2064" w:type="dxa"/>
            <w:vAlign w:val="center"/>
          </w:tcPr>
          <w:p w14:paraId="53A491F9">
            <w:pPr>
              <w:spacing w:after="0" w:line="240" w:lineRule="auto"/>
              <w:ind w:firstLine="0"/>
              <w:jc w:val="center"/>
              <w:rPr>
                <w:rFonts w:ascii="Cambria" w:hAnsi="Cambria"/>
              </w:rPr>
            </w:pPr>
            <w:r>
              <w:rPr>
                <w:rFonts w:ascii="Cambria" w:hAnsi="Cambria"/>
                <w:color w:val="1C2839"/>
                <w:sz w:val="16"/>
              </w:rPr>
              <w:t>11</w:t>
            </w:r>
          </w:p>
        </w:tc>
      </w:tr>
      <w:tr w14:paraId="6EA9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F0F5F9"/>
            <w:vAlign w:val="center"/>
          </w:tcPr>
          <w:p w14:paraId="4BA4AFB1">
            <w:pPr>
              <w:spacing w:after="0" w:line="240" w:lineRule="auto"/>
              <w:ind w:firstLine="0"/>
              <w:rPr>
                <w:rFonts w:ascii="Cambria" w:hAnsi="Cambria"/>
              </w:rPr>
            </w:pPr>
            <w:r>
              <w:rPr>
                <w:rFonts w:ascii="Cambria" w:hAnsi="Cambria"/>
                <w:color w:val="1C2839"/>
                <w:sz w:val="16"/>
              </w:rPr>
              <w:t>7</w:t>
            </w:r>
          </w:p>
        </w:tc>
        <w:tc>
          <w:tcPr>
            <w:tcW w:w="4304" w:type="dxa"/>
            <w:shd w:val="clear" w:color="auto" w:fill="F0F5F9"/>
            <w:vAlign w:val="center"/>
          </w:tcPr>
          <w:p w14:paraId="07F4F025">
            <w:pPr>
              <w:spacing w:after="0" w:line="240" w:lineRule="auto"/>
              <w:ind w:firstLine="0"/>
              <w:jc w:val="left"/>
              <w:rPr>
                <w:rFonts w:ascii="Cambria" w:hAnsi="Cambria"/>
                <w:lang w:val="ru-RU"/>
              </w:rPr>
            </w:pPr>
            <w:r>
              <w:rPr>
                <w:rFonts w:ascii="Cambria" w:hAnsi="Cambria"/>
                <w:color w:val="1C2839"/>
                <w:sz w:val="16"/>
                <w:lang w:val="ru-RU"/>
              </w:rPr>
              <w:t>Абаттандыруға арналған бетон бұйымдарын өндіру</w:t>
            </w:r>
          </w:p>
        </w:tc>
        <w:tc>
          <w:tcPr>
            <w:tcW w:w="2552" w:type="dxa"/>
            <w:shd w:val="clear" w:color="auto" w:fill="F0F5F9"/>
            <w:vAlign w:val="center"/>
          </w:tcPr>
          <w:p w14:paraId="5AAD82EC">
            <w:pPr>
              <w:spacing w:after="0" w:line="240" w:lineRule="auto"/>
              <w:ind w:firstLine="0"/>
              <w:jc w:val="left"/>
              <w:rPr>
                <w:rFonts w:ascii="Cambria" w:hAnsi="Cambria"/>
                <w:lang w:val="ru-RU"/>
              </w:rPr>
            </w:pPr>
            <w:r>
              <w:rPr>
                <w:rFonts w:ascii="Cambria" w:hAnsi="Cambria"/>
                <w:color w:val="1C2839"/>
                <w:sz w:val="16"/>
                <w:lang w:val="ru-RU"/>
              </w:rPr>
              <w:t>Жол және абаттандыру бұйымдары</w:t>
            </w:r>
          </w:p>
        </w:tc>
        <w:tc>
          <w:tcPr>
            <w:tcW w:w="2064" w:type="dxa"/>
            <w:shd w:val="clear" w:color="auto" w:fill="F0F5F9"/>
            <w:vAlign w:val="center"/>
          </w:tcPr>
          <w:p w14:paraId="4D847C83">
            <w:pPr>
              <w:spacing w:after="0" w:line="240" w:lineRule="auto"/>
              <w:ind w:firstLine="0"/>
              <w:jc w:val="center"/>
              <w:rPr>
                <w:rFonts w:ascii="Cambria" w:hAnsi="Cambria"/>
              </w:rPr>
            </w:pPr>
            <w:r>
              <w:rPr>
                <w:rFonts w:ascii="Cambria" w:hAnsi="Cambria"/>
                <w:color w:val="1C2839"/>
                <w:sz w:val="16"/>
              </w:rPr>
              <w:t>8</w:t>
            </w:r>
          </w:p>
        </w:tc>
      </w:tr>
      <w:tr w14:paraId="22D0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DBE8F2"/>
            <w:vAlign w:val="center"/>
          </w:tcPr>
          <w:p w14:paraId="7A80A453">
            <w:pPr>
              <w:spacing w:after="0" w:line="240" w:lineRule="auto"/>
              <w:ind w:firstLine="0"/>
              <w:rPr>
                <w:rFonts w:ascii="Cambria" w:hAnsi="Cambria"/>
              </w:rPr>
            </w:pPr>
          </w:p>
        </w:tc>
        <w:tc>
          <w:tcPr>
            <w:tcW w:w="4304" w:type="dxa"/>
            <w:shd w:val="clear" w:color="auto" w:fill="DBE8F2"/>
            <w:vAlign w:val="center"/>
          </w:tcPr>
          <w:p w14:paraId="342D0927">
            <w:pPr>
              <w:spacing w:after="0" w:line="240" w:lineRule="auto"/>
              <w:ind w:firstLine="0"/>
              <w:jc w:val="left"/>
              <w:rPr>
                <w:rFonts w:ascii="Cambria" w:hAnsi="Cambria"/>
              </w:rPr>
            </w:pPr>
            <w:r>
              <w:rPr>
                <w:rFonts w:ascii="Cambria" w:hAnsi="Cambria"/>
                <w:b/>
                <w:color w:val="1C2839"/>
                <w:sz w:val="16"/>
              </w:rPr>
              <w:t>№ 2 алаң бойынша жиыны</w:t>
            </w:r>
          </w:p>
        </w:tc>
        <w:tc>
          <w:tcPr>
            <w:tcW w:w="2552" w:type="dxa"/>
            <w:shd w:val="clear" w:color="auto" w:fill="DBE8F2"/>
            <w:vAlign w:val="center"/>
          </w:tcPr>
          <w:p w14:paraId="3EC4E087">
            <w:pPr>
              <w:spacing w:after="0" w:line="240" w:lineRule="auto"/>
              <w:ind w:firstLine="0"/>
              <w:jc w:val="left"/>
              <w:rPr>
                <w:rFonts w:ascii="Cambria" w:hAnsi="Cambria"/>
              </w:rPr>
            </w:pPr>
            <w:r>
              <w:rPr>
                <w:rFonts w:ascii="Cambria" w:hAnsi="Cambria"/>
                <w:b/>
                <w:color w:val="1C2839"/>
                <w:sz w:val="16"/>
              </w:rPr>
              <w:t>Екі бағыт</w:t>
            </w:r>
          </w:p>
        </w:tc>
        <w:tc>
          <w:tcPr>
            <w:tcW w:w="2064" w:type="dxa"/>
            <w:shd w:val="clear" w:color="auto" w:fill="DBE8F2"/>
            <w:vAlign w:val="center"/>
          </w:tcPr>
          <w:p w14:paraId="21E68033">
            <w:pPr>
              <w:spacing w:after="0" w:line="240" w:lineRule="auto"/>
              <w:ind w:firstLine="0"/>
              <w:jc w:val="center"/>
              <w:rPr>
                <w:rFonts w:ascii="Cambria" w:hAnsi="Cambria"/>
                <w:lang w:val="ru-RU"/>
              </w:rPr>
            </w:pPr>
            <w:r>
              <w:rPr>
                <w:rFonts w:ascii="Cambria" w:hAnsi="Cambria"/>
                <w:b/>
                <w:color w:val="1C2839"/>
                <w:sz w:val="16"/>
                <w:lang w:val="ru-RU"/>
              </w:rPr>
              <w:t>78 (оның ішінде 28 – жобалар, 50 – бос аумақ)</w:t>
            </w:r>
          </w:p>
        </w:tc>
      </w:tr>
      <w:tr w14:paraId="24F9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95" w:type="dxa"/>
            <w:bottom w:w="80" w:type="dxa"/>
            <w:right w:w="95" w:type="dxa"/>
          </w:tblCellMar>
        </w:tblPrEx>
        <w:trPr>
          <w:cantSplit/>
          <w:jc w:val="center"/>
        </w:trPr>
        <w:tc>
          <w:tcPr>
            <w:tcW w:w="0" w:type="auto"/>
            <w:shd w:val="clear" w:color="auto" w:fill="DBE8F2"/>
            <w:vAlign w:val="center"/>
          </w:tcPr>
          <w:p w14:paraId="4237A1CF">
            <w:pPr>
              <w:spacing w:after="0" w:line="240" w:lineRule="auto"/>
              <w:ind w:firstLine="0"/>
              <w:rPr>
                <w:rFonts w:ascii="Cambria" w:hAnsi="Cambria"/>
                <w:lang w:val="ru-RU"/>
              </w:rPr>
            </w:pPr>
          </w:p>
        </w:tc>
        <w:tc>
          <w:tcPr>
            <w:tcW w:w="4304" w:type="dxa"/>
            <w:shd w:val="clear" w:color="auto" w:fill="DBE8F2"/>
            <w:vAlign w:val="center"/>
          </w:tcPr>
          <w:p w14:paraId="6B4762A1">
            <w:pPr>
              <w:spacing w:after="0" w:line="240" w:lineRule="auto"/>
              <w:ind w:firstLine="0"/>
              <w:jc w:val="left"/>
              <w:rPr>
                <w:rFonts w:ascii="Cambria" w:hAnsi="Cambria"/>
              </w:rPr>
            </w:pPr>
            <w:r>
              <w:rPr>
                <w:rFonts w:ascii="Cambria" w:hAnsi="Cambria"/>
                <w:b/>
                <w:color w:val="1C2839"/>
                <w:sz w:val="16"/>
              </w:rPr>
              <w:t>Барлығы</w:t>
            </w:r>
          </w:p>
        </w:tc>
        <w:tc>
          <w:tcPr>
            <w:tcW w:w="2552" w:type="dxa"/>
            <w:shd w:val="clear" w:color="auto" w:fill="DBE8F2"/>
            <w:vAlign w:val="center"/>
          </w:tcPr>
          <w:p w14:paraId="2C9FB1ED">
            <w:pPr>
              <w:spacing w:after="0" w:line="240" w:lineRule="auto"/>
              <w:ind w:firstLine="0"/>
              <w:jc w:val="left"/>
              <w:rPr>
                <w:rFonts w:ascii="Cambria" w:hAnsi="Cambria"/>
              </w:rPr>
            </w:pPr>
            <w:r>
              <w:rPr>
                <w:rFonts w:ascii="Cambria" w:hAnsi="Cambria"/>
                <w:b/>
                <w:color w:val="1C2839"/>
                <w:sz w:val="16"/>
              </w:rPr>
              <w:t>Төрт бағыт</w:t>
            </w:r>
          </w:p>
        </w:tc>
        <w:tc>
          <w:tcPr>
            <w:tcW w:w="2064" w:type="dxa"/>
            <w:shd w:val="clear" w:color="auto" w:fill="DBE8F2"/>
            <w:vAlign w:val="center"/>
          </w:tcPr>
          <w:p w14:paraId="05799942">
            <w:pPr>
              <w:spacing w:after="0" w:line="240" w:lineRule="auto"/>
              <w:ind w:firstLine="0"/>
              <w:jc w:val="center"/>
              <w:rPr>
                <w:rFonts w:ascii="Cambria" w:hAnsi="Cambria"/>
                <w:lang w:val="ru-RU"/>
              </w:rPr>
            </w:pPr>
            <w:r>
              <w:rPr>
                <w:rFonts w:ascii="Cambria" w:hAnsi="Cambria"/>
                <w:b/>
                <w:color w:val="1C2839"/>
                <w:sz w:val="16"/>
                <w:lang w:val="ru-RU"/>
              </w:rPr>
              <w:t>200 (оның ішінде 53 – жобалар, 147 – бос аумақ)</w:t>
            </w:r>
          </w:p>
        </w:tc>
      </w:tr>
    </w:tbl>
    <w:p w14:paraId="188F2270">
      <w:pPr>
        <w:spacing w:line="240" w:lineRule="auto"/>
        <w:rPr>
          <w:rFonts w:ascii="Cambria" w:hAnsi="Cambria"/>
          <w:lang w:val="ru-RU"/>
        </w:rPr>
      </w:pPr>
      <w:r>
        <w:rPr>
          <w:rFonts w:ascii="Cambria" w:hAnsi="Cambria"/>
          <w:lang w:val="ru-RU"/>
        </w:rPr>
        <w:t>Қабылданған нұсқа шеңберінде 53 гектарды әлеуетті инвесторлардың жеті жобасы арасында бөлу, ал 147 гектарды (№ 1 алаңда 97 га және № 2 алаңда 50 га) өңдеу өнеркәсібінің басқа жобаларын орналастыруға арналған бос аумақ ретінде сақтау көзделеді. Бос алаңдардағы жобалардың инженерлік жүктемелері (есептік 10 МВт-тан тыс) олар пайда болған кезде айқындалады. Нақты өндіріс үшін қызмет ететін объектілер (технологиялық жолдар, жинақтау және тиеу-түсіру алаңдары, жергілікті инженерлік желілер) тиісті резиденттердің жер учаскелері шегінде ескеріледі. Бұл ретте ИА-ның күрделі шығындарына көрсетілген 200 га шегінде қосымша учаске қалыптастыруды қажет етпейтін ортақ желілер мен қосылыстар енгізілуі мүмкін.</w:t>
      </w:r>
    </w:p>
    <w:p w14:paraId="7A76979D">
      <w:pPr>
        <w:spacing w:line="240" w:lineRule="auto"/>
        <w:ind w:firstLine="0"/>
        <w:rPr>
          <w:rFonts w:ascii="Cambria" w:hAnsi="Cambria"/>
          <w:lang w:val="ru-RU"/>
        </w:rPr>
      </w:pPr>
      <w:bookmarkStart w:id="51" w:name="_GoBack"/>
      <w:r>
        <w:drawing>
          <wp:inline distT="0" distB="0" distL="114300" distR="114300">
            <wp:extent cx="5866765" cy="2774315"/>
            <wp:effectExtent l="0" t="0" r="635" b="6985"/>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3"/>
                    <pic:cNvPicPr>
                      <a:picLocks noChangeAspect="1"/>
                    </pic:cNvPicPr>
                  </pic:nvPicPr>
                  <pic:blipFill>
                    <a:blip r:embed="rId24"/>
                    <a:stretch>
                      <a:fillRect/>
                    </a:stretch>
                  </pic:blipFill>
                  <pic:spPr>
                    <a:xfrm>
                      <a:off x="0" y="0"/>
                      <a:ext cx="5866765" cy="2774315"/>
                    </a:xfrm>
                    <a:prstGeom prst="rect">
                      <a:avLst/>
                    </a:prstGeom>
                  </pic:spPr>
                </pic:pic>
              </a:graphicData>
            </a:graphic>
          </wp:inline>
        </w:drawing>
      </w:r>
      <w:bookmarkEnd w:id="51"/>
    </w:p>
    <w:p w14:paraId="0F95ED14">
      <w:pPr>
        <w:spacing w:line="240" w:lineRule="auto"/>
        <w:rPr>
          <w:rFonts w:ascii="Cambria" w:hAnsi="Cambria"/>
          <w:lang w:val="ru-RU"/>
        </w:rPr>
      </w:pPr>
      <w:r>
        <w:rPr>
          <w:rFonts w:ascii="Cambria" w:hAnsi="Cambria"/>
          <w:lang w:val="ru-RU"/>
        </w:rPr>
        <w:t>Алдын ала нобайда цемент зауытының, ауданы 122 және 78 га болатын екі ИА учаскесінің өзара орналасуы, олардың шамамен габариттері (№ 1 учаске – қабырғалары 1,30; 0,95; 1,10 және 1,16 км; № 2 учаске – 0,40 × 1,95 км), сондай-ақ қолданыстағы А-27 автомобиль жолы мен теміржол магистралі, жоспарланған автомобиль жолы мен кірме теміржол жолдары, 110 кВ ӘЖ трассасы және ауданы 70 га болып салынып жатқан цемент зауыты көрсетілген. Нобай ИА-ны орналастырудың жалпы аумақтық тұжырымдамасын растауға мүмкіндік береді.</w:t>
      </w:r>
    </w:p>
    <w:p w14:paraId="05B4CBAC">
      <w:pPr>
        <w:spacing w:line="240" w:lineRule="auto"/>
        <w:rPr>
          <w:rFonts w:ascii="Cambria" w:hAnsi="Cambria"/>
          <w:lang w:val="ru-RU"/>
        </w:rPr>
      </w:pPr>
      <w:r>
        <w:rPr>
          <w:rFonts w:ascii="Cambria" w:hAnsi="Cambria"/>
          <w:lang w:val="ru-RU"/>
        </w:rPr>
        <w:t>Жоспарлауды нақтылау кезінде жүк ағындарының қиылысуын барынша азайту, ірі габаритті темірбетон бұйымдары мен өзге жүктерге арналған кірме жолдарды бөлу, әр алаңға қауіпсіз қолжетімділік қалыптастыру және алаңішілік желілердің ұзындығын қысқарту қағидаттарын басшылыққа алу ұсынылады. Теміржол инфрақұрылымына қосылуды цемент зауытымен байланысты жолдарды нақты пайдалану мүмкіндігі мен тиісті теміржол түйісуін пайдалану талаптарына сүйене отырып қарастыру қажет.</w:t>
      </w:r>
    </w:p>
    <w:p w14:paraId="03F629D4">
      <w:pPr>
        <w:spacing w:line="240" w:lineRule="auto"/>
        <w:rPr>
          <w:rFonts w:ascii="Cambria" w:hAnsi="Cambria"/>
          <w:lang w:val="ru-RU"/>
        </w:rPr>
      </w:pPr>
      <w:r>
        <w:rPr>
          <w:rFonts w:ascii="Cambria" w:hAnsi="Cambria"/>
          <w:lang w:val="ru-RU"/>
        </w:rPr>
        <w:t>Электрмен жабдықтаудың жоспарланған схемасы 10 МВт болатын жалпы есептік резервті екі алаңға, әрқайсысына шамамен 5 МВт-тан бөлуді көздейді. Тиісті техникалық және шарттық рәсімдер орындалған жағдайда электр қуаты цемент зауытының инфрақұрылымынан қосалқы тұтынушылар схемасы бойынша беріледі.</w:t>
      </w:r>
    </w:p>
    <w:p w14:paraId="15AF612A">
      <w:pPr>
        <w:spacing w:line="240" w:lineRule="auto"/>
        <w:rPr>
          <w:rFonts w:ascii="Cambria" w:hAnsi="Cambria"/>
          <w:lang w:val="ru-RU"/>
        </w:rPr>
      </w:pPr>
      <w:r>
        <w:rPr>
          <w:rFonts w:ascii="Cambria" w:hAnsi="Cambria"/>
          <w:lang w:val="ru-RU"/>
        </w:rPr>
        <w:t>Осылайша, Ақтөбе облысының Байғанин ауданындағы «Байғанин» Индустриялық аймағының аумақтық құрылымы ауданы 2 204 га болатын «Қосбол» шаруа қожалығының ауыл шаруашылығы жер массивінен қалыптастырылатын, ауданы 122 және 78 га екі алаң негізінде құрылады. Бұл алаңдарда төрт бағыт бойынша жеті әлеуетті кәсіпорынды және бос аумақтарда өңдеу өнеркәсібінің өзге жобаларын орналастыру жоспарланған. Жобаның негізгі кеңістіктік артықшылықтары цемент зауытына жақын орналасу және оның инфрақұрылымын пайдалану перспективасымен байланысты; аумақты жобалауға және игеруге көшу үшін жерге орналастыру рәсімдерін аяқтау, ортақ көлік пен инженерлік коммуникациялардың қолжетімділігін растау қажет.</w:t>
      </w:r>
    </w:p>
    <w:p w14:paraId="5C19D8FF">
      <w:pPr>
        <w:pStyle w:val="2"/>
        <w:pageBreakBefore/>
        <w:spacing w:before="0" w:line="240" w:lineRule="auto"/>
        <w:rPr>
          <w:rFonts w:ascii="Cambria" w:hAnsi="Cambria"/>
          <w:lang w:val="ru-RU"/>
        </w:rPr>
      </w:pPr>
      <w:bookmarkStart w:id="31" w:name="__RefHeading___Toc9544_2617525462"/>
      <w:bookmarkEnd w:id="31"/>
      <w:r>
        <w:rPr>
          <w:rFonts w:ascii="Cambria" w:hAnsi="Cambria"/>
          <w:lang w:val="ru-RU"/>
        </w:rPr>
        <w:t>7. ТҰЖЫРЫМДАМАДА КӨЗДЕЛГЕН ІС-ШАРАЛАРДЫҢ МЕМЛЕКЕТТІК ЖОСПАРЛАУ ЖҮЙЕСІ ҚҰЖАТТАРЫНА СӘЙКЕСТІГІ ТУРАЛЫ ДЕРЕКТЕР</w:t>
      </w:r>
    </w:p>
    <w:p w14:paraId="66A68DA5">
      <w:pPr>
        <w:spacing w:line="240" w:lineRule="auto"/>
        <w:rPr>
          <w:rFonts w:ascii="Cambria" w:hAnsi="Cambria"/>
          <w:lang w:val="ru-RU"/>
        </w:rPr>
      </w:pPr>
      <w:r>
        <w:rPr>
          <w:rFonts w:ascii="Cambria" w:hAnsi="Cambria"/>
          <w:lang w:val="ru-RU"/>
        </w:rPr>
        <w:t>Өңірлік маңызы бар индустриялық аймақ құру жөніндегі іс-шаралардың мемлекеттік жоспарлау жүйесінің құжаттарына сәйкестігі экономиканы әртараптандыру, өңдеу өнеркәсібін дамыту, жеке инвестициялар тарту және аумақтардағы инфрақұрылымдық шектеулерді азайту жөніндегі ұлттық басымдықтарды ескере отырып бағаланады. Салыстыру Қазақстан Республикасының 2017 жылғы 29 қарашадағы № 790 қаулысымен бекітілген Қазақстан Республикасындағы мемлекеттік жоспарлау жүйесінде (қолданыстағы редакциясында) көзделген тәсілге сәйкес жүргізілді.</w:t>
      </w:r>
    </w:p>
    <w:p w14:paraId="1E94D912">
      <w:pPr>
        <w:spacing w:line="240" w:lineRule="auto"/>
        <w:rPr>
          <w:rFonts w:ascii="Cambria" w:hAnsi="Cambria"/>
          <w:lang w:val="ru-RU"/>
        </w:rPr>
      </w:pPr>
      <w:r>
        <w:rPr>
          <w:rFonts w:ascii="Cambria" w:hAnsi="Cambria"/>
          <w:lang w:val="ru-RU"/>
        </w:rPr>
        <w:t>Жоба жалпы ауданы 200 га, әрқайсысының ауданы 122 және 78 га болатын екі учаскеден тұратын, «QazCement Industries» ЖШС салып жатқан цемент зауытына тікелей жақын жерде өңдеу өнеркәсібі жобаларына арналған алаң құруды көздейді. Алдын ала тізбеге цементті өңдеу мен темірбетон бұйымдарын шығарудың төрт бағыты бойынша жеті әлеуетті өндіріс енгізілген. Келісілген есептік база бойынша жеке инвестициялар 38,7 млрд теңгені, инфрақұрылым шығындары 12,0 млрд теңгені, тұрақты жұмыс орындары 605-ті, ал кәсіпорындар толық жүктемеге шыққан кездегі ықтимал жылдық түсім 41,05 млрд теңгені құрайды.</w:t>
      </w:r>
    </w:p>
    <w:p w14:paraId="0A2CD3FA">
      <w:pPr>
        <w:pStyle w:val="3"/>
        <w:spacing w:line="240" w:lineRule="auto"/>
        <w:rPr>
          <w:rFonts w:ascii="Cambria" w:hAnsi="Cambria"/>
          <w:lang w:val="ru-RU"/>
        </w:rPr>
      </w:pPr>
      <w:bookmarkStart w:id="32" w:name="__RefHeading___Toc9546_2617525462"/>
      <w:bookmarkEnd w:id="32"/>
      <w:r>
        <w:rPr>
          <w:rFonts w:ascii="Cambria" w:hAnsi="Cambria"/>
          <w:lang w:val="ru-RU"/>
        </w:rPr>
        <w:t>7.1. Ұлттық деңгейдегі мемлекеттік жоспарлау құжаттарына сәйкестігі</w:t>
      </w:r>
    </w:p>
    <w:p w14:paraId="74CCDCC2">
      <w:pPr>
        <w:spacing w:line="240" w:lineRule="auto"/>
        <w:rPr>
          <w:rFonts w:ascii="Cambria" w:hAnsi="Cambria"/>
          <w:lang w:val="ru-RU"/>
        </w:rPr>
      </w:pPr>
      <w:r>
        <w:rPr>
          <w:rFonts w:ascii="Cambria" w:hAnsi="Cambria"/>
          <w:lang w:val="ru-RU"/>
        </w:rPr>
        <w:t>Ұлттық деңгейдегі негізгі құжат – Қазақстан Республикасы Президентінің 2024 жылғы 30 шілдедегі № 611 Жарлығымен бекітілген Қазақстан Республикасының 2029 жылға дейінгі Ұлттық даму жоспары. Қарастырылып отырған ИА үшін өңдеу өнеркәсібін дамыту, өсудің жаңа нүктелерін қалыптастыру, серпінді кәсіпкерлік ортаны құру, жаңа инвестициялық циклды іске қосу және экологиялық орнықтылықты арттыру басымдықтары аса маңызды.</w:t>
      </w:r>
    </w:p>
    <w:p w14:paraId="723DEE7E">
      <w:pPr>
        <w:spacing w:line="240" w:lineRule="auto"/>
        <w:rPr>
          <w:rFonts w:ascii="Cambria" w:hAnsi="Cambria"/>
          <w:lang w:val="ru-RU"/>
        </w:rPr>
      </w:pPr>
      <w:r>
        <w:rPr>
          <w:rFonts w:ascii="Cambria" w:hAnsi="Cambria"/>
          <w:lang w:val="ru-RU"/>
        </w:rPr>
        <w:t>Ұлттық жоспарда өңдеу өндірістерінің бәсекеге қабілеттілігін арттыру технологиялық жаңғыртумен, өндірістік тізбектерді дамытумен, инфрақұрылыммен қамтамасыз етуді жақсартумен және қосылған құны жоғары өнім қалыптастырумен байланыстырылған. Ұсынылып отырған ИА бұл ұстанымға негізгі цемент өндірісіне жақын кейінгі өңдеу кәсіпорындарын орналастыру арқылы сәйкес келеді. Бір-бірінен бөлек жеті өндірісті дербес салумен салыстырғанда, кәсіпорындарды аумақтық шоғырландыру ортақ көлік-инженерлік дәлізді пайдалануға, негізгі шикізатты жеткізу шығындарын қысқартуға және өндірістік кооперация ұйымдастыруға алғышарт жасайды.</w:t>
      </w:r>
    </w:p>
    <w:p w14:paraId="4CF346E4">
      <w:pPr>
        <w:spacing w:line="240" w:lineRule="auto"/>
        <w:rPr>
          <w:rFonts w:ascii="Cambria" w:hAnsi="Cambria"/>
          <w:lang w:val="ru-RU"/>
        </w:rPr>
      </w:pPr>
      <w:r>
        <w:rPr>
          <w:rFonts w:ascii="Cambria" w:hAnsi="Cambria"/>
          <w:lang w:val="ru-RU"/>
        </w:rPr>
        <w:t>Салалық бағдарлар Қазақстан Республикасы Үкіметінің 2018 жылғы 20 желтоқсандағы № 846 қаулысымен бекітілген, 2023 жылғы 28 наурыздағы № 259 қаулы редакциясындағы Қазақстан Республикасының 2023–2029 жылдарға арналған өңдеу өнеркәсібін дамыту тұжырымдамасында да қамтылған. Құжат технологиялық тұрғыдан озық өндірістерді дамытуды, еңбек өнімділігі мен өңдеу өнеркәсібінің жалпы қосылған құнын арттыруды, инвестицияларды ұлғайтуды және кейінгі өңдеу деңгейі жоғары өнім шығаруды кеңейтуді көздейді. ИА үшін бұл цементті аралық өнім ретінде сатудан оны инфрақұрылым және құрылыс жобаларында тікелей пайдалануға дайын конструкциялар мен материалдар өндіруге өтуді білдіреді.</w:t>
      </w:r>
    </w:p>
    <w:p w14:paraId="2BF3810E">
      <w:pPr>
        <w:spacing w:line="240" w:lineRule="auto"/>
        <w:rPr>
          <w:rFonts w:ascii="Cambria" w:hAnsi="Cambria"/>
          <w:lang w:val="ru-RU"/>
        </w:rPr>
      </w:pPr>
      <w:r>
        <w:rPr>
          <w:rFonts w:ascii="Cambria" w:hAnsi="Cambria"/>
          <w:lang w:val="ru-RU"/>
        </w:rPr>
        <w:t>Аумақтық саясат тұрғысынан Қазақстан Республикасы Үкіметінің 2025 жылғы 25 тамыздағы № 679 қаулысымен бекітілген, 2026 жылғы 17 сәуірдегі өзгерістері бар Қазақстан Республикасының 2025–2030 жылдарға арналған өңірлік даму тұжырымдамасы маңызды. Құжатта өңірлердің экономикалық әлеуетін ашуға, даму теңсіздігін азайтуға, инфрақұрылымның қолжетімділігін қамтамасыз етуге және ірі агломерациялардан тыс жерлерде экономикалық өсудің орнықты көздерін қалыптастыруға басымдық берілген. ИА жобасы Байғанин ауданында өнеркәсіптік жұмыспен қамтуды қалыптастыруға бағытталған; ауданның ірі нарықтардан шалғайлығы және коммуникацияларды дербес салу қажеттігі жаңа кәсіпорындардың орналасуын объективті түрде тежейді.</w:t>
      </w:r>
    </w:p>
    <w:p w14:paraId="2D063F25">
      <w:pPr>
        <w:pStyle w:val="75"/>
        <w:spacing w:line="240" w:lineRule="auto"/>
        <w:rPr>
          <w:rFonts w:ascii="Cambria" w:hAnsi="Cambria"/>
          <w:lang w:val="ru-RU"/>
        </w:rPr>
      </w:pPr>
      <w:r>
        <w:rPr>
          <w:rFonts w:ascii="Cambria" w:hAnsi="Cambria"/>
          <w:lang w:val="ru-RU"/>
        </w:rPr>
        <w:t>7.1-кесте – ИА іс-шараларының ұлттық деңгейдегі құжаттар басымдықтарына сәйкестігі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8" w:type="dxa"/>
          <w:left w:w="100" w:type="dxa"/>
          <w:bottom w:w="88" w:type="dxa"/>
          <w:right w:w="100" w:type="dxa"/>
        </w:tblCellMar>
      </w:tblPr>
      <w:tblGrid>
        <w:gridCol w:w="4482"/>
        <w:gridCol w:w="5017"/>
      </w:tblGrid>
      <w:tr w14:paraId="7DDE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tblHeader/>
          <w:jc w:val="center"/>
        </w:trPr>
        <w:tc>
          <w:tcPr>
            <w:tcW w:w="0" w:type="auto"/>
            <w:shd w:val="clear" w:color="auto" w:fill="23486F"/>
            <w:vAlign w:val="center"/>
          </w:tcPr>
          <w:p w14:paraId="63B137DF">
            <w:pPr>
              <w:spacing w:after="0" w:line="240" w:lineRule="auto"/>
              <w:ind w:firstLine="0"/>
              <w:jc w:val="center"/>
              <w:rPr>
                <w:rFonts w:ascii="Cambria" w:hAnsi="Cambria"/>
              </w:rPr>
            </w:pPr>
            <w:r>
              <w:rPr>
                <w:rFonts w:ascii="Cambria" w:hAnsi="Cambria"/>
                <w:b/>
                <w:color w:val="FFFFFF"/>
                <w:sz w:val="16"/>
              </w:rPr>
              <w:t>Құжат / басымдық</w:t>
            </w:r>
          </w:p>
        </w:tc>
        <w:tc>
          <w:tcPr>
            <w:tcW w:w="0" w:type="auto"/>
            <w:shd w:val="clear" w:color="auto" w:fill="23486F"/>
            <w:vAlign w:val="center"/>
          </w:tcPr>
          <w:p w14:paraId="20B94027">
            <w:pPr>
              <w:spacing w:after="0" w:line="240" w:lineRule="auto"/>
              <w:ind w:firstLine="0"/>
              <w:jc w:val="center"/>
              <w:rPr>
                <w:rFonts w:ascii="Cambria" w:hAnsi="Cambria"/>
              </w:rPr>
            </w:pPr>
            <w:r>
              <w:rPr>
                <w:rFonts w:ascii="Cambria" w:hAnsi="Cambria"/>
                <w:b/>
                <w:color w:val="FFFFFF"/>
                <w:sz w:val="16"/>
              </w:rPr>
              <w:t>ИА іс-шараларының сәйкестік тетігі</w:t>
            </w:r>
          </w:p>
        </w:tc>
      </w:tr>
      <w:tr w14:paraId="5308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6A2B4899">
            <w:pPr>
              <w:spacing w:after="0" w:line="240" w:lineRule="auto"/>
              <w:ind w:firstLine="0"/>
              <w:jc w:val="left"/>
              <w:rPr>
                <w:rFonts w:ascii="Cambria" w:hAnsi="Cambria"/>
                <w:lang w:val="ru-RU"/>
              </w:rPr>
            </w:pPr>
            <w:r>
              <w:rPr>
                <w:rFonts w:ascii="Cambria" w:hAnsi="Cambria"/>
                <w:color w:val="1C2839"/>
                <w:sz w:val="16"/>
                <w:lang w:val="ru-RU"/>
              </w:rPr>
              <w:t>2029 жылға дейінгі Ұлттық жоспар – өңдеу өнеркәсібін дамыту</w:t>
            </w:r>
          </w:p>
        </w:tc>
        <w:tc>
          <w:tcPr>
            <w:tcW w:w="0" w:type="auto"/>
            <w:vAlign w:val="center"/>
          </w:tcPr>
          <w:p w14:paraId="198D0BBF">
            <w:pPr>
              <w:spacing w:after="0" w:line="240" w:lineRule="auto"/>
              <w:ind w:firstLine="0"/>
              <w:jc w:val="left"/>
              <w:rPr>
                <w:rFonts w:ascii="Cambria" w:hAnsi="Cambria"/>
                <w:lang w:val="ru-RU"/>
              </w:rPr>
            </w:pPr>
            <w:r>
              <w:rPr>
                <w:rFonts w:ascii="Cambria" w:hAnsi="Cambria"/>
                <w:color w:val="1C2839"/>
                <w:sz w:val="16"/>
                <w:lang w:val="ru-RU"/>
              </w:rPr>
              <w:t>Құрылыс материалдары мен ТББ өндіретін жеті кәсіпорынды ұйымдастыру; цемент негізінде кейінгі өңдеу өнімдерін шығару.</w:t>
            </w:r>
          </w:p>
        </w:tc>
      </w:tr>
      <w:tr w14:paraId="3DB6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03CB9F58">
            <w:pPr>
              <w:spacing w:after="0" w:line="240" w:lineRule="auto"/>
              <w:ind w:firstLine="0"/>
              <w:jc w:val="left"/>
              <w:rPr>
                <w:rFonts w:ascii="Cambria" w:hAnsi="Cambria"/>
                <w:lang w:val="ru-RU"/>
              </w:rPr>
            </w:pPr>
            <w:r>
              <w:rPr>
                <w:rFonts w:ascii="Cambria" w:hAnsi="Cambria"/>
                <w:color w:val="1C2839"/>
                <w:sz w:val="16"/>
                <w:lang w:val="ru-RU"/>
              </w:rPr>
              <w:t>2029 жылға дейінгі Ұлттық жоспар – жаңа инвестициялық цикл және кәсіпкерлік орта</w:t>
            </w:r>
          </w:p>
        </w:tc>
        <w:tc>
          <w:tcPr>
            <w:tcW w:w="0" w:type="auto"/>
            <w:shd w:val="clear" w:color="auto" w:fill="F0F5F9"/>
            <w:vAlign w:val="center"/>
          </w:tcPr>
          <w:p w14:paraId="35ACB55B">
            <w:pPr>
              <w:spacing w:after="0" w:line="240" w:lineRule="auto"/>
              <w:ind w:firstLine="0"/>
              <w:jc w:val="left"/>
              <w:rPr>
                <w:rFonts w:ascii="Cambria" w:hAnsi="Cambria"/>
                <w:lang w:val="ru-RU"/>
              </w:rPr>
            </w:pPr>
            <w:r>
              <w:rPr>
                <w:rFonts w:ascii="Cambria" w:hAnsi="Cambria"/>
                <w:color w:val="1C2839"/>
                <w:sz w:val="16"/>
                <w:lang w:val="ru-RU"/>
              </w:rPr>
              <w:t>Инвесторлар тартуға дайын аумақ қалыптастыру; есептік жеке инвестициялар – 38,7 млрд теңге.</w:t>
            </w:r>
          </w:p>
        </w:tc>
      </w:tr>
      <w:tr w14:paraId="4787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130FB6A0">
            <w:pPr>
              <w:spacing w:after="0" w:line="240" w:lineRule="auto"/>
              <w:ind w:firstLine="0"/>
              <w:jc w:val="left"/>
              <w:rPr>
                <w:rFonts w:ascii="Cambria" w:hAnsi="Cambria"/>
                <w:lang w:val="ru-RU"/>
              </w:rPr>
            </w:pPr>
            <w:r>
              <w:rPr>
                <w:rFonts w:ascii="Cambria" w:hAnsi="Cambria"/>
                <w:color w:val="1C2839"/>
                <w:sz w:val="16"/>
                <w:lang w:val="ru-RU"/>
              </w:rPr>
              <w:t>2023–2029 жылдарға арналған өңдеу өнеркәсібі тұжырымдамасы – жалпы қосылған құн мен технологиялық деңгейдің өсуі</w:t>
            </w:r>
          </w:p>
        </w:tc>
        <w:tc>
          <w:tcPr>
            <w:tcW w:w="0" w:type="auto"/>
            <w:vAlign w:val="center"/>
          </w:tcPr>
          <w:p w14:paraId="5CDDE42D">
            <w:pPr>
              <w:spacing w:after="0" w:line="240" w:lineRule="auto"/>
              <w:ind w:firstLine="0"/>
              <w:jc w:val="left"/>
              <w:rPr>
                <w:rFonts w:ascii="Cambria" w:hAnsi="Cambria"/>
                <w:lang w:val="ru-RU"/>
              </w:rPr>
            </w:pPr>
            <w:r>
              <w:rPr>
                <w:rFonts w:ascii="Cambria" w:hAnsi="Cambria"/>
                <w:color w:val="1C2839"/>
                <w:sz w:val="16"/>
                <w:lang w:val="ru-RU"/>
              </w:rPr>
              <w:t>Технологиялық мамандандырылған желілерді іске қосу, сериялы бұйымдарды игеру және цементті өңдеу тереңдігін арттыру.</w:t>
            </w:r>
          </w:p>
        </w:tc>
      </w:tr>
      <w:tr w14:paraId="5CA6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3367C6ED">
            <w:pPr>
              <w:spacing w:after="0" w:line="240" w:lineRule="auto"/>
              <w:ind w:firstLine="0"/>
              <w:jc w:val="left"/>
              <w:rPr>
                <w:rFonts w:ascii="Cambria" w:hAnsi="Cambria"/>
                <w:lang w:val="ru-RU"/>
              </w:rPr>
            </w:pPr>
            <w:r>
              <w:rPr>
                <w:rFonts w:ascii="Cambria" w:hAnsi="Cambria"/>
                <w:color w:val="1C2839"/>
                <w:sz w:val="16"/>
                <w:lang w:val="ru-RU"/>
              </w:rPr>
              <w:t>2025–2030 жылдарға арналған өңірлік даму тұжырымдамасы – аумақтардың әлеуетін ашу</w:t>
            </w:r>
          </w:p>
        </w:tc>
        <w:tc>
          <w:tcPr>
            <w:tcW w:w="0" w:type="auto"/>
            <w:shd w:val="clear" w:color="auto" w:fill="F0F5F9"/>
            <w:vAlign w:val="center"/>
          </w:tcPr>
          <w:p w14:paraId="2F47481E">
            <w:pPr>
              <w:spacing w:after="0" w:line="240" w:lineRule="auto"/>
              <w:ind w:firstLine="0"/>
              <w:jc w:val="left"/>
              <w:rPr>
                <w:rFonts w:ascii="Cambria" w:hAnsi="Cambria"/>
                <w:lang w:val="ru-RU"/>
              </w:rPr>
            </w:pPr>
            <w:r>
              <w:rPr>
                <w:rFonts w:ascii="Cambria" w:hAnsi="Cambria"/>
                <w:color w:val="1C2839"/>
                <w:sz w:val="16"/>
                <w:lang w:val="ru-RU"/>
              </w:rPr>
              <w:t>Байғанин ауданында өнеркәсіптік өсу нүктесін құру, 605 тұрақты жұмыс орны мен жергілікті мердігерлерді дамытуға алғышарт жасау.</w:t>
            </w:r>
          </w:p>
        </w:tc>
      </w:tr>
      <w:tr w14:paraId="0D0B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77E843E2">
            <w:pPr>
              <w:spacing w:after="0" w:line="240" w:lineRule="auto"/>
              <w:ind w:firstLine="0"/>
              <w:jc w:val="left"/>
              <w:rPr>
                <w:rFonts w:ascii="Cambria" w:hAnsi="Cambria"/>
                <w:lang w:val="ru-RU"/>
              </w:rPr>
            </w:pPr>
            <w:r>
              <w:rPr>
                <w:rFonts w:ascii="Cambria" w:hAnsi="Cambria"/>
                <w:color w:val="1C2839"/>
                <w:sz w:val="16"/>
                <w:lang w:val="ru-RU"/>
              </w:rPr>
              <w:t>Экологиялық орнықтылық жөніндегі ұлттық тәсілдер</w:t>
            </w:r>
          </w:p>
        </w:tc>
        <w:tc>
          <w:tcPr>
            <w:tcW w:w="0" w:type="auto"/>
            <w:vAlign w:val="center"/>
          </w:tcPr>
          <w:p w14:paraId="24813CF3">
            <w:pPr>
              <w:spacing w:after="0" w:line="240" w:lineRule="auto"/>
              <w:ind w:firstLine="0"/>
              <w:jc w:val="left"/>
              <w:rPr>
                <w:rFonts w:ascii="Cambria" w:hAnsi="Cambria"/>
                <w:lang w:val="ru-RU"/>
              </w:rPr>
            </w:pPr>
            <w:r>
              <w:rPr>
                <w:rFonts w:ascii="Cambria" w:hAnsi="Cambria"/>
                <w:color w:val="1C2839"/>
                <w:sz w:val="16"/>
                <w:lang w:val="ru-RU"/>
              </w:rPr>
              <w:t>Шаң ұстау, су айналымы, жиынтық әсерлерді есепке алу және әр өндіріс деңгейінде экологиялық заңнама талаптарын сақтау.</w:t>
            </w:r>
          </w:p>
        </w:tc>
      </w:tr>
    </w:tbl>
    <w:p w14:paraId="545094B2">
      <w:pPr>
        <w:pStyle w:val="3"/>
        <w:spacing w:line="240" w:lineRule="auto"/>
        <w:rPr>
          <w:rFonts w:ascii="Cambria" w:hAnsi="Cambria"/>
          <w:lang w:val="ru-RU"/>
        </w:rPr>
      </w:pPr>
      <w:bookmarkStart w:id="33" w:name="__RefHeading___Toc9548_2617525462"/>
      <w:bookmarkEnd w:id="33"/>
      <w:r>
        <w:rPr>
          <w:rFonts w:ascii="Cambria" w:hAnsi="Cambria"/>
          <w:lang w:val="ru-RU"/>
        </w:rPr>
        <w:t>7.2. Өңірлік даму құжаттарына сәйкестігі</w:t>
      </w:r>
    </w:p>
    <w:p w14:paraId="32655538">
      <w:pPr>
        <w:spacing w:line="240" w:lineRule="auto"/>
        <w:rPr>
          <w:rFonts w:ascii="Cambria" w:hAnsi="Cambria"/>
          <w:lang w:val="ru-RU"/>
        </w:rPr>
      </w:pPr>
      <w:r>
        <w:rPr>
          <w:rFonts w:ascii="Cambria" w:hAnsi="Cambria"/>
          <w:lang w:val="ru-RU"/>
        </w:rPr>
        <w:t>Өңірлік деңгейдегі негізгі құжат – Ақтөбе облыстық мәслихатының 2025 жылғы 22 желтоқсандағы № 300 шешімімен бекітілген және 2026 жылғы 25 қыркүйектегі № 353 шешімімен жаңартылған редакцияда баяндалған Ақтөбе облысының 2026–2030 жылдарға арналған даму жоспары. Облыстың Экономика және бюджеттік жоспарлау басқармасы жариялаған редакцияда өңір экономикасын өсіру, инвестициялар тарту, шикізаттық емес экспортты дамыту, еңбек өнімділігін арттыру, шағын және орта кәсіпкерлікті кеңейту және инфрақұрылымды жақсарту басымдықтары айқындалған.</w:t>
      </w:r>
    </w:p>
    <w:p w14:paraId="7483160A">
      <w:pPr>
        <w:spacing w:line="240" w:lineRule="auto"/>
        <w:rPr>
          <w:rFonts w:ascii="Cambria" w:hAnsi="Cambria"/>
          <w:lang w:val="ru-RU"/>
        </w:rPr>
      </w:pPr>
      <w:r>
        <w:rPr>
          <w:rFonts w:ascii="Cambria" w:hAnsi="Cambria"/>
          <w:lang w:val="ru-RU"/>
        </w:rPr>
        <w:t>Өңірлік жоспарда негізгі капиталға салынатын инвестициялар, өңдеу өнеркәсібі өнімінің экспорты, еңбек өнімділігінің жинақталған өсуі, шағын және орта кәсіпкерлікті дамыту және инновациялық белсенділік көрсеткіштері белгіленген. ИА-ның көзделген салалық бағыты инвестициялар тарту мен өнеркәсіп өнімін кеңейту міндеттерімен тікелей байланысты, сондай-ақ өңір экономикасының құрылымында өңдеу өндірістерінің үлесін арттыруға ықпал етуі мүмкін.</w:t>
      </w:r>
    </w:p>
    <w:p w14:paraId="63F16F86">
      <w:pPr>
        <w:spacing w:line="240" w:lineRule="auto"/>
        <w:rPr>
          <w:rFonts w:ascii="Cambria" w:hAnsi="Cambria"/>
          <w:lang w:val="ru-RU"/>
        </w:rPr>
      </w:pPr>
      <w:r>
        <w:rPr>
          <w:rFonts w:ascii="Cambria" w:hAnsi="Cambria"/>
          <w:lang w:val="ru-RU"/>
        </w:rPr>
        <w:t>Өңірлік жоспарға сәйкес облыс бойынша өңдеу өнеркәсібі өнімінің экспортын 2026 жылғы 1 419,3 млн АҚШ долларынан 2030 жылы 1 500,0 млн АҚШ долларына дейін ұлғайту нысаналы көрсеткіш ретінде белгіленген. ИА үшін қазіргі кезеңде экспорттық жеткізілімдер расталмаған. Сондықтан аймақтың экспорттық көрсеткішке қосар үлесі шетел нарықтары расталған жағдайда ғана ықтимал қосымша әсер ретінде қарастырылады; негізгі есептік нарық – ішкі құрылыс және инфрақұрылым жобалары.</w:t>
      </w:r>
    </w:p>
    <w:p w14:paraId="4050451E">
      <w:pPr>
        <w:spacing w:line="240" w:lineRule="auto"/>
        <w:rPr>
          <w:rFonts w:ascii="Cambria" w:hAnsi="Cambria"/>
          <w:lang w:val="ru-RU"/>
        </w:rPr>
      </w:pPr>
      <w:r>
        <w:rPr>
          <w:rFonts w:ascii="Cambria" w:hAnsi="Cambria"/>
          <w:lang w:val="ru-RU"/>
        </w:rPr>
        <w:t>Жобаның облыс экономикасы үшін ерекшелігі – шалғай орналасқан Байғанин ауданында жаңа өңдеу өндірістерін жергіліктендіру. ИА дамуын негіздейтін материалдарда аудан өндірісінің құрылымында өндіруші өнеркәсіп басым екені көрсетілген. Өңдеу кәсіпорындарын іске қосу экономиканы әртараптандыруға ықпал етеді, алайда салалық құрылымдағы түпкілікті өзгеріс объектілер пайдалануға беріліп, өндіріс пен қосылған құн статистикасы алынғаннан кейін ғана анықталуы мүмкін.</w:t>
      </w:r>
    </w:p>
    <w:p w14:paraId="3DA60A0D">
      <w:pPr>
        <w:spacing w:line="240" w:lineRule="auto"/>
        <w:rPr>
          <w:rFonts w:ascii="Cambria" w:hAnsi="Cambria"/>
          <w:lang w:val="ru-RU"/>
        </w:rPr>
      </w:pPr>
      <w:r>
        <w:rPr>
          <w:rFonts w:ascii="Cambria" w:hAnsi="Cambria"/>
          <w:lang w:val="ru-RU"/>
        </w:rPr>
        <w:t>Жобаны кәсіпкерлік, жер қатынастары, сәулет, энергетика, көлік және экология салаларындағы облыстық органдармен өзара байланыста іске асыру қажет. Алдын ала кезеңде 12,0 млрд теңге деп бағаланған инфрақұрылымды бюджеттік қаржыландыру үшін заңды көзді, жауапты ұйымды, объектілерді іске асыру тетігін және шығындарды тиісті құжаттар мен бюджет рәсімдеріне енгізу тәртібін бөлек айқындау қажет.</w:t>
      </w:r>
    </w:p>
    <w:p w14:paraId="25DC74EF">
      <w:pPr>
        <w:pStyle w:val="75"/>
        <w:spacing w:line="240" w:lineRule="auto"/>
        <w:rPr>
          <w:rFonts w:ascii="Cambria" w:hAnsi="Cambria"/>
          <w:lang w:val="ru-RU"/>
        </w:rPr>
      </w:pPr>
      <w:r>
        <w:rPr>
          <w:rFonts w:ascii="Cambria" w:hAnsi="Cambria"/>
          <w:lang w:val="ru-RU"/>
        </w:rPr>
        <w:t>7.2-кесте – ИА-ның Ақтөбе облысын дамытудың негізгі міндеттерімен байланысы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8" w:type="dxa"/>
          <w:left w:w="100" w:type="dxa"/>
          <w:bottom w:w="88" w:type="dxa"/>
          <w:right w:w="100" w:type="dxa"/>
        </w:tblCellMar>
      </w:tblPr>
      <w:tblGrid>
        <w:gridCol w:w="1910"/>
        <w:gridCol w:w="4122"/>
        <w:gridCol w:w="3467"/>
      </w:tblGrid>
      <w:tr w14:paraId="072E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tblHeader/>
          <w:jc w:val="center"/>
        </w:trPr>
        <w:tc>
          <w:tcPr>
            <w:tcW w:w="0" w:type="auto"/>
            <w:shd w:val="clear" w:color="auto" w:fill="23486F"/>
            <w:vAlign w:val="center"/>
          </w:tcPr>
          <w:p w14:paraId="157EB0FF">
            <w:pPr>
              <w:spacing w:after="0" w:line="240" w:lineRule="auto"/>
              <w:ind w:firstLine="0"/>
              <w:jc w:val="center"/>
              <w:rPr>
                <w:rFonts w:ascii="Cambria" w:hAnsi="Cambria"/>
              </w:rPr>
            </w:pPr>
            <w:r>
              <w:rPr>
                <w:rFonts w:ascii="Cambria" w:hAnsi="Cambria"/>
                <w:b/>
                <w:color w:val="FFFFFF"/>
                <w:sz w:val="15"/>
              </w:rPr>
              <w:t>Өңірді дамыту міндеті</w:t>
            </w:r>
          </w:p>
        </w:tc>
        <w:tc>
          <w:tcPr>
            <w:tcW w:w="0" w:type="auto"/>
            <w:shd w:val="clear" w:color="auto" w:fill="23486F"/>
            <w:vAlign w:val="center"/>
          </w:tcPr>
          <w:p w14:paraId="3858D4A5">
            <w:pPr>
              <w:spacing w:after="0" w:line="240" w:lineRule="auto"/>
              <w:ind w:firstLine="0"/>
              <w:jc w:val="center"/>
              <w:rPr>
                <w:rFonts w:ascii="Cambria" w:hAnsi="Cambria"/>
              </w:rPr>
            </w:pPr>
            <w:r>
              <w:rPr>
                <w:rFonts w:ascii="Cambria" w:hAnsi="Cambria"/>
                <w:b/>
                <w:color w:val="FFFFFF"/>
                <w:sz w:val="15"/>
              </w:rPr>
              <w:t>Жобаның болжамды үлесі</w:t>
            </w:r>
          </w:p>
        </w:tc>
        <w:tc>
          <w:tcPr>
            <w:tcW w:w="0" w:type="auto"/>
            <w:shd w:val="clear" w:color="auto" w:fill="23486F"/>
            <w:vAlign w:val="center"/>
          </w:tcPr>
          <w:p w14:paraId="42E285A6">
            <w:pPr>
              <w:spacing w:after="0" w:line="240" w:lineRule="auto"/>
              <w:ind w:firstLine="0"/>
              <w:jc w:val="center"/>
              <w:rPr>
                <w:rFonts w:ascii="Cambria" w:hAnsi="Cambria"/>
              </w:rPr>
            </w:pPr>
            <w:r>
              <w:rPr>
                <w:rFonts w:ascii="Cambria" w:hAnsi="Cambria"/>
                <w:b/>
                <w:color w:val="FFFFFF"/>
                <w:sz w:val="15"/>
              </w:rPr>
              <w:t>Шектеулер / шарттар</w:t>
            </w:r>
          </w:p>
        </w:tc>
      </w:tr>
      <w:tr w14:paraId="31D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0B74475E">
            <w:pPr>
              <w:spacing w:after="0" w:line="240" w:lineRule="auto"/>
              <w:ind w:firstLine="0"/>
              <w:jc w:val="left"/>
              <w:rPr>
                <w:rFonts w:ascii="Cambria" w:hAnsi="Cambria"/>
                <w:lang w:val="ru-RU"/>
              </w:rPr>
            </w:pPr>
            <w:r>
              <w:rPr>
                <w:rFonts w:ascii="Cambria" w:hAnsi="Cambria"/>
                <w:color w:val="1C2839"/>
                <w:sz w:val="16"/>
                <w:lang w:val="ru-RU"/>
              </w:rPr>
              <w:t>Негізгі капиталға инвестиция тарту</w:t>
            </w:r>
          </w:p>
        </w:tc>
        <w:tc>
          <w:tcPr>
            <w:tcW w:w="0" w:type="auto"/>
            <w:vAlign w:val="center"/>
          </w:tcPr>
          <w:p w14:paraId="06E2A171">
            <w:pPr>
              <w:spacing w:after="0" w:line="240" w:lineRule="auto"/>
              <w:ind w:firstLine="0"/>
              <w:jc w:val="left"/>
              <w:rPr>
                <w:rFonts w:ascii="Cambria" w:hAnsi="Cambria"/>
                <w:lang w:val="ru-RU"/>
              </w:rPr>
            </w:pPr>
            <w:r>
              <w:rPr>
                <w:rFonts w:ascii="Cambria" w:hAnsi="Cambria"/>
                <w:color w:val="1C2839"/>
                <w:sz w:val="16"/>
                <w:lang w:val="ru-RU"/>
              </w:rPr>
              <w:t>Жеті өндіріс үшін 38,7 млрд теңге ықтимал жеке инвестиция; инфрақұрылымға 12,0 млрд теңге алдын ала шығын.</w:t>
            </w:r>
          </w:p>
        </w:tc>
        <w:tc>
          <w:tcPr>
            <w:tcW w:w="0" w:type="auto"/>
            <w:vAlign w:val="center"/>
          </w:tcPr>
          <w:p w14:paraId="3F5819AF">
            <w:pPr>
              <w:spacing w:after="0" w:line="240" w:lineRule="auto"/>
              <w:ind w:firstLine="0"/>
              <w:jc w:val="left"/>
              <w:rPr>
                <w:rFonts w:ascii="Cambria" w:hAnsi="Cambria"/>
                <w:lang w:val="ru-RU"/>
              </w:rPr>
            </w:pPr>
            <w:r>
              <w:rPr>
                <w:rFonts w:ascii="Cambria" w:hAnsi="Cambria"/>
                <w:color w:val="1C2839"/>
                <w:sz w:val="16"/>
                <w:lang w:val="ru-RU"/>
              </w:rPr>
              <w:t>Көрсеткіштер есептік; инвесторлар, ТЭН/ЖСҚ және қаржыландыру жөніндегі шешімдер қажет.</w:t>
            </w:r>
          </w:p>
        </w:tc>
      </w:tr>
      <w:tr w14:paraId="5EB1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3090B566">
            <w:pPr>
              <w:spacing w:after="0" w:line="240" w:lineRule="auto"/>
              <w:ind w:firstLine="0"/>
              <w:jc w:val="left"/>
              <w:rPr>
                <w:rFonts w:ascii="Cambria" w:hAnsi="Cambria"/>
              </w:rPr>
            </w:pPr>
            <w:r>
              <w:rPr>
                <w:rFonts w:ascii="Cambria" w:hAnsi="Cambria"/>
                <w:color w:val="1C2839"/>
                <w:sz w:val="16"/>
              </w:rPr>
              <w:t>Өңдеу өнеркәсібін дамыту</w:t>
            </w:r>
          </w:p>
        </w:tc>
        <w:tc>
          <w:tcPr>
            <w:tcW w:w="0" w:type="auto"/>
            <w:shd w:val="clear" w:color="auto" w:fill="F0F5F9"/>
            <w:vAlign w:val="center"/>
          </w:tcPr>
          <w:p w14:paraId="3A8BE16C">
            <w:pPr>
              <w:spacing w:after="0" w:line="240" w:lineRule="auto"/>
              <w:ind w:firstLine="0"/>
              <w:jc w:val="left"/>
              <w:rPr>
                <w:rFonts w:ascii="Cambria" w:hAnsi="Cambria"/>
                <w:lang w:val="ru-RU"/>
              </w:rPr>
            </w:pPr>
            <w:r>
              <w:rPr>
                <w:rFonts w:ascii="Cambria" w:hAnsi="Cambria"/>
                <w:color w:val="1C2839"/>
                <w:sz w:val="16"/>
                <w:lang w:val="ru-RU"/>
              </w:rPr>
              <w:t>Толық жүктеме кезінде ақшалай мәндегі есептік жылдық өнім көлемі 41,05 млрд теңгеге дейін.</w:t>
            </w:r>
          </w:p>
        </w:tc>
        <w:tc>
          <w:tcPr>
            <w:tcW w:w="0" w:type="auto"/>
            <w:shd w:val="clear" w:color="auto" w:fill="F0F5F9"/>
            <w:vAlign w:val="center"/>
          </w:tcPr>
          <w:p w14:paraId="2353BE22">
            <w:pPr>
              <w:spacing w:after="0" w:line="240" w:lineRule="auto"/>
              <w:ind w:firstLine="0"/>
              <w:jc w:val="left"/>
              <w:rPr>
                <w:rFonts w:ascii="Cambria" w:hAnsi="Cambria"/>
                <w:lang w:val="ru-RU"/>
              </w:rPr>
            </w:pPr>
            <w:r>
              <w:rPr>
                <w:rFonts w:ascii="Cambria" w:hAnsi="Cambria"/>
                <w:color w:val="1C2839"/>
                <w:sz w:val="16"/>
                <w:lang w:val="ru-RU"/>
              </w:rPr>
              <w:t>Түсім жалпы қосылған құнға тең емес; сату көлемі сұраныс пен логистикаға тәуелді.</w:t>
            </w:r>
          </w:p>
        </w:tc>
      </w:tr>
      <w:tr w14:paraId="10F2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69DC4061">
            <w:pPr>
              <w:spacing w:after="0" w:line="240" w:lineRule="auto"/>
              <w:ind w:firstLine="0"/>
              <w:jc w:val="left"/>
              <w:rPr>
                <w:rFonts w:ascii="Cambria" w:hAnsi="Cambria"/>
              </w:rPr>
            </w:pPr>
            <w:r>
              <w:rPr>
                <w:rFonts w:ascii="Cambria" w:hAnsi="Cambria"/>
                <w:color w:val="1C2839"/>
                <w:sz w:val="16"/>
              </w:rPr>
              <w:t>Аудандарда жұмыспен қамтуды құру</w:t>
            </w:r>
          </w:p>
        </w:tc>
        <w:tc>
          <w:tcPr>
            <w:tcW w:w="0" w:type="auto"/>
            <w:vAlign w:val="center"/>
          </w:tcPr>
          <w:p w14:paraId="419EBC7A">
            <w:pPr>
              <w:spacing w:after="0" w:line="240" w:lineRule="auto"/>
              <w:ind w:firstLine="0"/>
              <w:jc w:val="left"/>
              <w:rPr>
                <w:rFonts w:ascii="Cambria" w:hAnsi="Cambria"/>
                <w:lang w:val="ru-RU"/>
              </w:rPr>
            </w:pPr>
            <w:r>
              <w:rPr>
                <w:rFonts w:ascii="Cambria" w:hAnsi="Cambria"/>
                <w:color w:val="1C2839"/>
                <w:sz w:val="16"/>
                <w:lang w:val="ru-RU"/>
              </w:rPr>
              <w:t>605 тұрақты жұмыс орны; құрылыс кезеңдерінде жиынтығында 840 уақытша жұмыс орны.</w:t>
            </w:r>
          </w:p>
        </w:tc>
        <w:tc>
          <w:tcPr>
            <w:tcW w:w="0" w:type="auto"/>
            <w:vAlign w:val="center"/>
          </w:tcPr>
          <w:p w14:paraId="01B17C1A">
            <w:pPr>
              <w:spacing w:after="0" w:line="240" w:lineRule="auto"/>
              <w:ind w:firstLine="0"/>
              <w:jc w:val="left"/>
              <w:rPr>
                <w:rFonts w:ascii="Cambria" w:hAnsi="Cambria"/>
                <w:lang w:val="ru-RU"/>
              </w:rPr>
            </w:pPr>
            <w:r>
              <w:rPr>
                <w:rFonts w:ascii="Cambria" w:hAnsi="Cambria"/>
                <w:color w:val="1C2839"/>
                <w:sz w:val="16"/>
                <w:lang w:val="ru-RU"/>
              </w:rPr>
              <w:t>Саны резиденттердің бизнес-жоспарларында нақтылануға тиіс; 840 – бір мезгілдегі жұмыскер саны емес.</w:t>
            </w:r>
          </w:p>
        </w:tc>
      </w:tr>
      <w:tr w14:paraId="5D2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45383FBB">
            <w:pPr>
              <w:spacing w:after="0" w:line="240" w:lineRule="auto"/>
              <w:ind w:firstLine="0"/>
              <w:jc w:val="left"/>
              <w:rPr>
                <w:rFonts w:ascii="Cambria" w:hAnsi="Cambria"/>
              </w:rPr>
            </w:pPr>
            <w:r>
              <w:rPr>
                <w:rFonts w:ascii="Cambria" w:hAnsi="Cambria"/>
                <w:color w:val="1C2839"/>
                <w:sz w:val="16"/>
              </w:rPr>
              <w:t>Инфрақұрылымның қолжетімділігін арттыру</w:t>
            </w:r>
          </w:p>
        </w:tc>
        <w:tc>
          <w:tcPr>
            <w:tcW w:w="0" w:type="auto"/>
            <w:shd w:val="clear" w:color="auto" w:fill="F0F5F9"/>
            <w:vAlign w:val="center"/>
          </w:tcPr>
          <w:p w14:paraId="19F1C71F">
            <w:pPr>
              <w:spacing w:after="0" w:line="240" w:lineRule="auto"/>
              <w:ind w:firstLine="0"/>
              <w:jc w:val="left"/>
              <w:rPr>
                <w:rFonts w:ascii="Cambria" w:hAnsi="Cambria"/>
                <w:lang w:val="ru-RU"/>
              </w:rPr>
            </w:pPr>
            <w:r>
              <w:rPr>
                <w:rFonts w:ascii="Cambria" w:hAnsi="Cambria"/>
                <w:color w:val="1C2839"/>
                <w:sz w:val="16"/>
                <w:lang w:val="ru-RU"/>
              </w:rPr>
              <w:t>Екі алаңды өнеркәсіптік тораптың электрмен, сумен, автомобиль жолымен және теміржол инфрақұрылымымен байланыстыру.</w:t>
            </w:r>
          </w:p>
        </w:tc>
        <w:tc>
          <w:tcPr>
            <w:tcW w:w="0" w:type="auto"/>
            <w:shd w:val="clear" w:color="auto" w:fill="F0F5F9"/>
            <w:vAlign w:val="center"/>
          </w:tcPr>
          <w:p w14:paraId="6B70B019">
            <w:pPr>
              <w:spacing w:after="0" w:line="240" w:lineRule="auto"/>
              <w:ind w:firstLine="0"/>
              <w:jc w:val="left"/>
              <w:rPr>
                <w:rFonts w:ascii="Cambria" w:hAnsi="Cambria"/>
                <w:lang w:val="ru-RU"/>
              </w:rPr>
            </w:pPr>
            <w:r>
              <w:rPr>
                <w:rFonts w:ascii="Cambria" w:hAnsi="Cambria"/>
                <w:color w:val="1C2839"/>
                <w:sz w:val="16"/>
                <w:lang w:val="ru-RU"/>
              </w:rPr>
              <w:t>Келісілген техникалық шарттар, қолжетімді қуат резерві және инфрақұрылым иелерімен шарттар қажет.</w:t>
            </w:r>
          </w:p>
        </w:tc>
      </w:tr>
      <w:tr w14:paraId="018D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488CE54D">
            <w:pPr>
              <w:spacing w:after="0" w:line="240" w:lineRule="auto"/>
              <w:ind w:firstLine="0"/>
              <w:jc w:val="left"/>
              <w:rPr>
                <w:rFonts w:ascii="Cambria" w:hAnsi="Cambria"/>
                <w:lang w:val="ru-RU"/>
              </w:rPr>
            </w:pPr>
            <w:r>
              <w:rPr>
                <w:rFonts w:ascii="Cambria" w:hAnsi="Cambria"/>
                <w:color w:val="1C2839"/>
                <w:sz w:val="16"/>
                <w:lang w:val="ru-RU"/>
              </w:rPr>
              <w:t>Кәсіпкерлік пен өнеркәсіптік кооперацияны дамыту</w:t>
            </w:r>
          </w:p>
        </w:tc>
        <w:tc>
          <w:tcPr>
            <w:tcW w:w="0" w:type="auto"/>
            <w:vAlign w:val="center"/>
          </w:tcPr>
          <w:p w14:paraId="6045A79E">
            <w:pPr>
              <w:spacing w:after="0" w:line="240" w:lineRule="auto"/>
              <w:ind w:firstLine="0"/>
              <w:jc w:val="left"/>
              <w:rPr>
                <w:rFonts w:ascii="Cambria" w:hAnsi="Cambria"/>
                <w:lang w:val="ru-RU"/>
              </w:rPr>
            </w:pPr>
            <w:r>
              <w:rPr>
                <w:rFonts w:ascii="Cambria" w:hAnsi="Cambria"/>
                <w:color w:val="1C2839"/>
                <w:sz w:val="16"/>
                <w:lang w:val="ru-RU"/>
              </w:rPr>
              <w:t>Мердігерлік жұмыстар мен қызметтерге сұраныс құру; цемент негізіндегі өнім өндірісін дамыту.</w:t>
            </w:r>
          </w:p>
        </w:tc>
        <w:tc>
          <w:tcPr>
            <w:tcW w:w="0" w:type="auto"/>
            <w:vAlign w:val="center"/>
          </w:tcPr>
          <w:p w14:paraId="6B3C40C5">
            <w:pPr>
              <w:spacing w:after="0" w:line="240" w:lineRule="auto"/>
              <w:ind w:firstLine="0"/>
              <w:jc w:val="left"/>
              <w:rPr>
                <w:rFonts w:ascii="Cambria" w:hAnsi="Cambria"/>
                <w:lang w:val="ru-RU"/>
              </w:rPr>
            </w:pPr>
            <w:r>
              <w:rPr>
                <w:rFonts w:ascii="Cambria" w:hAnsi="Cambria"/>
                <w:color w:val="1C2839"/>
                <w:sz w:val="16"/>
                <w:lang w:val="ru-RU"/>
              </w:rPr>
              <w:t>Кооперацияның коммерциялық шарттары мен қатысушылар тізбесі алдын ала бекітілмеген.</w:t>
            </w:r>
          </w:p>
        </w:tc>
      </w:tr>
    </w:tbl>
    <w:p w14:paraId="370E468F">
      <w:pPr>
        <w:spacing w:line="240" w:lineRule="auto"/>
        <w:rPr>
          <w:rFonts w:ascii="Cambria" w:hAnsi="Cambria"/>
          <w:lang w:val="ru-RU"/>
        </w:rPr>
      </w:pPr>
      <w:r>
        <w:rPr>
          <w:rFonts w:ascii="Cambria" w:hAnsi="Cambria"/>
          <w:lang w:val="ru-RU"/>
        </w:rPr>
        <w:t>Осылайша, ИА қалыптастыру жөніндегі негізгі іс-шаралар Ақтөбе облысының экономиканы әртараптандыру, өңдеу өндірістерін кеңейту, капитал тарту және тұрақты жұмыспен қамтуды қамтамасыз ету жөніндегі стратегиялық басымдықтарына сәйкес келеді.</w:t>
      </w:r>
    </w:p>
    <w:p w14:paraId="39B5A621">
      <w:pPr>
        <w:pStyle w:val="3"/>
        <w:spacing w:line="240" w:lineRule="auto"/>
        <w:rPr>
          <w:rFonts w:ascii="Cambria" w:hAnsi="Cambria"/>
          <w:lang w:val="ru-RU"/>
        </w:rPr>
      </w:pPr>
      <w:bookmarkStart w:id="34" w:name="__RefHeading___Toc9550_2617525462"/>
      <w:bookmarkEnd w:id="34"/>
      <w:r>
        <w:rPr>
          <w:rFonts w:ascii="Cambria" w:hAnsi="Cambria"/>
          <w:lang w:val="ru-RU"/>
        </w:rPr>
        <w:t>7.3. Индустриялық аймақтың мемлекеттік жоспарлаудың нысаналы көрсеткіштеріне қосатын үлесі</w:t>
      </w:r>
    </w:p>
    <w:p w14:paraId="08B31E8D">
      <w:pPr>
        <w:spacing w:line="240" w:lineRule="auto"/>
        <w:rPr>
          <w:rFonts w:ascii="Cambria" w:hAnsi="Cambria"/>
          <w:lang w:val="ru-RU"/>
        </w:rPr>
      </w:pPr>
      <w:r>
        <w:rPr>
          <w:rFonts w:ascii="Cambria" w:hAnsi="Cambria"/>
          <w:lang w:val="ru-RU"/>
        </w:rPr>
        <w:t>ИА-ның мемлекеттік жоспарлау көрсеткіштеріне қосатын үлесі тікелей және түпкілікті нәтижелер жүйесі арқылы бағаланды. Тікелей нәтижелер аумақты қалыптастыруды, инвестициялар көлемін, өндірістерді іске қосуды және жұмыс орындарын құруды сипаттайды. Жанама нәтижелерге өңдеу өнеркәсібі өнімінің өсуі, мердігерлік кооперацияны дамыту, салық базасын кеңейту және ауданның экономикалық белсенділігін арттыру жатады. Қосарланған есепке жол бермеу үшін цемент зауытына салынатын инвестициялар мен оның өндірістік көрсеткіштері ИА резиденттерінің нәтижелерінен бөлек қарастырылады.</w:t>
      </w:r>
    </w:p>
    <w:p w14:paraId="5AA7C38A">
      <w:pPr>
        <w:spacing w:line="240" w:lineRule="auto"/>
        <w:rPr>
          <w:rFonts w:ascii="Cambria" w:hAnsi="Cambria"/>
          <w:lang w:val="ru-RU"/>
        </w:rPr>
      </w:pPr>
      <w:r>
        <w:rPr>
          <w:rFonts w:ascii="Cambria" w:hAnsi="Cambria"/>
          <w:lang w:val="ru-RU"/>
        </w:rPr>
        <w:t>Алдын ала портфельге сәйкес, жеті әлеуетті инвестициялық жоба ИА аумағының 53 гектарында орналастырылып, кәсіпорындар толық жүктелген кезде жылына 41,05 млрд теңге түсім алуға бағдарланған. Мұндай өндіріс көлеміне кезең-кезеңімен қол жеткізу көзделеді және ол технологиялық желілердің нақты іске қосылуына, қуаттарды пайдалану жоспарлы коэффициенттеріне жетуге, цемент, су және электр жеткізуді ұйымдастыруға, сондай-ақ кәсіпорындардың өңіраралық нарықтарға бәсекеге қабілетті тасымалдау құнымен өнім жеткізу қабілетіне байланысты болады.</w:t>
      </w:r>
    </w:p>
    <w:p w14:paraId="71056770">
      <w:pPr>
        <w:pStyle w:val="75"/>
        <w:spacing w:line="240" w:lineRule="auto"/>
        <w:rPr>
          <w:rFonts w:ascii="Cambria" w:hAnsi="Cambria"/>
          <w:lang w:val="ru-RU"/>
        </w:rPr>
      </w:pPr>
      <w:r>
        <w:rPr>
          <w:rFonts w:ascii="Cambria" w:hAnsi="Cambria"/>
          <w:lang w:val="ru-RU"/>
        </w:rPr>
        <w:t>7.3-кесте – ИА-ның өңірді дамытуға қосатын үлесінің алдын ала көрсеткіштері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8" w:type="dxa"/>
          <w:left w:w="100" w:type="dxa"/>
          <w:bottom w:w="88" w:type="dxa"/>
          <w:right w:w="100" w:type="dxa"/>
        </w:tblCellMar>
      </w:tblPr>
      <w:tblGrid>
        <w:gridCol w:w="2367"/>
        <w:gridCol w:w="2281"/>
        <w:gridCol w:w="4851"/>
      </w:tblGrid>
      <w:tr w14:paraId="1DD5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tblHeader/>
          <w:jc w:val="center"/>
        </w:trPr>
        <w:tc>
          <w:tcPr>
            <w:tcW w:w="0" w:type="auto"/>
            <w:shd w:val="clear" w:color="auto" w:fill="23486F"/>
            <w:vAlign w:val="center"/>
          </w:tcPr>
          <w:p w14:paraId="775E1983">
            <w:pPr>
              <w:spacing w:after="0" w:line="240" w:lineRule="auto"/>
              <w:ind w:firstLine="0"/>
              <w:jc w:val="center"/>
              <w:rPr>
                <w:rFonts w:ascii="Cambria" w:hAnsi="Cambria"/>
              </w:rPr>
            </w:pPr>
            <w:r>
              <w:rPr>
                <w:rFonts w:ascii="Cambria" w:hAnsi="Cambria"/>
                <w:b/>
                <w:color w:val="FFFFFF"/>
                <w:sz w:val="15"/>
              </w:rPr>
              <w:t>Көрсеткіш</w:t>
            </w:r>
          </w:p>
        </w:tc>
        <w:tc>
          <w:tcPr>
            <w:tcW w:w="0" w:type="auto"/>
            <w:shd w:val="clear" w:color="auto" w:fill="23486F"/>
            <w:vAlign w:val="center"/>
          </w:tcPr>
          <w:p w14:paraId="7005B118">
            <w:pPr>
              <w:spacing w:after="0" w:line="240" w:lineRule="auto"/>
              <w:ind w:firstLine="0"/>
              <w:jc w:val="center"/>
              <w:rPr>
                <w:rFonts w:ascii="Cambria" w:hAnsi="Cambria"/>
              </w:rPr>
            </w:pPr>
            <w:r>
              <w:rPr>
                <w:rFonts w:ascii="Cambria" w:hAnsi="Cambria"/>
                <w:b/>
                <w:color w:val="FFFFFF"/>
                <w:sz w:val="15"/>
              </w:rPr>
              <w:t>Есептік мән</w:t>
            </w:r>
          </w:p>
        </w:tc>
        <w:tc>
          <w:tcPr>
            <w:tcW w:w="0" w:type="auto"/>
            <w:shd w:val="clear" w:color="auto" w:fill="23486F"/>
            <w:vAlign w:val="center"/>
          </w:tcPr>
          <w:p w14:paraId="2567E553">
            <w:pPr>
              <w:spacing w:after="0" w:line="240" w:lineRule="auto"/>
              <w:ind w:firstLine="0"/>
              <w:jc w:val="center"/>
              <w:rPr>
                <w:rFonts w:ascii="Cambria" w:hAnsi="Cambria"/>
                <w:lang w:val="ru-RU"/>
              </w:rPr>
            </w:pPr>
            <w:r>
              <w:rPr>
                <w:rFonts w:ascii="Cambria" w:hAnsi="Cambria"/>
                <w:b/>
                <w:color w:val="FFFFFF"/>
                <w:sz w:val="15"/>
                <w:lang w:val="ru-RU"/>
              </w:rPr>
              <w:t>Жоспарлау құжаттарымен байланысы / есепке алу шарттары</w:t>
            </w:r>
          </w:p>
        </w:tc>
      </w:tr>
      <w:tr w14:paraId="413B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1E0ADFEB">
            <w:pPr>
              <w:spacing w:after="0" w:line="240" w:lineRule="auto"/>
              <w:ind w:firstLine="0"/>
              <w:jc w:val="left"/>
              <w:rPr>
                <w:rFonts w:ascii="Cambria" w:hAnsi="Cambria"/>
              </w:rPr>
            </w:pPr>
            <w:r>
              <w:rPr>
                <w:rFonts w:ascii="Cambria" w:hAnsi="Cambria"/>
                <w:color w:val="1C2839"/>
                <w:sz w:val="16"/>
              </w:rPr>
              <w:t>Құрылатын ИА ауданы</w:t>
            </w:r>
          </w:p>
        </w:tc>
        <w:tc>
          <w:tcPr>
            <w:tcW w:w="0" w:type="auto"/>
            <w:vAlign w:val="center"/>
          </w:tcPr>
          <w:p w14:paraId="223D017B">
            <w:pPr>
              <w:spacing w:after="0" w:line="240" w:lineRule="auto"/>
              <w:ind w:firstLine="0"/>
              <w:jc w:val="left"/>
              <w:rPr>
                <w:rFonts w:ascii="Cambria" w:hAnsi="Cambria"/>
              </w:rPr>
            </w:pPr>
            <w:r>
              <w:rPr>
                <w:rFonts w:ascii="Cambria" w:hAnsi="Cambria"/>
                <w:color w:val="1C2839"/>
                <w:sz w:val="16"/>
              </w:rPr>
              <w:t>200 га (122 және 78 га алаңдар)</w:t>
            </w:r>
          </w:p>
        </w:tc>
        <w:tc>
          <w:tcPr>
            <w:tcW w:w="0" w:type="auto"/>
            <w:vAlign w:val="center"/>
          </w:tcPr>
          <w:p w14:paraId="196E8DA0">
            <w:pPr>
              <w:spacing w:after="0" w:line="240" w:lineRule="auto"/>
              <w:ind w:firstLine="0"/>
              <w:jc w:val="left"/>
              <w:rPr>
                <w:rFonts w:ascii="Cambria" w:hAnsi="Cambria"/>
                <w:lang w:val="ru-RU"/>
              </w:rPr>
            </w:pPr>
            <w:r>
              <w:rPr>
                <w:rFonts w:ascii="Cambria" w:hAnsi="Cambria"/>
                <w:color w:val="1C2839"/>
                <w:sz w:val="16"/>
                <w:lang w:val="ru-RU"/>
              </w:rPr>
              <w:t>Өнеркәсіптік алаң қалыптастыру; жер құқықтары рәсімделгеннен кейінгі нәтиже.</w:t>
            </w:r>
          </w:p>
        </w:tc>
      </w:tr>
      <w:tr w14:paraId="7A00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31247DF7">
            <w:pPr>
              <w:spacing w:after="0" w:line="240" w:lineRule="auto"/>
              <w:ind w:firstLine="0"/>
              <w:jc w:val="left"/>
              <w:rPr>
                <w:rFonts w:ascii="Cambria" w:hAnsi="Cambria"/>
              </w:rPr>
            </w:pPr>
            <w:r>
              <w:rPr>
                <w:rFonts w:ascii="Cambria" w:hAnsi="Cambria"/>
                <w:color w:val="1C2839"/>
                <w:sz w:val="16"/>
              </w:rPr>
              <w:t>Әлеуетті жобалар саны</w:t>
            </w:r>
          </w:p>
        </w:tc>
        <w:tc>
          <w:tcPr>
            <w:tcW w:w="0" w:type="auto"/>
            <w:shd w:val="clear" w:color="auto" w:fill="F0F5F9"/>
            <w:vAlign w:val="center"/>
          </w:tcPr>
          <w:p w14:paraId="60013689">
            <w:pPr>
              <w:spacing w:after="0" w:line="240" w:lineRule="auto"/>
              <w:ind w:firstLine="0"/>
              <w:jc w:val="left"/>
              <w:rPr>
                <w:rFonts w:ascii="Cambria" w:hAnsi="Cambria"/>
              </w:rPr>
            </w:pPr>
            <w:r>
              <w:rPr>
                <w:rFonts w:ascii="Cambria" w:hAnsi="Cambria"/>
                <w:color w:val="1C2839"/>
                <w:sz w:val="16"/>
              </w:rPr>
              <w:t>7 өндірістік кәсіпорын</w:t>
            </w:r>
          </w:p>
        </w:tc>
        <w:tc>
          <w:tcPr>
            <w:tcW w:w="0" w:type="auto"/>
            <w:shd w:val="clear" w:color="auto" w:fill="F0F5F9"/>
            <w:vAlign w:val="center"/>
          </w:tcPr>
          <w:p w14:paraId="2995FC63">
            <w:pPr>
              <w:spacing w:after="0" w:line="240" w:lineRule="auto"/>
              <w:ind w:firstLine="0"/>
              <w:jc w:val="left"/>
              <w:rPr>
                <w:rFonts w:ascii="Cambria" w:hAnsi="Cambria"/>
                <w:lang w:val="ru-RU"/>
              </w:rPr>
            </w:pPr>
            <w:r>
              <w:rPr>
                <w:rFonts w:ascii="Cambria" w:hAnsi="Cambria"/>
                <w:color w:val="1C2839"/>
                <w:sz w:val="16"/>
                <w:lang w:val="ru-RU"/>
              </w:rPr>
              <w:t>Өндірістік базаны кеңейту; нақты іске қосылған жобалар саны есепке алынады.</w:t>
            </w:r>
          </w:p>
        </w:tc>
      </w:tr>
      <w:tr w14:paraId="105A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75E0A10F">
            <w:pPr>
              <w:spacing w:after="0" w:line="240" w:lineRule="auto"/>
              <w:ind w:firstLine="0"/>
              <w:jc w:val="left"/>
              <w:rPr>
                <w:rFonts w:ascii="Cambria" w:hAnsi="Cambria"/>
              </w:rPr>
            </w:pPr>
            <w:r>
              <w:rPr>
                <w:rFonts w:ascii="Cambria" w:hAnsi="Cambria"/>
                <w:color w:val="1C2839"/>
                <w:sz w:val="16"/>
              </w:rPr>
              <w:t>Резиденттердің жеке инвестициялары</w:t>
            </w:r>
          </w:p>
        </w:tc>
        <w:tc>
          <w:tcPr>
            <w:tcW w:w="0" w:type="auto"/>
            <w:vAlign w:val="center"/>
          </w:tcPr>
          <w:p w14:paraId="458FA114">
            <w:pPr>
              <w:spacing w:after="0" w:line="240" w:lineRule="auto"/>
              <w:ind w:firstLine="0"/>
              <w:jc w:val="left"/>
              <w:rPr>
                <w:rFonts w:ascii="Cambria" w:hAnsi="Cambria"/>
              </w:rPr>
            </w:pPr>
            <w:r>
              <w:rPr>
                <w:rFonts w:ascii="Cambria" w:hAnsi="Cambria"/>
                <w:color w:val="1C2839"/>
                <w:sz w:val="16"/>
              </w:rPr>
              <w:t>38,7 млрд теңге</w:t>
            </w:r>
          </w:p>
        </w:tc>
        <w:tc>
          <w:tcPr>
            <w:tcW w:w="0" w:type="auto"/>
            <w:vAlign w:val="center"/>
          </w:tcPr>
          <w:p w14:paraId="32235402">
            <w:pPr>
              <w:spacing w:after="0" w:line="240" w:lineRule="auto"/>
              <w:ind w:firstLine="0"/>
              <w:jc w:val="left"/>
              <w:rPr>
                <w:rFonts w:ascii="Cambria" w:hAnsi="Cambria"/>
                <w:lang w:val="ru-RU"/>
              </w:rPr>
            </w:pPr>
            <w:r>
              <w:rPr>
                <w:rFonts w:ascii="Cambria" w:hAnsi="Cambria"/>
                <w:color w:val="1C2839"/>
                <w:sz w:val="16"/>
                <w:lang w:val="ru-RU"/>
              </w:rPr>
              <w:t>Негізгі капиталға салынған инвестициялар нақты игерілген шығын көлемінде.</w:t>
            </w:r>
          </w:p>
        </w:tc>
      </w:tr>
      <w:tr w14:paraId="3179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7F968222">
            <w:pPr>
              <w:spacing w:after="0" w:line="240" w:lineRule="auto"/>
              <w:ind w:firstLine="0"/>
              <w:jc w:val="left"/>
              <w:rPr>
                <w:rFonts w:ascii="Cambria" w:hAnsi="Cambria"/>
              </w:rPr>
            </w:pPr>
            <w:r>
              <w:rPr>
                <w:rFonts w:ascii="Cambria" w:hAnsi="Cambria"/>
                <w:color w:val="1C2839"/>
                <w:sz w:val="16"/>
              </w:rPr>
              <w:t>Инфрақұрылымға салынатын инвестициялар</w:t>
            </w:r>
          </w:p>
        </w:tc>
        <w:tc>
          <w:tcPr>
            <w:tcW w:w="0" w:type="auto"/>
            <w:shd w:val="clear" w:color="auto" w:fill="F0F5F9"/>
            <w:vAlign w:val="center"/>
          </w:tcPr>
          <w:p w14:paraId="4C0B3C73">
            <w:pPr>
              <w:spacing w:after="0" w:line="240" w:lineRule="auto"/>
              <w:ind w:firstLine="0"/>
              <w:jc w:val="left"/>
              <w:rPr>
                <w:rFonts w:ascii="Cambria" w:hAnsi="Cambria"/>
              </w:rPr>
            </w:pPr>
            <w:r>
              <w:rPr>
                <w:rFonts w:ascii="Cambria" w:hAnsi="Cambria"/>
                <w:color w:val="1C2839"/>
                <w:sz w:val="16"/>
                <w:lang w:val="ru-RU"/>
              </w:rPr>
              <w:t>12,0 млрд теңге</w:t>
            </w:r>
          </w:p>
        </w:tc>
        <w:tc>
          <w:tcPr>
            <w:tcW w:w="0" w:type="auto"/>
            <w:shd w:val="clear" w:color="auto" w:fill="F0F5F9"/>
            <w:vAlign w:val="center"/>
          </w:tcPr>
          <w:p w14:paraId="661AE968">
            <w:pPr>
              <w:spacing w:after="0" w:line="240" w:lineRule="auto"/>
              <w:ind w:firstLine="0"/>
              <w:jc w:val="left"/>
              <w:rPr>
                <w:rFonts w:ascii="Cambria" w:hAnsi="Cambria"/>
                <w:lang w:val="ru-RU"/>
              </w:rPr>
            </w:pPr>
            <w:r>
              <w:rPr>
                <w:rFonts w:ascii="Cambria" w:hAnsi="Cambria"/>
                <w:color w:val="1C2839"/>
                <w:sz w:val="16"/>
                <w:lang w:val="ru-RU"/>
              </w:rPr>
              <w:t>Алдын ала бағалау; көздері мен қаржыландыруы бекітілуге тиіс.</w:t>
            </w:r>
          </w:p>
        </w:tc>
      </w:tr>
      <w:tr w14:paraId="02DE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10FE5C90">
            <w:pPr>
              <w:spacing w:after="0" w:line="240" w:lineRule="auto"/>
              <w:ind w:firstLine="0"/>
              <w:jc w:val="left"/>
              <w:rPr>
                <w:rFonts w:ascii="Cambria" w:hAnsi="Cambria"/>
              </w:rPr>
            </w:pPr>
            <w:r>
              <w:rPr>
                <w:rFonts w:ascii="Cambria" w:hAnsi="Cambria"/>
                <w:color w:val="1C2839"/>
                <w:sz w:val="16"/>
              </w:rPr>
              <w:t>Жиынтық инвестициялар</w:t>
            </w:r>
          </w:p>
        </w:tc>
        <w:tc>
          <w:tcPr>
            <w:tcW w:w="0" w:type="auto"/>
            <w:vAlign w:val="center"/>
          </w:tcPr>
          <w:p w14:paraId="0931A8C7">
            <w:pPr>
              <w:spacing w:after="0" w:line="240" w:lineRule="auto"/>
              <w:ind w:firstLine="0"/>
              <w:jc w:val="left"/>
              <w:rPr>
                <w:rFonts w:ascii="Cambria" w:hAnsi="Cambria"/>
              </w:rPr>
            </w:pPr>
            <w:r>
              <w:rPr>
                <w:rFonts w:ascii="Cambria" w:hAnsi="Cambria"/>
                <w:color w:val="1C2839"/>
                <w:sz w:val="16"/>
                <w:lang w:val="ru-RU"/>
              </w:rPr>
              <w:t>50,7 млрд теңге</w:t>
            </w:r>
          </w:p>
        </w:tc>
        <w:tc>
          <w:tcPr>
            <w:tcW w:w="0" w:type="auto"/>
            <w:vAlign w:val="center"/>
          </w:tcPr>
          <w:p w14:paraId="51249111">
            <w:pPr>
              <w:spacing w:after="0" w:line="240" w:lineRule="auto"/>
              <w:ind w:firstLine="0"/>
              <w:jc w:val="left"/>
              <w:rPr>
                <w:rFonts w:ascii="Cambria" w:hAnsi="Cambria"/>
                <w:lang w:val="ru-RU"/>
              </w:rPr>
            </w:pPr>
            <w:r>
              <w:rPr>
                <w:rFonts w:ascii="Cambria" w:hAnsi="Cambria"/>
                <w:color w:val="1C2839"/>
                <w:sz w:val="16"/>
                <w:lang w:val="ru-RU"/>
              </w:rPr>
              <w:t>Цемент зауытына және ортақ инфрақұрылым объектілеріне салынған инвестицияларды қайталап есептеуге жол берілмейді.</w:t>
            </w:r>
          </w:p>
        </w:tc>
      </w:tr>
      <w:tr w14:paraId="2A3B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1B4780BE">
            <w:pPr>
              <w:spacing w:after="0" w:line="240" w:lineRule="auto"/>
              <w:ind w:firstLine="0"/>
              <w:jc w:val="left"/>
              <w:rPr>
                <w:rFonts w:ascii="Cambria" w:hAnsi="Cambria"/>
              </w:rPr>
            </w:pPr>
            <w:r>
              <w:rPr>
                <w:rFonts w:ascii="Cambria" w:hAnsi="Cambria"/>
                <w:color w:val="1C2839"/>
                <w:sz w:val="16"/>
              </w:rPr>
              <w:t>Уақытша жұмыспен қамту</w:t>
            </w:r>
          </w:p>
        </w:tc>
        <w:tc>
          <w:tcPr>
            <w:tcW w:w="0" w:type="auto"/>
            <w:shd w:val="clear" w:color="auto" w:fill="F0F5F9"/>
            <w:vAlign w:val="center"/>
          </w:tcPr>
          <w:p w14:paraId="2122B160">
            <w:pPr>
              <w:spacing w:after="0" w:line="240" w:lineRule="auto"/>
              <w:ind w:firstLine="0"/>
              <w:jc w:val="left"/>
              <w:rPr>
                <w:rFonts w:ascii="Cambria" w:hAnsi="Cambria"/>
                <w:lang w:val="ru-RU"/>
              </w:rPr>
            </w:pPr>
            <w:r>
              <w:rPr>
                <w:rFonts w:ascii="Cambria" w:hAnsi="Cambria"/>
                <w:color w:val="1C2839"/>
                <w:sz w:val="16"/>
                <w:lang w:val="ru-RU"/>
              </w:rPr>
              <w:t>Құрылыс бойынша жиынтығында 840 жұмыс орны</w:t>
            </w:r>
          </w:p>
        </w:tc>
        <w:tc>
          <w:tcPr>
            <w:tcW w:w="0" w:type="auto"/>
            <w:shd w:val="clear" w:color="auto" w:fill="F0F5F9"/>
            <w:vAlign w:val="center"/>
          </w:tcPr>
          <w:p w14:paraId="4AFB6AC5">
            <w:pPr>
              <w:spacing w:after="0" w:line="240" w:lineRule="auto"/>
              <w:ind w:firstLine="0"/>
              <w:jc w:val="left"/>
              <w:rPr>
                <w:rFonts w:ascii="Cambria" w:hAnsi="Cambria"/>
                <w:lang w:val="ru-RU"/>
              </w:rPr>
            </w:pPr>
            <w:r>
              <w:rPr>
                <w:rFonts w:ascii="Cambria" w:hAnsi="Cambria"/>
                <w:color w:val="1C2839"/>
                <w:sz w:val="16"/>
                <w:lang w:val="ru-RU"/>
              </w:rPr>
              <w:t>Бір мезгілдегі жұмыскер саны ретінде емес, жылдар және нақты жұмыспен қамтылғандар бойынша есептеледі.</w:t>
            </w:r>
          </w:p>
        </w:tc>
      </w:tr>
      <w:tr w14:paraId="45C4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54EFF3B6">
            <w:pPr>
              <w:spacing w:after="0" w:line="240" w:lineRule="auto"/>
              <w:ind w:firstLine="0"/>
              <w:jc w:val="left"/>
              <w:rPr>
                <w:rFonts w:ascii="Cambria" w:hAnsi="Cambria"/>
              </w:rPr>
            </w:pPr>
            <w:r>
              <w:rPr>
                <w:rFonts w:ascii="Cambria" w:hAnsi="Cambria"/>
                <w:color w:val="1C2839"/>
                <w:sz w:val="16"/>
              </w:rPr>
              <w:t>Тұрақты жұмыспен қамту</w:t>
            </w:r>
          </w:p>
        </w:tc>
        <w:tc>
          <w:tcPr>
            <w:tcW w:w="0" w:type="auto"/>
            <w:vAlign w:val="center"/>
          </w:tcPr>
          <w:p w14:paraId="1465806F">
            <w:pPr>
              <w:spacing w:after="0" w:line="240" w:lineRule="auto"/>
              <w:ind w:firstLine="0"/>
              <w:jc w:val="left"/>
              <w:rPr>
                <w:rFonts w:ascii="Cambria" w:hAnsi="Cambria"/>
                <w:lang w:val="ru-RU"/>
              </w:rPr>
            </w:pPr>
            <w:r>
              <w:rPr>
                <w:rFonts w:ascii="Cambria" w:hAnsi="Cambria"/>
                <w:color w:val="1C2839"/>
                <w:sz w:val="16"/>
                <w:lang w:val="ru-RU"/>
              </w:rPr>
              <w:t>Портфель іске асырылған кезде 605 жұмыс орны</w:t>
            </w:r>
          </w:p>
        </w:tc>
        <w:tc>
          <w:tcPr>
            <w:tcW w:w="0" w:type="auto"/>
            <w:vAlign w:val="center"/>
          </w:tcPr>
          <w:p w14:paraId="14FCEAB5">
            <w:pPr>
              <w:spacing w:after="0" w:line="240" w:lineRule="auto"/>
              <w:ind w:firstLine="0"/>
              <w:jc w:val="left"/>
              <w:rPr>
                <w:rFonts w:ascii="Cambria" w:hAnsi="Cambria"/>
                <w:lang w:val="ru-RU"/>
              </w:rPr>
            </w:pPr>
            <w:r>
              <w:rPr>
                <w:rFonts w:ascii="Cambria" w:hAnsi="Cambria"/>
                <w:color w:val="1C2839"/>
                <w:sz w:val="16"/>
                <w:lang w:val="ru-RU"/>
              </w:rPr>
              <w:t>Өңдеу өнеркәсібіндегі жұмыс орындары; резиденттердің штат кестелерімен расталады.</w:t>
            </w:r>
          </w:p>
        </w:tc>
      </w:tr>
      <w:tr w14:paraId="3E39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shd w:val="clear" w:color="auto" w:fill="F0F5F9"/>
            <w:vAlign w:val="center"/>
          </w:tcPr>
          <w:p w14:paraId="2DE12B54">
            <w:pPr>
              <w:spacing w:after="0" w:line="240" w:lineRule="auto"/>
              <w:ind w:firstLine="0"/>
              <w:jc w:val="left"/>
              <w:rPr>
                <w:rFonts w:ascii="Cambria" w:hAnsi="Cambria"/>
                <w:lang w:val="ru-RU"/>
              </w:rPr>
            </w:pPr>
            <w:r>
              <w:rPr>
                <w:rFonts w:ascii="Cambria" w:hAnsi="Cambria"/>
                <w:color w:val="1C2839"/>
                <w:sz w:val="16"/>
                <w:lang w:val="ru-RU"/>
              </w:rPr>
              <w:t>Толық қуат кезіндегі жылдық түсім</w:t>
            </w:r>
          </w:p>
        </w:tc>
        <w:tc>
          <w:tcPr>
            <w:tcW w:w="0" w:type="auto"/>
            <w:shd w:val="clear" w:color="auto" w:fill="F0F5F9"/>
            <w:vAlign w:val="center"/>
          </w:tcPr>
          <w:p w14:paraId="3247F92D">
            <w:pPr>
              <w:spacing w:after="0" w:line="240" w:lineRule="auto"/>
              <w:ind w:firstLine="0"/>
              <w:jc w:val="left"/>
              <w:rPr>
                <w:rFonts w:ascii="Cambria" w:hAnsi="Cambria"/>
              </w:rPr>
            </w:pPr>
            <w:r>
              <w:rPr>
                <w:rFonts w:ascii="Cambria" w:hAnsi="Cambria"/>
                <w:color w:val="1C2839"/>
                <w:sz w:val="16"/>
              </w:rPr>
              <w:t>41,05 млрд теңге</w:t>
            </w:r>
          </w:p>
        </w:tc>
        <w:tc>
          <w:tcPr>
            <w:tcW w:w="0" w:type="auto"/>
            <w:shd w:val="clear" w:color="auto" w:fill="F0F5F9"/>
            <w:vAlign w:val="center"/>
          </w:tcPr>
          <w:p w14:paraId="0E2F0E04">
            <w:pPr>
              <w:spacing w:after="0" w:line="240" w:lineRule="auto"/>
              <w:ind w:firstLine="0"/>
              <w:jc w:val="left"/>
              <w:rPr>
                <w:rFonts w:ascii="Cambria" w:hAnsi="Cambria"/>
                <w:lang w:val="ru-RU"/>
              </w:rPr>
            </w:pPr>
            <w:r>
              <w:rPr>
                <w:rFonts w:ascii="Cambria" w:hAnsi="Cambria"/>
                <w:color w:val="1C2839"/>
                <w:sz w:val="16"/>
                <w:lang w:val="ru-RU"/>
              </w:rPr>
              <w:t>Жалпы өнім әлеуеті; жалпы қосылған құнға, пайдаға немесе бюджет кірісіне тең емес.</w:t>
            </w:r>
          </w:p>
        </w:tc>
      </w:tr>
      <w:tr w14:paraId="4F9F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8" w:type="dxa"/>
            <w:left w:w="100" w:type="dxa"/>
            <w:bottom w:w="88" w:type="dxa"/>
            <w:right w:w="100" w:type="dxa"/>
          </w:tblCellMar>
        </w:tblPrEx>
        <w:trPr>
          <w:cantSplit/>
          <w:jc w:val="center"/>
        </w:trPr>
        <w:tc>
          <w:tcPr>
            <w:tcW w:w="0" w:type="auto"/>
            <w:vAlign w:val="center"/>
          </w:tcPr>
          <w:p w14:paraId="3958E45C">
            <w:pPr>
              <w:spacing w:after="0" w:line="240" w:lineRule="auto"/>
              <w:ind w:firstLine="0"/>
              <w:jc w:val="left"/>
              <w:rPr>
                <w:rFonts w:ascii="Cambria" w:hAnsi="Cambria"/>
              </w:rPr>
            </w:pPr>
            <w:r>
              <w:rPr>
                <w:rFonts w:ascii="Cambria" w:hAnsi="Cambria"/>
                <w:color w:val="1C2839"/>
                <w:sz w:val="16"/>
              </w:rPr>
              <w:t>ИА-ға арналған электр қуаты</w:t>
            </w:r>
          </w:p>
        </w:tc>
        <w:tc>
          <w:tcPr>
            <w:tcW w:w="0" w:type="auto"/>
            <w:vAlign w:val="center"/>
          </w:tcPr>
          <w:p w14:paraId="223D6FC5">
            <w:pPr>
              <w:spacing w:after="0" w:line="240" w:lineRule="auto"/>
              <w:ind w:firstLine="0"/>
              <w:jc w:val="left"/>
              <w:rPr>
                <w:rFonts w:ascii="Cambria" w:hAnsi="Cambria"/>
              </w:rPr>
            </w:pPr>
            <w:r>
              <w:rPr>
                <w:rFonts w:ascii="Cambria" w:hAnsi="Cambria"/>
                <w:color w:val="1C2839"/>
                <w:sz w:val="16"/>
              </w:rPr>
              <w:t>10 МВт (жорамал)</w:t>
            </w:r>
          </w:p>
        </w:tc>
        <w:tc>
          <w:tcPr>
            <w:tcW w:w="0" w:type="auto"/>
            <w:vAlign w:val="center"/>
          </w:tcPr>
          <w:p w14:paraId="29F5A3F2">
            <w:pPr>
              <w:spacing w:after="0" w:line="240" w:lineRule="auto"/>
              <w:ind w:firstLine="0"/>
              <w:jc w:val="left"/>
              <w:rPr>
                <w:rFonts w:ascii="Cambria" w:hAnsi="Cambria"/>
                <w:lang w:val="ru-RU"/>
              </w:rPr>
            </w:pPr>
            <w:r>
              <w:rPr>
                <w:rFonts w:ascii="Cambria" w:hAnsi="Cambria"/>
                <w:color w:val="1C2839"/>
                <w:sz w:val="16"/>
                <w:lang w:val="ru-RU"/>
              </w:rPr>
              <w:t>Инженерлік қамтамасыз ету көрсеткіші; техникалық шарттармен расталады.</w:t>
            </w:r>
          </w:p>
        </w:tc>
      </w:tr>
    </w:tbl>
    <w:p w14:paraId="2CF693A2">
      <w:pPr>
        <w:spacing w:line="240" w:lineRule="auto"/>
        <w:rPr>
          <w:rFonts w:ascii="Cambria" w:hAnsi="Cambria"/>
          <w:lang w:val="ru-RU"/>
        </w:rPr>
      </w:pPr>
      <w:r>
        <w:rPr>
          <w:rFonts w:ascii="Cambria" w:hAnsi="Cambria"/>
          <w:lang w:val="ru-RU"/>
        </w:rPr>
        <w:t>Қосымша әлеуметтік-экономикалық әсер көлік, құрылыс-монтаждау, сервистік және коммуналдық қызметтерге сұраныстың артуынан, жергілікті жұмыскерлер біліктілігінің өсуінен және отандық жеткізушілер үшін қосымша тапсырыстар қалыптасуынан көрінуі мүмкін.</w:t>
      </w:r>
    </w:p>
    <w:p w14:paraId="7E706F62">
      <w:pPr>
        <w:spacing w:line="240" w:lineRule="auto"/>
        <w:rPr>
          <w:rFonts w:ascii="Cambria" w:hAnsi="Cambria"/>
          <w:lang w:val="ru-RU"/>
        </w:rPr>
      </w:pPr>
      <w:r>
        <w:rPr>
          <w:rFonts w:ascii="Cambria" w:hAnsi="Cambria"/>
          <w:lang w:val="ru-RU"/>
        </w:rPr>
        <w:t>Нәтижесінде «Байғанин» ИА құру өңдеу өнеркәсібі мен аумақтық даму жөніндегі ұлттық және облыстық басымдықтарды іске асырудың ықтимал құралы болып табылады. Стратегиялық құжаттарға сәйкестік көзделген іс-шаралардың бағытымен расталады, ал нысаналы көрсеткіштерге қосылатын сандық үлес инвесторлар расталып, жер учаскелері рәсімделіп, қосылу шарттары келісіліп және кәсіпорындар нақты пайдалануға берілгеннен кейін айқындалады.</w:t>
      </w:r>
    </w:p>
    <w:p w14:paraId="625769A6">
      <w:pPr>
        <w:pStyle w:val="2"/>
        <w:pageBreakBefore/>
        <w:spacing w:before="0" w:line="240" w:lineRule="auto"/>
        <w:rPr>
          <w:rFonts w:ascii="Cambria" w:hAnsi="Cambria"/>
          <w:lang w:val="ru-RU"/>
        </w:rPr>
      </w:pPr>
      <w:bookmarkStart w:id="35" w:name="__RefHeading___Toc9552_2617525462"/>
      <w:bookmarkEnd w:id="35"/>
      <w:r>
        <w:rPr>
          <w:rFonts w:ascii="Cambria" w:hAnsi="Cambria"/>
          <w:lang w:val="ru-RU"/>
        </w:rPr>
        <w:t>8. ӘРБІР КОМПОНЕНТ БОЙЫНША ІС-ШАРАЛАРДЫ ІСКЕ АСЫРУҒА ҚАРЖЫЛАНДЫРУ КӨЛЕМІНІҢ ЕСЕПТЕРІ ЖӘНЕ ТІКЕЛЕЙ ӘРІ ТҮПКІЛІКТІ НӘТИЖЕЛЕРГЕ ҚОЛ ЖЕТКІЗУ МҮМКІНДІГІ</w:t>
      </w:r>
    </w:p>
    <w:p w14:paraId="4E7CE2BD">
      <w:pPr>
        <w:spacing w:line="240" w:lineRule="auto"/>
        <w:rPr>
          <w:rFonts w:ascii="Cambria" w:hAnsi="Cambria"/>
          <w:lang w:val="ru-RU"/>
        </w:rPr>
      </w:pPr>
      <w:r>
        <w:rPr>
          <w:rFonts w:ascii="Cambria" w:hAnsi="Cambria"/>
          <w:lang w:val="ru-RU"/>
        </w:rPr>
        <w:t>Осы бөлімде күрделі шығындардың құрылымы, жекелеген іс-шаралар арасында қаржыландыру қажеттілігін бөлу және оларды іске асырудың күтілетін нәтижелері нақтыланады. Сондай-ақ инфрақұрылым мен өндірістік жобалар шығындарының компоненттік есебі, олардың болжамды кезеңділігі және өлшенетін нәтижелермен салыстырылуы беріледі.</w:t>
      </w:r>
    </w:p>
    <w:p w14:paraId="281359E8">
      <w:pPr>
        <w:spacing w:line="240" w:lineRule="auto"/>
        <w:rPr>
          <w:rFonts w:ascii="Cambria" w:hAnsi="Cambria"/>
          <w:lang w:val="ru-RU"/>
        </w:rPr>
      </w:pPr>
      <w:r>
        <w:rPr>
          <w:rFonts w:ascii="Cambria" w:hAnsi="Cambria"/>
          <w:lang w:val="ru-RU"/>
        </w:rPr>
        <w:t>Күрделі салымдардың жалпы көлемі 50,7 млрд теңгені құрайды. Кәсіпорындарда жоспарланған тұрақты жұмыспен қамту – 605 адам, құрылыс кезеңдері бойынша жиынтық уақытша жұмыспен қамту – 840 адам, ал толық жүктеме кезіндегі ықтимал жылдық түсім – 41,05 млрд теңге.</w:t>
      </w:r>
    </w:p>
    <w:p w14:paraId="096CECAE">
      <w:pPr>
        <w:spacing w:line="240" w:lineRule="auto"/>
        <w:rPr>
          <w:rFonts w:ascii="Cambria" w:hAnsi="Cambria"/>
          <w:lang w:val="ru-RU"/>
        </w:rPr>
      </w:pPr>
      <w:r>
        <w:rPr>
          <w:rFonts w:ascii="Cambria" w:hAnsi="Cambria"/>
          <w:lang w:val="ru-RU"/>
        </w:rPr>
        <w:t>Барлық ақшалай мәндер 2026 жылғы тұрақты шартты бағалармен берілген; шамалар ірілендірілген сараптамалық жорамалдар болып табылады және жобалау-сметалық құжаттаманы, коммерциялық ұсыныстарды, техникалық шарттарды, резиденттердің бизнес-жоспарларын немесе бюджеттік қаржыландыру жөніндегі бекітілген шешімдерді алмастырмайды. «QazCement Industries» ЖШС цемент зауытының құрылысы, оның ішінде 80 млрд теңгеден асатын күрделі шығындары мен сыртқы инфрақұрылымы аталған сомаларға енгізілмейді.</w:t>
      </w:r>
    </w:p>
    <w:p w14:paraId="32C0890F">
      <w:pPr>
        <w:pStyle w:val="3"/>
        <w:spacing w:line="240" w:lineRule="auto"/>
        <w:rPr>
          <w:rFonts w:ascii="Cambria" w:hAnsi="Cambria"/>
          <w:lang w:val="ru-RU"/>
        </w:rPr>
      </w:pPr>
      <w:bookmarkStart w:id="36" w:name="__RefHeading___Toc9554_2617525462"/>
      <w:bookmarkEnd w:id="36"/>
      <w:r>
        <w:rPr>
          <w:rFonts w:ascii="Cambria" w:hAnsi="Cambria"/>
          <w:lang w:val="ru-RU"/>
        </w:rPr>
        <w:t>8.1. Индустриялық аймақты құру жөніндегі іс-шаралардың құрамы мен сипаттамасы</w:t>
      </w:r>
    </w:p>
    <w:p w14:paraId="1F56C09E">
      <w:pPr>
        <w:spacing w:line="240" w:lineRule="auto"/>
        <w:rPr>
          <w:rFonts w:ascii="Cambria" w:hAnsi="Cambria"/>
          <w:lang w:val="ru-RU"/>
        </w:rPr>
      </w:pPr>
      <w:r>
        <w:rPr>
          <w:rFonts w:ascii="Cambria" w:hAnsi="Cambria"/>
          <w:lang w:val="ru-RU"/>
        </w:rPr>
        <w:t>Іс-шаралар кешені жер-құқықтық дайындықтан инженерлік және көлік желілеріне қолжетімді қосылыстар құруға, резиденттерді орналастыруға және өндірістерді іске қосуға дейінгі кезеңдік өту негізінде қалыптастырылады. Базалық схема салынып жатқан цемент зауытына параллель жаңа тәуелсіз магистральдық коммуникациялар салуды көздемейді. Оның инфрақұрылымында ИА-ның екі алаңына келісілген қосалқы тұтынушылар схемасы бойынша пайдалануға болатын 10 МВт жеткілікті бос электр қуаты бар деп қабылданды.</w:t>
      </w:r>
    </w:p>
    <w:p w14:paraId="5E2841C4">
      <w:pPr>
        <w:spacing w:line="240" w:lineRule="auto"/>
        <w:rPr>
          <w:rFonts w:ascii="Cambria" w:hAnsi="Cambria"/>
          <w:lang w:val="ru-RU"/>
        </w:rPr>
      </w:pPr>
      <w:r>
        <w:rPr>
          <w:rFonts w:ascii="Cambria" w:hAnsi="Cambria"/>
          <w:lang w:val="ru-RU"/>
        </w:rPr>
        <w:t>Аумақты «Қосбол» шаруа қожалығының кадастрлық нөмірі 02-023-020-238, ауданы 2 204 га бастапқы жер массивінен жалпы ауданы 200 га болатын екі жер учаскесін бөліп алу арқылы қалыптастыру жоспарланып отыр. Ауданды жеті кәсіпорын арасында бөлу кезінде олардың учаскелеріндегі өндірістік корпустар, ашық қойма алаңдары, технологиялық жолдар мен жергілікті коммуникациялар ескеріледі.</w:t>
      </w:r>
    </w:p>
    <w:p w14:paraId="496FEA46">
      <w:pPr>
        <w:pStyle w:val="75"/>
        <w:keepNext/>
        <w:spacing w:line="240" w:lineRule="auto"/>
        <w:rPr>
          <w:rFonts w:ascii="Cambria" w:hAnsi="Cambria"/>
          <w:lang w:val="ru-RU"/>
        </w:rPr>
      </w:pPr>
      <w:r>
        <w:rPr>
          <w:rFonts w:ascii="Cambria" w:hAnsi="Cambria"/>
          <w:lang w:val="ru-RU"/>
        </w:rPr>
        <w:t>8.1-кесте – Іс-шаралардың құрамы және шығындардың күтілетін нәтижелермен байланысы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2145"/>
        <w:gridCol w:w="3914"/>
        <w:gridCol w:w="3430"/>
      </w:tblGrid>
      <w:tr w14:paraId="6043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0" w:type="auto"/>
            <w:shd w:val="clear" w:color="auto" w:fill="23486F"/>
            <w:vAlign w:val="center"/>
          </w:tcPr>
          <w:p w14:paraId="657B52BF">
            <w:pPr>
              <w:spacing w:after="0" w:line="240" w:lineRule="auto"/>
              <w:ind w:firstLine="0"/>
              <w:jc w:val="center"/>
              <w:rPr>
                <w:rFonts w:ascii="Cambria" w:hAnsi="Cambria"/>
              </w:rPr>
            </w:pPr>
            <w:r>
              <w:rPr>
                <w:rFonts w:ascii="Cambria" w:hAnsi="Cambria"/>
                <w:b/>
                <w:color w:val="FFFFFF"/>
                <w:sz w:val="15"/>
              </w:rPr>
              <w:t>Компонент</w:t>
            </w:r>
          </w:p>
        </w:tc>
        <w:tc>
          <w:tcPr>
            <w:tcW w:w="0" w:type="auto"/>
            <w:shd w:val="clear" w:color="auto" w:fill="23486F"/>
            <w:vAlign w:val="center"/>
          </w:tcPr>
          <w:p w14:paraId="472268FD">
            <w:pPr>
              <w:spacing w:after="0" w:line="240" w:lineRule="auto"/>
              <w:ind w:firstLine="0"/>
              <w:jc w:val="center"/>
              <w:rPr>
                <w:rFonts w:ascii="Cambria" w:hAnsi="Cambria"/>
              </w:rPr>
            </w:pPr>
            <w:r>
              <w:rPr>
                <w:rFonts w:ascii="Cambria" w:hAnsi="Cambria"/>
                <w:b/>
                <w:color w:val="FFFFFF"/>
                <w:sz w:val="15"/>
              </w:rPr>
              <w:t>Негізгі іс-шаралар</w:t>
            </w:r>
          </w:p>
        </w:tc>
        <w:tc>
          <w:tcPr>
            <w:tcW w:w="0" w:type="auto"/>
            <w:shd w:val="clear" w:color="auto" w:fill="23486F"/>
            <w:vAlign w:val="center"/>
          </w:tcPr>
          <w:p w14:paraId="0E229891">
            <w:pPr>
              <w:spacing w:after="0" w:line="240" w:lineRule="auto"/>
              <w:ind w:firstLine="0"/>
              <w:jc w:val="center"/>
              <w:rPr>
                <w:rFonts w:ascii="Cambria" w:hAnsi="Cambria"/>
              </w:rPr>
            </w:pPr>
            <w:r>
              <w:rPr>
                <w:rFonts w:ascii="Cambria" w:hAnsi="Cambria"/>
                <w:b/>
                <w:color w:val="FFFFFF"/>
                <w:sz w:val="15"/>
              </w:rPr>
              <w:t>Қаржыландырудың есептік көлемі / нәтиже</w:t>
            </w:r>
          </w:p>
        </w:tc>
      </w:tr>
      <w:tr w14:paraId="6AC7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1D69C1EE">
            <w:pPr>
              <w:spacing w:after="0" w:line="240" w:lineRule="auto"/>
              <w:ind w:firstLine="0"/>
              <w:jc w:val="left"/>
              <w:rPr>
                <w:rFonts w:ascii="Cambria" w:hAnsi="Cambria"/>
              </w:rPr>
            </w:pPr>
            <w:r>
              <w:rPr>
                <w:rFonts w:ascii="Cambria" w:hAnsi="Cambria"/>
                <w:color w:val="1C2839"/>
                <w:sz w:val="16"/>
              </w:rPr>
              <w:t>Жер-құқықтық дайындық</w:t>
            </w:r>
          </w:p>
        </w:tc>
        <w:tc>
          <w:tcPr>
            <w:tcW w:w="0" w:type="auto"/>
            <w:vAlign w:val="center"/>
          </w:tcPr>
          <w:p w14:paraId="7D418905">
            <w:pPr>
              <w:spacing w:after="0" w:line="240" w:lineRule="auto"/>
              <w:ind w:firstLine="0"/>
              <w:jc w:val="left"/>
              <w:rPr>
                <w:rFonts w:ascii="Cambria" w:hAnsi="Cambria"/>
                <w:lang w:val="ru-RU"/>
              </w:rPr>
            </w:pPr>
            <w:r>
              <w:rPr>
                <w:rFonts w:ascii="Cambria" w:hAnsi="Cambria"/>
                <w:color w:val="1C2839"/>
                <w:sz w:val="16"/>
                <w:lang w:val="ru-RU"/>
              </w:rPr>
              <w:t>Ауданы 122 және 78 га екі учаскенің шекарасын нақтылау; жер құқықтарын реттеу; санаты мен нысаналы мақсатын өзгертуді рәсімдеу.</w:t>
            </w:r>
          </w:p>
        </w:tc>
        <w:tc>
          <w:tcPr>
            <w:tcW w:w="0" w:type="auto"/>
            <w:vAlign w:val="center"/>
          </w:tcPr>
          <w:p w14:paraId="5632828C">
            <w:pPr>
              <w:spacing w:after="0" w:line="240" w:lineRule="auto"/>
              <w:ind w:firstLine="0"/>
              <w:jc w:val="left"/>
              <w:rPr>
                <w:rFonts w:ascii="Cambria" w:hAnsi="Cambria"/>
                <w:lang w:val="ru-RU"/>
              </w:rPr>
            </w:pPr>
            <w:r>
              <w:rPr>
                <w:rFonts w:ascii="Cambria" w:hAnsi="Cambria"/>
                <w:color w:val="1C2839"/>
                <w:sz w:val="16"/>
                <w:lang w:val="ru-RU"/>
              </w:rPr>
              <w:t>Рәсімдеуге дайын 200 га аумақ; жер үшін өтемақылар бағаланбаған және 50,7 млрд теңгеге енгізілмеген.</w:t>
            </w:r>
          </w:p>
        </w:tc>
      </w:tr>
      <w:tr w14:paraId="06D9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7060C825">
            <w:pPr>
              <w:spacing w:after="0" w:line="240" w:lineRule="auto"/>
              <w:ind w:firstLine="0"/>
              <w:jc w:val="left"/>
              <w:rPr>
                <w:rFonts w:ascii="Cambria" w:hAnsi="Cambria"/>
              </w:rPr>
            </w:pPr>
            <w:r>
              <w:rPr>
                <w:rFonts w:ascii="Cambria" w:hAnsi="Cambria"/>
                <w:color w:val="1C2839"/>
                <w:sz w:val="16"/>
              </w:rPr>
              <w:t>Ортақ инфрақұрылым</w:t>
            </w:r>
          </w:p>
        </w:tc>
        <w:tc>
          <w:tcPr>
            <w:tcW w:w="0" w:type="auto"/>
            <w:shd w:val="clear" w:color="auto" w:fill="F0F5F9"/>
            <w:vAlign w:val="center"/>
          </w:tcPr>
          <w:p w14:paraId="4BEB39F0">
            <w:pPr>
              <w:spacing w:after="0" w:line="240" w:lineRule="auto"/>
              <w:ind w:firstLine="0"/>
              <w:jc w:val="left"/>
              <w:rPr>
                <w:rFonts w:ascii="Cambria" w:hAnsi="Cambria"/>
                <w:lang w:val="ru-RU"/>
              </w:rPr>
            </w:pPr>
            <w:r>
              <w:rPr>
                <w:rFonts w:ascii="Cambria" w:hAnsi="Cambria"/>
                <w:color w:val="1C2839"/>
                <w:sz w:val="16"/>
                <w:lang w:val="ru-RU"/>
              </w:rPr>
              <w:t>Электр көзіне, теміржолға, автомобиль жолдарына, суға қосылу; жергілікті желілер, су бұру және аумақты дайындау.</w:t>
            </w:r>
          </w:p>
        </w:tc>
        <w:tc>
          <w:tcPr>
            <w:tcW w:w="0" w:type="auto"/>
            <w:shd w:val="clear" w:color="auto" w:fill="F0F5F9"/>
            <w:vAlign w:val="center"/>
          </w:tcPr>
          <w:p w14:paraId="1A1A87D4">
            <w:pPr>
              <w:spacing w:after="0" w:line="240" w:lineRule="auto"/>
              <w:ind w:firstLine="0"/>
              <w:jc w:val="left"/>
              <w:rPr>
                <w:rFonts w:ascii="Cambria" w:hAnsi="Cambria"/>
                <w:lang w:val="ru-RU"/>
              </w:rPr>
            </w:pPr>
            <w:r>
              <w:rPr>
                <w:rFonts w:ascii="Cambria" w:hAnsi="Cambria"/>
                <w:color w:val="1C2839"/>
                <w:sz w:val="16"/>
                <w:lang w:val="ru-RU"/>
              </w:rPr>
              <w:t>12,0 млрд теңге; техникалық шешімдер расталғанда екі алаңның инженерлік әзірлігі.</w:t>
            </w:r>
          </w:p>
        </w:tc>
      </w:tr>
      <w:tr w14:paraId="2BAF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626DE0BE">
            <w:pPr>
              <w:spacing w:after="0" w:line="240" w:lineRule="auto"/>
              <w:ind w:firstLine="0"/>
              <w:jc w:val="left"/>
              <w:rPr>
                <w:rFonts w:ascii="Cambria" w:hAnsi="Cambria"/>
              </w:rPr>
            </w:pPr>
            <w:r>
              <w:rPr>
                <w:rFonts w:ascii="Cambria" w:hAnsi="Cambria"/>
                <w:color w:val="1C2839"/>
                <w:sz w:val="16"/>
              </w:rPr>
              <w:t>№ 1 алаң өндірістері</w:t>
            </w:r>
          </w:p>
        </w:tc>
        <w:tc>
          <w:tcPr>
            <w:tcW w:w="0" w:type="auto"/>
            <w:vAlign w:val="center"/>
          </w:tcPr>
          <w:p w14:paraId="2C53D69B">
            <w:pPr>
              <w:spacing w:after="0" w:line="240" w:lineRule="auto"/>
              <w:ind w:firstLine="0"/>
              <w:jc w:val="left"/>
              <w:rPr>
                <w:rFonts w:ascii="Cambria" w:hAnsi="Cambria"/>
                <w:lang w:val="ru-RU"/>
              </w:rPr>
            </w:pPr>
            <w:r>
              <w:rPr>
                <w:rFonts w:ascii="Cambria" w:hAnsi="Cambria"/>
                <w:color w:val="1C2839"/>
                <w:sz w:val="16"/>
                <w:lang w:val="ru-RU"/>
              </w:rPr>
              <w:t>25 га аумақта инфрақұрылымдық және тұрғын үй құрылысына арналған ТББ өндіретін төрт кәсіпорын құру.</w:t>
            </w:r>
          </w:p>
        </w:tc>
        <w:tc>
          <w:tcPr>
            <w:tcW w:w="0" w:type="auto"/>
            <w:vAlign w:val="center"/>
          </w:tcPr>
          <w:p w14:paraId="275CBC45">
            <w:pPr>
              <w:spacing w:after="0" w:line="240" w:lineRule="auto"/>
              <w:ind w:firstLine="0"/>
              <w:jc w:val="left"/>
              <w:rPr>
                <w:rFonts w:ascii="Cambria" w:hAnsi="Cambria"/>
                <w:lang w:val="ru-RU"/>
              </w:rPr>
            </w:pPr>
            <w:r>
              <w:rPr>
                <w:rFonts w:ascii="Cambria" w:hAnsi="Cambria"/>
                <w:color w:val="1C2839"/>
                <w:sz w:val="16"/>
                <w:lang w:val="ru-RU"/>
              </w:rPr>
              <w:t>24,5 млрд теңге; 370 тұрақты жұмыс орны; жылына 25,05 млрд теңгеге дейін түсім.</w:t>
            </w:r>
          </w:p>
        </w:tc>
      </w:tr>
      <w:tr w14:paraId="5FCE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04E4D2A4">
            <w:pPr>
              <w:spacing w:after="0" w:line="240" w:lineRule="auto"/>
              <w:ind w:firstLine="0"/>
              <w:jc w:val="left"/>
              <w:rPr>
                <w:rFonts w:ascii="Cambria" w:hAnsi="Cambria"/>
              </w:rPr>
            </w:pPr>
            <w:r>
              <w:rPr>
                <w:rFonts w:ascii="Cambria" w:hAnsi="Cambria"/>
                <w:color w:val="1C2839"/>
                <w:sz w:val="16"/>
              </w:rPr>
              <w:t>№ 2 алаң өндірістері</w:t>
            </w:r>
          </w:p>
        </w:tc>
        <w:tc>
          <w:tcPr>
            <w:tcW w:w="0" w:type="auto"/>
            <w:shd w:val="clear" w:color="auto" w:fill="F0F5F9"/>
            <w:vAlign w:val="center"/>
          </w:tcPr>
          <w:p w14:paraId="59718B22">
            <w:pPr>
              <w:spacing w:after="0" w:line="240" w:lineRule="auto"/>
              <w:ind w:firstLine="0"/>
              <w:jc w:val="left"/>
              <w:rPr>
                <w:rFonts w:ascii="Cambria" w:hAnsi="Cambria"/>
                <w:lang w:val="ru-RU"/>
              </w:rPr>
            </w:pPr>
            <w:r>
              <w:rPr>
                <w:rFonts w:ascii="Cambria" w:hAnsi="Cambria"/>
                <w:color w:val="1C2839"/>
                <w:sz w:val="16"/>
                <w:lang w:val="ru-RU"/>
              </w:rPr>
              <w:t>28 га аумақта цементті терең өңдеу мен абаттандыру бұйымдарына арналған үш кәсіпорын құру.</w:t>
            </w:r>
          </w:p>
        </w:tc>
        <w:tc>
          <w:tcPr>
            <w:tcW w:w="0" w:type="auto"/>
            <w:shd w:val="clear" w:color="auto" w:fill="F0F5F9"/>
            <w:vAlign w:val="center"/>
          </w:tcPr>
          <w:p w14:paraId="73F381F9">
            <w:pPr>
              <w:spacing w:after="0" w:line="240" w:lineRule="auto"/>
              <w:ind w:firstLine="0"/>
              <w:jc w:val="left"/>
              <w:rPr>
                <w:rFonts w:ascii="Cambria" w:hAnsi="Cambria"/>
                <w:lang w:val="ru-RU"/>
              </w:rPr>
            </w:pPr>
            <w:r>
              <w:rPr>
                <w:rFonts w:ascii="Cambria" w:hAnsi="Cambria"/>
                <w:color w:val="1C2839"/>
                <w:sz w:val="16"/>
                <w:lang w:val="ru-RU"/>
              </w:rPr>
              <w:t>14,2 млрд теңге; 235 тұрақты жұмыс орны; жылына 16,00 млрд теңгеге дейін түсім.</w:t>
            </w:r>
          </w:p>
        </w:tc>
      </w:tr>
      <w:tr w14:paraId="3D3C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00B54102">
            <w:pPr>
              <w:spacing w:after="0" w:line="240" w:lineRule="auto"/>
              <w:ind w:firstLine="0"/>
              <w:jc w:val="left"/>
              <w:rPr>
                <w:rFonts w:ascii="Cambria" w:hAnsi="Cambria"/>
              </w:rPr>
            </w:pPr>
            <w:r>
              <w:rPr>
                <w:rFonts w:ascii="Cambria" w:hAnsi="Cambria"/>
                <w:color w:val="1C2839"/>
                <w:sz w:val="16"/>
              </w:rPr>
              <w:t>Ұйымдастырушылық және экологиялық сүйемелдеу</w:t>
            </w:r>
          </w:p>
        </w:tc>
        <w:tc>
          <w:tcPr>
            <w:tcW w:w="0" w:type="auto"/>
            <w:vAlign w:val="center"/>
          </w:tcPr>
          <w:p w14:paraId="448BA6B8">
            <w:pPr>
              <w:spacing w:after="0" w:line="240" w:lineRule="auto"/>
              <w:ind w:firstLine="0"/>
              <w:jc w:val="left"/>
              <w:rPr>
                <w:rFonts w:ascii="Cambria" w:hAnsi="Cambria"/>
                <w:lang w:val="ru-RU"/>
              </w:rPr>
            </w:pPr>
            <w:r>
              <w:rPr>
                <w:rFonts w:ascii="Cambria" w:hAnsi="Cambria"/>
                <w:color w:val="1C2839"/>
                <w:sz w:val="16"/>
                <w:lang w:val="ru-RU"/>
              </w:rPr>
              <w:t>Жобалау және экологиялық рәсімдер, қосылу шарттарын келісу, резиденттер тарту, басқару функциясын қалыптастыру.</w:t>
            </w:r>
          </w:p>
        </w:tc>
        <w:tc>
          <w:tcPr>
            <w:tcW w:w="0" w:type="auto"/>
            <w:vAlign w:val="center"/>
          </w:tcPr>
          <w:p w14:paraId="3C87B524">
            <w:pPr>
              <w:spacing w:after="0" w:line="240" w:lineRule="auto"/>
              <w:ind w:firstLine="0"/>
              <w:jc w:val="left"/>
              <w:rPr>
                <w:rFonts w:ascii="Cambria" w:hAnsi="Cambria"/>
                <w:lang w:val="ru-RU"/>
              </w:rPr>
            </w:pPr>
            <w:r>
              <w:rPr>
                <w:rFonts w:ascii="Cambria" w:hAnsi="Cambria"/>
                <w:color w:val="1C2839"/>
                <w:sz w:val="16"/>
                <w:lang w:val="ru-RU"/>
              </w:rPr>
              <w:t>Тиісті сметалық компоненттер мен қатысушылар қызметі шеңберіндегі шығындар; негізсіз жаңа CAPEX қосылмайды.</w:t>
            </w:r>
          </w:p>
        </w:tc>
      </w:tr>
    </w:tbl>
    <w:p w14:paraId="66278394">
      <w:pPr>
        <w:spacing w:line="240" w:lineRule="auto"/>
        <w:rPr>
          <w:rFonts w:ascii="Cambria" w:hAnsi="Cambria"/>
          <w:lang w:val="ru-RU"/>
        </w:rPr>
      </w:pPr>
      <w:r>
        <w:rPr>
          <w:rFonts w:ascii="Cambria" w:hAnsi="Cambria"/>
          <w:lang w:val="ru-RU"/>
        </w:rPr>
        <w:t>Мазмұны бойынша инфрақұрылымдық компонент өндірістерді орналастырудың шарты болып табылады, бірақ оның құрылысы өздігінен жеке инвестициялардың автоматты түрде пайда болатынын білдірмейді. Коммерциялық жобаларға көшу үшін сұранысты растау, инвесторлардың болуы және шикізат, энергия ресурстарын жеткізу, көлік коммуникацияларын пайдалану әрі өнімді өткізу жөніндегі шарттарды жасасу қажет.</w:t>
      </w:r>
    </w:p>
    <w:p w14:paraId="14EFB34A">
      <w:pPr>
        <w:pStyle w:val="3"/>
        <w:spacing w:line="240" w:lineRule="auto"/>
        <w:rPr>
          <w:rFonts w:ascii="Cambria" w:hAnsi="Cambria"/>
          <w:lang w:val="ru-RU"/>
        </w:rPr>
      </w:pPr>
      <w:bookmarkStart w:id="37" w:name="__RefHeading___Toc9556_2617525462"/>
      <w:bookmarkEnd w:id="37"/>
      <w:r>
        <w:rPr>
          <w:rFonts w:ascii="Cambria" w:hAnsi="Cambria"/>
          <w:lang w:val="ru-RU"/>
        </w:rPr>
        <w:t>8.2. Инфрақұрылым құру құнын есептеу</w:t>
      </w:r>
    </w:p>
    <w:p w14:paraId="4ABDCE49">
      <w:pPr>
        <w:spacing w:line="240" w:lineRule="auto"/>
        <w:rPr>
          <w:rFonts w:ascii="Cambria" w:hAnsi="Cambria"/>
          <w:lang w:val="ru-RU"/>
        </w:rPr>
      </w:pPr>
      <w:r>
        <w:rPr>
          <w:rFonts w:ascii="Cambria" w:hAnsi="Cambria"/>
          <w:lang w:val="ru-RU"/>
        </w:rPr>
        <w:t>Ортақ инфрақұрылымның алдын ала құны ірілендірілген есеп бойынша 12,0 млрд теңге мөлшерінде айқындалды. Есеп цемент зауытының өнеркәсіптік торабы салынып жатқан коммуникацияларына қосылатын, екі бөлек алаңнан тұратын қабылданған нұсқаға сәйкес үш компонент бойынша қалыптастырылды.</w:t>
      </w:r>
    </w:p>
    <w:p w14:paraId="6E9FAD65">
      <w:pPr>
        <w:pStyle w:val="75"/>
        <w:keepNext/>
        <w:spacing w:line="240" w:lineRule="auto"/>
        <w:rPr>
          <w:rFonts w:ascii="Cambria" w:hAnsi="Cambria"/>
          <w:lang w:val="ru-RU"/>
        </w:rPr>
      </w:pPr>
      <w:r>
        <w:rPr>
          <w:rFonts w:ascii="Cambria" w:hAnsi="Cambria"/>
          <w:lang w:val="ru-RU"/>
        </w:rPr>
        <w:t>8.2-кесте – ИА инфрақұрылымымен қамтамасыз етудің алдын ала құны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798"/>
        <w:gridCol w:w="2386"/>
        <w:gridCol w:w="1046"/>
        <w:gridCol w:w="5259"/>
      </w:tblGrid>
      <w:tr w14:paraId="7F39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0" w:type="auto"/>
            <w:shd w:val="clear" w:color="auto" w:fill="23486F"/>
            <w:vAlign w:val="center"/>
          </w:tcPr>
          <w:p w14:paraId="7ECBE496">
            <w:pPr>
              <w:spacing w:after="0" w:line="240" w:lineRule="auto"/>
              <w:ind w:firstLine="0"/>
              <w:jc w:val="center"/>
              <w:rPr>
                <w:rFonts w:ascii="Cambria" w:hAnsi="Cambria"/>
              </w:rPr>
            </w:pPr>
            <w:r>
              <w:rPr>
                <w:rFonts w:ascii="Cambria" w:hAnsi="Cambria"/>
                <w:b/>
                <w:color w:val="FFFFFF"/>
                <w:sz w:val="15"/>
              </w:rPr>
              <w:t>№</w:t>
            </w:r>
          </w:p>
        </w:tc>
        <w:tc>
          <w:tcPr>
            <w:tcW w:w="0" w:type="auto"/>
            <w:shd w:val="clear" w:color="auto" w:fill="23486F"/>
            <w:vAlign w:val="center"/>
          </w:tcPr>
          <w:p w14:paraId="6F0D5A15">
            <w:pPr>
              <w:spacing w:after="0" w:line="240" w:lineRule="auto"/>
              <w:ind w:firstLine="0"/>
              <w:jc w:val="center"/>
              <w:rPr>
                <w:rFonts w:ascii="Cambria" w:hAnsi="Cambria"/>
              </w:rPr>
            </w:pPr>
            <w:r>
              <w:rPr>
                <w:rFonts w:ascii="Cambria" w:hAnsi="Cambria"/>
                <w:b/>
                <w:color w:val="FFFFFF"/>
                <w:sz w:val="15"/>
              </w:rPr>
              <w:t>Инфрақұрылым компоненті</w:t>
            </w:r>
          </w:p>
        </w:tc>
        <w:tc>
          <w:tcPr>
            <w:tcW w:w="0" w:type="auto"/>
            <w:shd w:val="clear" w:color="auto" w:fill="23486F"/>
            <w:vAlign w:val="center"/>
          </w:tcPr>
          <w:p w14:paraId="6E45C0C0">
            <w:pPr>
              <w:spacing w:after="0" w:line="240" w:lineRule="auto"/>
              <w:ind w:firstLine="0"/>
              <w:jc w:val="center"/>
              <w:rPr>
                <w:rFonts w:ascii="Cambria" w:hAnsi="Cambria"/>
              </w:rPr>
            </w:pPr>
            <w:r>
              <w:rPr>
                <w:rFonts w:ascii="Cambria" w:hAnsi="Cambria"/>
                <w:b/>
                <w:color w:val="FFFFFF"/>
                <w:sz w:val="15"/>
              </w:rPr>
              <w:t>Құны, млрд теңге</w:t>
            </w:r>
          </w:p>
        </w:tc>
        <w:tc>
          <w:tcPr>
            <w:tcW w:w="0" w:type="auto"/>
            <w:shd w:val="clear" w:color="auto" w:fill="23486F"/>
            <w:vAlign w:val="center"/>
          </w:tcPr>
          <w:p w14:paraId="05007FF6">
            <w:pPr>
              <w:spacing w:after="0" w:line="240" w:lineRule="auto"/>
              <w:ind w:firstLine="0"/>
              <w:jc w:val="center"/>
              <w:rPr>
                <w:rFonts w:ascii="Cambria" w:hAnsi="Cambria"/>
              </w:rPr>
            </w:pPr>
            <w:r>
              <w:rPr>
                <w:rFonts w:ascii="Cambria" w:hAnsi="Cambria"/>
                <w:b/>
                <w:color w:val="FFFFFF"/>
                <w:sz w:val="15"/>
              </w:rPr>
              <w:t>Құрамы / есептік алғышарт</w:t>
            </w:r>
          </w:p>
        </w:tc>
      </w:tr>
      <w:tr w14:paraId="75FD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6530A611">
            <w:pPr>
              <w:spacing w:after="0" w:line="240" w:lineRule="auto"/>
              <w:ind w:firstLine="0"/>
              <w:jc w:val="center"/>
              <w:rPr>
                <w:rFonts w:ascii="Cambria" w:hAnsi="Cambria"/>
              </w:rPr>
            </w:pPr>
            <w:r>
              <w:rPr>
                <w:rFonts w:ascii="Cambria" w:hAnsi="Cambria"/>
                <w:color w:val="1C2839"/>
                <w:sz w:val="16"/>
              </w:rPr>
              <w:t>1</w:t>
            </w:r>
          </w:p>
        </w:tc>
        <w:tc>
          <w:tcPr>
            <w:tcW w:w="0" w:type="auto"/>
            <w:vAlign w:val="center"/>
          </w:tcPr>
          <w:p w14:paraId="165FD330">
            <w:pPr>
              <w:spacing w:after="0" w:line="240" w:lineRule="auto"/>
              <w:ind w:firstLine="0"/>
              <w:jc w:val="left"/>
              <w:rPr>
                <w:rFonts w:ascii="Cambria" w:hAnsi="Cambria"/>
              </w:rPr>
            </w:pPr>
            <w:r>
              <w:rPr>
                <w:rFonts w:ascii="Cambria" w:hAnsi="Cambria"/>
                <w:color w:val="1C2839"/>
                <w:sz w:val="16"/>
              </w:rPr>
              <w:t>Электрмен жабдықтау</w:t>
            </w:r>
          </w:p>
        </w:tc>
        <w:tc>
          <w:tcPr>
            <w:tcW w:w="0" w:type="auto"/>
            <w:vAlign w:val="center"/>
          </w:tcPr>
          <w:p w14:paraId="75359953">
            <w:pPr>
              <w:spacing w:after="0" w:line="240" w:lineRule="auto"/>
              <w:ind w:firstLine="0"/>
              <w:jc w:val="center"/>
              <w:rPr>
                <w:rFonts w:ascii="Cambria" w:hAnsi="Cambria"/>
                <w:lang w:val="ru-RU"/>
              </w:rPr>
            </w:pPr>
            <w:r>
              <w:rPr>
                <w:rFonts w:ascii="Cambria" w:hAnsi="Cambria"/>
                <w:color w:val="1C2839"/>
                <w:sz w:val="16"/>
                <w:lang w:val="ru-RU"/>
              </w:rPr>
              <w:t>8,40</w:t>
            </w:r>
          </w:p>
        </w:tc>
        <w:tc>
          <w:tcPr>
            <w:tcW w:w="0" w:type="auto"/>
            <w:vAlign w:val="center"/>
          </w:tcPr>
          <w:p w14:paraId="2447EA88">
            <w:pPr>
              <w:spacing w:after="0" w:line="240" w:lineRule="auto"/>
              <w:ind w:firstLine="0"/>
              <w:jc w:val="left"/>
              <w:rPr>
                <w:rFonts w:ascii="Cambria" w:hAnsi="Cambria"/>
                <w:lang w:val="ru-RU"/>
              </w:rPr>
            </w:pPr>
            <w:r>
              <w:rPr>
                <w:rFonts w:ascii="Cambria" w:hAnsi="Cambria"/>
                <w:color w:val="1C2839"/>
                <w:sz w:val="16"/>
                <w:lang w:val="ru-RU"/>
              </w:rPr>
              <w:t>Қосалқы тұтынушылар схемасымен қосылу, тарату құрылғылары, трансформаторлар, екі алаңдағы жергілікті желілер.</w:t>
            </w:r>
          </w:p>
        </w:tc>
      </w:tr>
      <w:tr w14:paraId="30DE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0DC4BB57">
            <w:pPr>
              <w:spacing w:after="0" w:line="240" w:lineRule="auto"/>
              <w:ind w:firstLine="0"/>
              <w:jc w:val="center"/>
              <w:rPr>
                <w:rFonts w:ascii="Cambria" w:hAnsi="Cambria"/>
              </w:rPr>
            </w:pPr>
            <w:r>
              <w:rPr>
                <w:rFonts w:ascii="Cambria" w:hAnsi="Cambria"/>
                <w:color w:val="1C2839"/>
                <w:sz w:val="16"/>
              </w:rPr>
              <w:t>2</w:t>
            </w:r>
          </w:p>
        </w:tc>
        <w:tc>
          <w:tcPr>
            <w:tcW w:w="0" w:type="auto"/>
            <w:shd w:val="clear" w:color="auto" w:fill="F0F5F9"/>
            <w:vAlign w:val="center"/>
          </w:tcPr>
          <w:p w14:paraId="4F53AFAD">
            <w:pPr>
              <w:spacing w:after="0" w:line="240" w:lineRule="auto"/>
              <w:ind w:firstLine="0"/>
              <w:jc w:val="left"/>
              <w:rPr>
                <w:rFonts w:ascii="Cambria" w:hAnsi="Cambria"/>
                <w:lang w:val="ru-RU"/>
              </w:rPr>
            </w:pPr>
            <w:r>
              <w:rPr>
                <w:rFonts w:ascii="Cambria" w:hAnsi="Cambria"/>
                <w:color w:val="1C2839"/>
                <w:sz w:val="16"/>
                <w:lang w:val="ru-RU"/>
              </w:rPr>
              <w:t>Станциялық теміржол жолдарын дамыту</w:t>
            </w:r>
          </w:p>
        </w:tc>
        <w:tc>
          <w:tcPr>
            <w:tcW w:w="0" w:type="auto"/>
            <w:shd w:val="clear" w:color="auto" w:fill="F0F5F9"/>
            <w:vAlign w:val="center"/>
          </w:tcPr>
          <w:p w14:paraId="58876D18">
            <w:pPr>
              <w:spacing w:after="0" w:line="240" w:lineRule="auto"/>
              <w:ind w:firstLine="0"/>
              <w:jc w:val="center"/>
              <w:rPr>
                <w:rFonts w:ascii="Cambria" w:hAnsi="Cambria"/>
                <w:lang w:val="ru-RU"/>
              </w:rPr>
            </w:pPr>
            <w:r>
              <w:rPr>
                <w:rFonts w:ascii="Cambria" w:hAnsi="Cambria"/>
                <w:color w:val="1C2839"/>
                <w:sz w:val="16"/>
                <w:lang w:val="ru-RU"/>
              </w:rPr>
              <w:t>1,73</w:t>
            </w:r>
          </w:p>
        </w:tc>
        <w:tc>
          <w:tcPr>
            <w:tcW w:w="0" w:type="auto"/>
            <w:shd w:val="clear" w:color="auto" w:fill="F0F5F9"/>
            <w:vAlign w:val="center"/>
          </w:tcPr>
          <w:p w14:paraId="5E71051D">
            <w:pPr>
              <w:spacing w:after="0" w:line="240" w:lineRule="auto"/>
              <w:ind w:firstLine="0"/>
              <w:jc w:val="left"/>
              <w:rPr>
                <w:rFonts w:ascii="Cambria" w:hAnsi="Cambria"/>
                <w:lang w:val="ru-RU"/>
              </w:rPr>
            </w:pPr>
            <w:r>
              <w:rPr>
                <w:rFonts w:ascii="Cambria" w:hAnsi="Cambria"/>
                <w:color w:val="1C2839"/>
                <w:sz w:val="16"/>
                <w:lang w:val="ru-RU"/>
              </w:rPr>
              <w:t>«ҚТЖ» ҰК» АҚ жерлеріндегі ұзындығы 0,957 км станциялық жолдарды дамыту.</w:t>
            </w:r>
          </w:p>
        </w:tc>
      </w:tr>
      <w:tr w14:paraId="5A93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5128A08E">
            <w:pPr>
              <w:spacing w:after="0" w:line="240" w:lineRule="auto"/>
              <w:ind w:firstLine="0"/>
              <w:jc w:val="center"/>
              <w:rPr>
                <w:rFonts w:ascii="Cambria" w:hAnsi="Cambria"/>
              </w:rPr>
            </w:pPr>
            <w:r>
              <w:rPr>
                <w:rFonts w:ascii="Cambria" w:hAnsi="Cambria"/>
                <w:color w:val="1C2839"/>
                <w:sz w:val="16"/>
              </w:rPr>
              <w:t>3</w:t>
            </w:r>
          </w:p>
        </w:tc>
        <w:tc>
          <w:tcPr>
            <w:tcW w:w="0" w:type="auto"/>
            <w:vAlign w:val="center"/>
          </w:tcPr>
          <w:p w14:paraId="1EA43BF5">
            <w:pPr>
              <w:spacing w:after="0" w:line="240" w:lineRule="auto"/>
              <w:ind w:firstLine="0"/>
              <w:jc w:val="left"/>
              <w:rPr>
                <w:rFonts w:ascii="Cambria" w:hAnsi="Cambria"/>
              </w:rPr>
            </w:pPr>
            <w:r>
              <w:rPr>
                <w:rFonts w:ascii="Cambria" w:hAnsi="Cambria"/>
                <w:color w:val="1C2839"/>
                <w:sz w:val="16"/>
                <w:lang w:val="ru-RU"/>
              </w:rPr>
              <w:t>Сыртқы кірме теміржол жолдары</w:t>
            </w:r>
          </w:p>
        </w:tc>
        <w:tc>
          <w:tcPr>
            <w:tcW w:w="0" w:type="auto"/>
            <w:vAlign w:val="center"/>
          </w:tcPr>
          <w:p w14:paraId="1D9CEDB6">
            <w:pPr>
              <w:spacing w:after="0" w:line="240" w:lineRule="auto"/>
              <w:ind w:firstLine="0"/>
              <w:jc w:val="center"/>
              <w:rPr>
                <w:rFonts w:ascii="Cambria" w:hAnsi="Cambria"/>
                <w:lang w:val="ru-RU"/>
              </w:rPr>
            </w:pPr>
            <w:r>
              <w:rPr>
                <w:rFonts w:ascii="Cambria" w:hAnsi="Cambria"/>
                <w:color w:val="1C2839"/>
                <w:sz w:val="16"/>
              </w:rPr>
              <w:t>1,90</w:t>
            </w:r>
          </w:p>
        </w:tc>
        <w:tc>
          <w:tcPr>
            <w:tcW w:w="0" w:type="auto"/>
            <w:vAlign w:val="center"/>
          </w:tcPr>
          <w:p w14:paraId="28583270">
            <w:pPr>
              <w:spacing w:after="0" w:line="240" w:lineRule="auto"/>
              <w:ind w:firstLine="0"/>
              <w:jc w:val="left"/>
              <w:rPr>
                <w:rFonts w:ascii="Cambria" w:hAnsi="Cambria"/>
                <w:lang w:val="ru-RU"/>
              </w:rPr>
            </w:pPr>
            <w:r>
              <w:rPr>
                <w:rFonts w:ascii="Cambria" w:hAnsi="Cambria"/>
                <w:color w:val="1C2839"/>
                <w:sz w:val="16"/>
                <w:lang w:val="ru-RU"/>
              </w:rPr>
              <w:t>Ұзындығы 6,7 км теміржол жолдарын салу.</w:t>
            </w:r>
          </w:p>
        </w:tc>
      </w:tr>
      <w:tr w14:paraId="2C6F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DBE8F2"/>
            <w:vAlign w:val="center"/>
          </w:tcPr>
          <w:p w14:paraId="588A1531">
            <w:pPr>
              <w:spacing w:after="0" w:line="240" w:lineRule="auto"/>
              <w:ind w:firstLine="0"/>
              <w:jc w:val="center"/>
              <w:rPr>
                <w:rFonts w:ascii="Cambria" w:hAnsi="Cambria"/>
              </w:rPr>
            </w:pPr>
            <w:r>
              <w:rPr>
                <w:rFonts w:ascii="Cambria" w:hAnsi="Cambria"/>
                <w:b/>
                <w:color w:val="1C2839"/>
                <w:sz w:val="16"/>
              </w:rPr>
              <w:t>Жиыны</w:t>
            </w:r>
          </w:p>
        </w:tc>
        <w:tc>
          <w:tcPr>
            <w:tcW w:w="0" w:type="auto"/>
            <w:shd w:val="clear" w:color="auto" w:fill="DBE8F2"/>
            <w:vAlign w:val="center"/>
          </w:tcPr>
          <w:p w14:paraId="445BD556">
            <w:pPr>
              <w:spacing w:after="0" w:line="240" w:lineRule="auto"/>
              <w:ind w:firstLine="0"/>
              <w:jc w:val="left"/>
              <w:rPr>
                <w:rFonts w:ascii="Cambria" w:hAnsi="Cambria"/>
              </w:rPr>
            </w:pPr>
            <w:r>
              <w:rPr>
                <w:rFonts w:ascii="Cambria" w:hAnsi="Cambria"/>
                <w:b/>
                <w:color w:val="1C2839"/>
                <w:sz w:val="16"/>
              </w:rPr>
              <w:t>ИА-ның ортақ инфрақұрылымы</w:t>
            </w:r>
          </w:p>
        </w:tc>
        <w:tc>
          <w:tcPr>
            <w:tcW w:w="0" w:type="auto"/>
            <w:shd w:val="clear" w:color="auto" w:fill="DBE8F2"/>
            <w:vAlign w:val="center"/>
          </w:tcPr>
          <w:p w14:paraId="12142A99">
            <w:pPr>
              <w:spacing w:after="0" w:line="240" w:lineRule="auto"/>
              <w:ind w:firstLine="0"/>
              <w:jc w:val="center"/>
              <w:rPr>
                <w:rFonts w:ascii="Cambria" w:hAnsi="Cambria"/>
                <w:lang w:val="ru-RU"/>
              </w:rPr>
            </w:pPr>
            <w:r>
              <w:rPr>
                <w:rFonts w:ascii="Cambria" w:hAnsi="Cambria"/>
                <w:b/>
                <w:color w:val="1C2839"/>
                <w:sz w:val="16"/>
                <w:lang w:val="ru-RU"/>
              </w:rPr>
              <w:t>12,03</w:t>
            </w:r>
          </w:p>
        </w:tc>
        <w:tc>
          <w:tcPr>
            <w:tcW w:w="0" w:type="auto"/>
            <w:shd w:val="clear" w:color="auto" w:fill="DBE8F2"/>
            <w:vAlign w:val="center"/>
          </w:tcPr>
          <w:p w14:paraId="2AB2E7B4">
            <w:pPr>
              <w:spacing w:after="0" w:line="240" w:lineRule="auto"/>
              <w:ind w:firstLine="0"/>
              <w:jc w:val="left"/>
              <w:rPr>
                <w:rFonts w:ascii="Cambria" w:hAnsi="Cambria"/>
                <w:lang w:val="ru-RU"/>
              </w:rPr>
            </w:pPr>
            <w:r>
              <w:rPr>
                <w:rFonts w:ascii="Cambria" w:hAnsi="Cambria"/>
                <w:b/>
                <w:color w:val="1C2839"/>
                <w:sz w:val="16"/>
                <w:lang w:val="ru-RU"/>
              </w:rPr>
              <w:t>ЖСҚ, техникалық шарттар мен сметалық есептер нақтыланғанға дейінгі құн.</w:t>
            </w:r>
          </w:p>
        </w:tc>
      </w:tr>
    </w:tbl>
    <w:p w14:paraId="56298BDF">
      <w:pPr>
        <w:spacing w:line="240" w:lineRule="auto"/>
        <w:rPr>
          <w:rFonts w:ascii="Cambria" w:hAnsi="Cambria"/>
          <w:lang w:val="ru-RU"/>
        </w:rPr>
      </w:pPr>
      <w:r>
        <w:rPr>
          <w:rFonts w:ascii="Cambria" w:hAnsi="Cambria"/>
          <w:lang w:val="ru-RU"/>
        </w:rPr>
        <w:t>Ең көп күрделі шығын электрмен жабдықтауға тиесілі – 8,4 млрд теңге (инфрақұрылымның жалпы құнының 69,8%-ы). Көлік инфрақұрылымына 3,6 млрд теңге (30,2%) көзделген. Электр жүктемесі 10 МВт деңгейінде қабылданып, әр алаңға шартты түрде 5 МВт-тан бөлінеді, алайда трансформаторлардың нақты саны, қосылу шекарасындағы кернеу класы және желілердің трассасы алынған техникалық шарттар бойынша айқындалады. Сумен жабдықтау бойынша екі алаңның жиынтық қажеттілігі тәулігіне 300–500 м³ дейінгі алдын ала диапазонда қабылданды; судың түпкілікті теңгерімі жекелеген кәсіпорындардың айналымды жүйелері мен су жеткізушінің шарттарын ескеруге тиіс.</w:t>
      </w:r>
    </w:p>
    <w:p w14:paraId="620EDFD2">
      <w:pPr>
        <w:spacing w:line="240" w:lineRule="auto"/>
        <w:rPr>
          <w:rFonts w:ascii="Cambria" w:hAnsi="Cambria"/>
          <w:lang w:val="ru-RU"/>
        </w:rPr>
      </w:pPr>
      <w:r>
        <w:rPr>
          <w:rFonts w:ascii="Cambria" w:hAnsi="Cambria"/>
          <w:lang w:val="ru-RU"/>
        </w:rPr>
        <w:t>Шығындардың түпкілікті көлемі цемент зауыты инфрақұрылымын пайдаланудың рұқсат етілген схемасына, жекелеген желілерге меншік құқығы мен оларды пайдалану тәртібіне, теміржол жолдарын салу қажеттігіне, қосылу нүктелеріне, жер бедері мен геологиялық жағдайларға байланысты болады. 12,0 млрд теңге бағасына қолданыстағы жер пайдаланушыға төленетін белгісіз өтемақылар, ауыл шаруашылығы өндірісінің ықтимал шығындары және болжанған қуат резерві расталмаған жағдайда сыртқы желілерді күшейту шығындары енгізілмеген. Бұл мәселелер бюджеттік тәуекелдің жеке факторлары болып табылады және жобалау кезеңінде пысықталуға тиіс.</w:t>
      </w:r>
    </w:p>
    <w:p w14:paraId="6FAD6217">
      <w:pPr>
        <w:pStyle w:val="3"/>
        <w:spacing w:line="240" w:lineRule="auto"/>
        <w:rPr>
          <w:rFonts w:ascii="Cambria" w:hAnsi="Cambria"/>
          <w:lang w:val="ru-RU"/>
        </w:rPr>
      </w:pPr>
      <w:bookmarkStart w:id="38" w:name="__RefHeading___Toc9558_2617525462"/>
      <w:bookmarkEnd w:id="38"/>
      <w:r>
        <w:rPr>
          <w:rFonts w:ascii="Cambria" w:hAnsi="Cambria"/>
          <w:lang w:val="ru-RU"/>
        </w:rPr>
        <w:t>8.3. Өндірістік объектілерді құруға салынатын инвестицияларды есептеу</w:t>
      </w:r>
    </w:p>
    <w:p w14:paraId="6998EE49">
      <w:pPr>
        <w:spacing w:line="240" w:lineRule="auto"/>
        <w:rPr>
          <w:rFonts w:ascii="Cambria" w:hAnsi="Cambria"/>
          <w:lang w:val="ru-RU"/>
        </w:rPr>
      </w:pPr>
      <w:r>
        <w:rPr>
          <w:rFonts w:ascii="Cambria" w:hAnsi="Cambria"/>
          <w:lang w:val="ru-RU"/>
        </w:rPr>
        <w:t>Өндірістік блокқа орналастырылатын жалпы ауданы 53 га және күрделі шығындары 38,7 млрд теңге болатын жеті жоба кіреді. Инвестицияларды егжей-тегжейлі бөлу үшін шартты үш компонентті құрылым қабылданды: құрылыс-монтаждау жұмыстары, материалдар мен алаңдарды дайындау; технологиялық жабдықты сатып алу, жеткізу және монтаждау; жобалау, іске қосу-баптау және өзге күрделі шығындар.</w:t>
      </w:r>
    </w:p>
    <w:p w14:paraId="2AFA4FF2">
      <w:pPr>
        <w:pStyle w:val="75"/>
        <w:keepNext/>
        <w:spacing w:line="240" w:lineRule="auto"/>
        <w:rPr>
          <w:rFonts w:ascii="Cambria" w:hAnsi="Cambria"/>
          <w:lang w:val="ru-RU"/>
        </w:rPr>
      </w:pPr>
      <w:r>
        <w:rPr>
          <w:rFonts w:ascii="Cambria" w:hAnsi="Cambria"/>
          <w:lang w:val="ru-RU"/>
        </w:rPr>
        <w:t>8.3-кесте – Жеті өндірістің күрделі шығындарының есептік құрылымы,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348"/>
        <w:gridCol w:w="4129"/>
        <w:gridCol w:w="966"/>
        <w:gridCol w:w="1053"/>
        <w:gridCol w:w="1145"/>
        <w:gridCol w:w="987"/>
        <w:gridCol w:w="861"/>
      </w:tblGrid>
      <w:tr w14:paraId="6B31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200" w:type="pct"/>
            <w:shd w:val="clear" w:color="auto" w:fill="23486F"/>
            <w:vAlign w:val="center"/>
          </w:tcPr>
          <w:p w14:paraId="5FD9C031">
            <w:pPr>
              <w:spacing w:after="0" w:line="240" w:lineRule="auto"/>
              <w:ind w:firstLine="0"/>
              <w:jc w:val="left"/>
              <w:rPr>
                <w:rFonts w:ascii="Cambria" w:hAnsi="Cambria"/>
              </w:rPr>
            </w:pPr>
            <w:r>
              <w:rPr>
                <w:rFonts w:ascii="Cambria" w:hAnsi="Cambria"/>
                <w:b/>
                <w:color w:val="FFFFFF"/>
                <w:sz w:val="15"/>
              </w:rPr>
              <w:t>№</w:t>
            </w:r>
          </w:p>
        </w:tc>
        <w:tc>
          <w:tcPr>
            <w:tcW w:w="2375" w:type="pct"/>
            <w:shd w:val="clear" w:color="auto" w:fill="23486F"/>
            <w:vAlign w:val="center"/>
          </w:tcPr>
          <w:p w14:paraId="3FAF0A5E">
            <w:pPr>
              <w:spacing w:after="0" w:line="240" w:lineRule="auto"/>
              <w:ind w:firstLine="0"/>
              <w:jc w:val="left"/>
              <w:rPr>
                <w:rFonts w:ascii="Cambria" w:hAnsi="Cambria"/>
              </w:rPr>
            </w:pPr>
            <w:r>
              <w:rPr>
                <w:rFonts w:ascii="Cambria" w:hAnsi="Cambria"/>
                <w:b/>
                <w:color w:val="FFFFFF"/>
                <w:sz w:val="15"/>
              </w:rPr>
              <w:t>Өндірістік жоба</w:t>
            </w:r>
          </w:p>
        </w:tc>
        <w:tc>
          <w:tcPr>
            <w:tcW w:w="617" w:type="pct"/>
            <w:shd w:val="clear" w:color="auto" w:fill="23486F"/>
            <w:vAlign w:val="center"/>
          </w:tcPr>
          <w:p w14:paraId="392D8793">
            <w:pPr>
              <w:spacing w:after="0" w:line="240" w:lineRule="auto"/>
              <w:ind w:firstLine="0"/>
              <w:jc w:val="left"/>
              <w:rPr>
                <w:rFonts w:ascii="Cambria" w:hAnsi="Cambria"/>
              </w:rPr>
            </w:pPr>
            <w:r>
              <w:rPr>
                <w:rFonts w:ascii="Cambria" w:hAnsi="Cambria"/>
                <w:b/>
                <w:color w:val="FFFFFF"/>
                <w:sz w:val="15"/>
              </w:rPr>
              <w:t>Ауданы, га</w:t>
            </w:r>
          </w:p>
        </w:tc>
        <w:tc>
          <w:tcPr>
            <w:tcW w:w="333" w:type="pct"/>
            <w:shd w:val="clear" w:color="auto" w:fill="23486F"/>
            <w:vAlign w:val="center"/>
          </w:tcPr>
          <w:p w14:paraId="22B6DA8F">
            <w:pPr>
              <w:spacing w:after="0" w:line="240" w:lineRule="auto"/>
              <w:ind w:firstLine="0"/>
              <w:jc w:val="left"/>
              <w:rPr>
                <w:rFonts w:ascii="Cambria" w:hAnsi="Cambria"/>
              </w:rPr>
            </w:pPr>
            <w:r>
              <w:rPr>
                <w:rFonts w:ascii="Cambria" w:hAnsi="Cambria"/>
                <w:b/>
                <w:color w:val="FFFFFF"/>
                <w:sz w:val="15"/>
              </w:rPr>
              <w:t>Құрылыс-монтаждау жұмыстары</w:t>
            </w:r>
          </w:p>
        </w:tc>
        <w:tc>
          <w:tcPr>
            <w:tcW w:w="711" w:type="pct"/>
            <w:shd w:val="clear" w:color="auto" w:fill="23486F"/>
            <w:vAlign w:val="center"/>
          </w:tcPr>
          <w:p w14:paraId="5BEB76B7">
            <w:pPr>
              <w:spacing w:after="0" w:line="240" w:lineRule="auto"/>
              <w:ind w:firstLine="0"/>
              <w:jc w:val="left"/>
              <w:rPr>
                <w:rFonts w:ascii="Cambria" w:hAnsi="Cambria"/>
              </w:rPr>
            </w:pPr>
            <w:r>
              <w:rPr>
                <w:rFonts w:ascii="Cambria" w:hAnsi="Cambria"/>
                <w:b/>
                <w:color w:val="FFFFFF"/>
                <w:sz w:val="15"/>
              </w:rPr>
              <w:t>Жабдық</w:t>
            </w:r>
          </w:p>
        </w:tc>
        <w:tc>
          <w:tcPr>
            <w:tcW w:w="422" w:type="pct"/>
            <w:shd w:val="clear" w:color="auto" w:fill="23486F"/>
            <w:vAlign w:val="center"/>
          </w:tcPr>
          <w:p w14:paraId="7336315B">
            <w:pPr>
              <w:spacing w:after="0" w:line="240" w:lineRule="auto"/>
              <w:ind w:firstLine="0"/>
              <w:jc w:val="left"/>
              <w:rPr>
                <w:rFonts w:ascii="Cambria" w:hAnsi="Cambria"/>
              </w:rPr>
            </w:pPr>
            <w:r>
              <w:rPr>
                <w:rFonts w:ascii="Cambria" w:hAnsi="Cambria"/>
                <w:b/>
                <w:color w:val="FFFFFF"/>
                <w:sz w:val="15"/>
              </w:rPr>
              <w:t>Өзге шығындар</w:t>
            </w:r>
          </w:p>
        </w:tc>
        <w:tc>
          <w:tcPr>
            <w:tcW w:w="341" w:type="pct"/>
            <w:shd w:val="clear" w:color="auto" w:fill="23486F"/>
            <w:vAlign w:val="center"/>
          </w:tcPr>
          <w:p w14:paraId="011058F6">
            <w:pPr>
              <w:spacing w:after="0" w:line="240" w:lineRule="auto"/>
              <w:ind w:firstLine="0"/>
              <w:jc w:val="left"/>
              <w:rPr>
                <w:rFonts w:ascii="Cambria" w:hAnsi="Cambria"/>
              </w:rPr>
            </w:pPr>
            <w:r>
              <w:rPr>
                <w:rFonts w:ascii="Cambria" w:hAnsi="Cambria"/>
                <w:b/>
                <w:color w:val="FFFFFF"/>
                <w:sz w:val="15"/>
              </w:rPr>
              <w:t>Барлығы</w:t>
            </w:r>
          </w:p>
        </w:tc>
      </w:tr>
      <w:tr w14:paraId="1ED5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vAlign w:val="center"/>
          </w:tcPr>
          <w:p w14:paraId="6810847B">
            <w:pPr>
              <w:spacing w:after="0" w:line="240" w:lineRule="auto"/>
              <w:ind w:firstLine="0"/>
              <w:jc w:val="left"/>
              <w:rPr>
                <w:rFonts w:ascii="Cambria" w:hAnsi="Cambria"/>
              </w:rPr>
            </w:pPr>
            <w:r>
              <w:rPr>
                <w:rFonts w:ascii="Cambria" w:hAnsi="Cambria"/>
                <w:color w:val="1C2839"/>
                <w:sz w:val="15"/>
              </w:rPr>
              <w:t>1</w:t>
            </w:r>
          </w:p>
        </w:tc>
        <w:tc>
          <w:tcPr>
            <w:tcW w:w="2375" w:type="pct"/>
            <w:vAlign w:val="center"/>
          </w:tcPr>
          <w:p w14:paraId="5CB76163">
            <w:pPr>
              <w:spacing w:after="0" w:line="240" w:lineRule="auto"/>
              <w:ind w:firstLine="0"/>
              <w:jc w:val="left"/>
              <w:rPr>
                <w:rFonts w:ascii="Cambria" w:hAnsi="Cambria"/>
                <w:lang w:val="ru-RU"/>
              </w:rPr>
            </w:pPr>
            <w:r>
              <w:rPr>
                <w:rFonts w:ascii="Cambria" w:hAnsi="Cambria"/>
                <w:color w:val="1C2839"/>
                <w:sz w:val="15"/>
                <w:lang w:val="ru-RU"/>
              </w:rPr>
              <w:t>Жол және инфрақұрылым құрылысына арналған ТББ</w:t>
            </w:r>
          </w:p>
        </w:tc>
        <w:tc>
          <w:tcPr>
            <w:tcW w:w="617" w:type="pct"/>
            <w:vAlign w:val="center"/>
          </w:tcPr>
          <w:p w14:paraId="021FF2BA">
            <w:pPr>
              <w:spacing w:after="0" w:line="240" w:lineRule="auto"/>
              <w:ind w:firstLine="0"/>
              <w:jc w:val="center"/>
              <w:rPr>
                <w:rFonts w:ascii="Cambria" w:hAnsi="Cambria"/>
              </w:rPr>
            </w:pPr>
            <w:r>
              <w:rPr>
                <w:rFonts w:ascii="Cambria" w:hAnsi="Cambria"/>
                <w:color w:val="1C2839"/>
                <w:sz w:val="15"/>
              </w:rPr>
              <w:t>8</w:t>
            </w:r>
          </w:p>
        </w:tc>
        <w:tc>
          <w:tcPr>
            <w:tcW w:w="333" w:type="pct"/>
            <w:vAlign w:val="center"/>
          </w:tcPr>
          <w:p w14:paraId="1EAF824B">
            <w:pPr>
              <w:spacing w:after="0" w:line="240" w:lineRule="auto"/>
              <w:ind w:firstLine="0"/>
              <w:jc w:val="center"/>
              <w:rPr>
                <w:rFonts w:ascii="Cambria" w:hAnsi="Cambria"/>
              </w:rPr>
            </w:pPr>
            <w:r>
              <w:rPr>
                <w:rFonts w:ascii="Cambria" w:hAnsi="Cambria"/>
                <w:color w:val="1C2839"/>
                <w:sz w:val="15"/>
              </w:rPr>
              <w:t>3,30</w:t>
            </w:r>
          </w:p>
        </w:tc>
        <w:tc>
          <w:tcPr>
            <w:tcW w:w="711" w:type="pct"/>
            <w:vAlign w:val="center"/>
          </w:tcPr>
          <w:p w14:paraId="4E263DFB">
            <w:pPr>
              <w:spacing w:after="0" w:line="240" w:lineRule="auto"/>
              <w:ind w:firstLine="0"/>
              <w:jc w:val="center"/>
              <w:rPr>
                <w:rFonts w:ascii="Cambria" w:hAnsi="Cambria"/>
              </w:rPr>
            </w:pPr>
            <w:r>
              <w:rPr>
                <w:rFonts w:ascii="Cambria" w:hAnsi="Cambria"/>
                <w:color w:val="1C2839"/>
                <w:sz w:val="15"/>
              </w:rPr>
              <w:t>3,10</w:t>
            </w:r>
          </w:p>
        </w:tc>
        <w:tc>
          <w:tcPr>
            <w:tcW w:w="422" w:type="pct"/>
            <w:vAlign w:val="center"/>
          </w:tcPr>
          <w:p w14:paraId="2C24A2A6">
            <w:pPr>
              <w:spacing w:after="0" w:line="240" w:lineRule="auto"/>
              <w:ind w:firstLine="0"/>
              <w:jc w:val="center"/>
              <w:rPr>
                <w:rFonts w:ascii="Cambria" w:hAnsi="Cambria"/>
              </w:rPr>
            </w:pPr>
            <w:r>
              <w:rPr>
                <w:rFonts w:ascii="Cambria" w:hAnsi="Cambria"/>
                <w:color w:val="1C2839"/>
                <w:sz w:val="15"/>
              </w:rPr>
              <w:t>0,60</w:t>
            </w:r>
          </w:p>
        </w:tc>
        <w:tc>
          <w:tcPr>
            <w:tcW w:w="341" w:type="pct"/>
            <w:vAlign w:val="center"/>
          </w:tcPr>
          <w:p w14:paraId="14807354">
            <w:pPr>
              <w:spacing w:after="0" w:line="240" w:lineRule="auto"/>
              <w:ind w:firstLine="0"/>
              <w:jc w:val="center"/>
              <w:rPr>
                <w:rFonts w:ascii="Cambria" w:hAnsi="Cambria"/>
              </w:rPr>
            </w:pPr>
            <w:r>
              <w:rPr>
                <w:rFonts w:ascii="Cambria" w:hAnsi="Cambria"/>
                <w:color w:val="1C2839"/>
                <w:sz w:val="15"/>
              </w:rPr>
              <w:t>7,00</w:t>
            </w:r>
          </w:p>
        </w:tc>
      </w:tr>
      <w:tr w14:paraId="6436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shd w:val="clear" w:color="auto" w:fill="F0F5F9"/>
            <w:vAlign w:val="center"/>
          </w:tcPr>
          <w:p w14:paraId="704A02D0">
            <w:pPr>
              <w:spacing w:after="0" w:line="240" w:lineRule="auto"/>
              <w:ind w:firstLine="0"/>
              <w:jc w:val="left"/>
              <w:rPr>
                <w:rFonts w:ascii="Cambria" w:hAnsi="Cambria"/>
              </w:rPr>
            </w:pPr>
            <w:r>
              <w:rPr>
                <w:rFonts w:ascii="Cambria" w:hAnsi="Cambria"/>
                <w:color w:val="1C2839"/>
                <w:sz w:val="15"/>
              </w:rPr>
              <w:t>2</w:t>
            </w:r>
          </w:p>
        </w:tc>
        <w:tc>
          <w:tcPr>
            <w:tcW w:w="2375" w:type="pct"/>
            <w:shd w:val="clear" w:color="auto" w:fill="F0F5F9"/>
            <w:vAlign w:val="center"/>
          </w:tcPr>
          <w:p w14:paraId="625ACF82">
            <w:pPr>
              <w:spacing w:after="0" w:line="240" w:lineRule="auto"/>
              <w:ind w:firstLine="0"/>
              <w:jc w:val="left"/>
              <w:rPr>
                <w:rFonts w:ascii="Cambria" w:hAnsi="Cambria"/>
              </w:rPr>
            </w:pPr>
            <w:r>
              <w:rPr>
                <w:rFonts w:ascii="Cambria" w:hAnsi="Cambria"/>
                <w:color w:val="1C2839"/>
                <w:sz w:val="15"/>
              </w:rPr>
              <w:t>Темірбетон шпалдар</w:t>
            </w:r>
          </w:p>
        </w:tc>
        <w:tc>
          <w:tcPr>
            <w:tcW w:w="617" w:type="pct"/>
            <w:shd w:val="clear" w:color="auto" w:fill="F0F5F9"/>
            <w:vAlign w:val="center"/>
          </w:tcPr>
          <w:p w14:paraId="50D7A86F">
            <w:pPr>
              <w:spacing w:after="0" w:line="240" w:lineRule="auto"/>
              <w:ind w:firstLine="0"/>
              <w:jc w:val="center"/>
              <w:rPr>
                <w:rFonts w:ascii="Cambria" w:hAnsi="Cambria"/>
              </w:rPr>
            </w:pPr>
            <w:r>
              <w:rPr>
                <w:rFonts w:ascii="Cambria" w:hAnsi="Cambria"/>
                <w:color w:val="1C2839"/>
                <w:sz w:val="15"/>
              </w:rPr>
              <w:t>5</w:t>
            </w:r>
          </w:p>
        </w:tc>
        <w:tc>
          <w:tcPr>
            <w:tcW w:w="333" w:type="pct"/>
            <w:shd w:val="clear" w:color="auto" w:fill="F0F5F9"/>
            <w:vAlign w:val="center"/>
          </w:tcPr>
          <w:p w14:paraId="7C658DFA">
            <w:pPr>
              <w:spacing w:after="0" w:line="240" w:lineRule="auto"/>
              <w:ind w:firstLine="0"/>
              <w:jc w:val="center"/>
              <w:rPr>
                <w:rFonts w:ascii="Cambria" w:hAnsi="Cambria"/>
              </w:rPr>
            </w:pPr>
            <w:r>
              <w:rPr>
                <w:rFonts w:ascii="Cambria" w:hAnsi="Cambria"/>
                <w:color w:val="1C2839"/>
                <w:sz w:val="15"/>
              </w:rPr>
              <w:t>2,30</w:t>
            </w:r>
          </w:p>
        </w:tc>
        <w:tc>
          <w:tcPr>
            <w:tcW w:w="711" w:type="pct"/>
            <w:shd w:val="clear" w:color="auto" w:fill="F0F5F9"/>
            <w:vAlign w:val="center"/>
          </w:tcPr>
          <w:p w14:paraId="5F049FFD">
            <w:pPr>
              <w:spacing w:after="0" w:line="240" w:lineRule="auto"/>
              <w:ind w:firstLine="0"/>
              <w:jc w:val="center"/>
              <w:rPr>
                <w:rFonts w:ascii="Cambria" w:hAnsi="Cambria"/>
              </w:rPr>
            </w:pPr>
            <w:r>
              <w:rPr>
                <w:rFonts w:ascii="Cambria" w:hAnsi="Cambria"/>
                <w:color w:val="1C2839"/>
                <w:sz w:val="15"/>
              </w:rPr>
              <w:t>3,20</w:t>
            </w:r>
          </w:p>
        </w:tc>
        <w:tc>
          <w:tcPr>
            <w:tcW w:w="422" w:type="pct"/>
            <w:shd w:val="clear" w:color="auto" w:fill="F0F5F9"/>
            <w:vAlign w:val="center"/>
          </w:tcPr>
          <w:p w14:paraId="4F7A839A">
            <w:pPr>
              <w:spacing w:after="0" w:line="240" w:lineRule="auto"/>
              <w:ind w:firstLine="0"/>
              <w:jc w:val="center"/>
              <w:rPr>
                <w:rFonts w:ascii="Cambria" w:hAnsi="Cambria"/>
              </w:rPr>
            </w:pPr>
            <w:r>
              <w:rPr>
                <w:rFonts w:ascii="Cambria" w:hAnsi="Cambria"/>
                <w:color w:val="1C2839"/>
                <w:sz w:val="15"/>
              </w:rPr>
              <w:t>0,50</w:t>
            </w:r>
          </w:p>
        </w:tc>
        <w:tc>
          <w:tcPr>
            <w:tcW w:w="341" w:type="pct"/>
            <w:shd w:val="clear" w:color="auto" w:fill="F0F5F9"/>
            <w:vAlign w:val="center"/>
          </w:tcPr>
          <w:p w14:paraId="2A178ADB">
            <w:pPr>
              <w:spacing w:after="0" w:line="240" w:lineRule="auto"/>
              <w:ind w:firstLine="0"/>
              <w:jc w:val="center"/>
              <w:rPr>
                <w:rFonts w:ascii="Cambria" w:hAnsi="Cambria"/>
              </w:rPr>
            </w:pPr>
            <w:r>
              <w:rPr>
                <w:rFonts w:ascii="Cambria" w:hAnsi="Cambria"/>
                <w:color w:val="1C2839"/>
                <w:sz w:val="15"/>
              </w:rPr>
              <w:t>6,00</w:t>
            </w:r>
          </w:p>
        </w:tc>
      </w:tr>
      <w:tr w14:paraId="1763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vAlign w:val="center"/>
          </w:tcPr>
          <w:p w14:paraId="2292B4D6">
            <w:pPr>
              <w:spacing w:after="0" w:line="240" w:lineRule="auto"/>
              <w:ind w:firstLine="0"/>
              <w:jc w:val="left"/>
              <w:rPr>
                <w:rFonts w:ascii="Cambria" w:hAnsi="Cambria"/>
              </w:rPr>
            </w:pPr>
            <w:r>
              <w:rPr>
                <w:rFonts w:ascii="Cambria" w:hAnsi="Cambria"/>
                <w:color w:val="1C2839"/>
                <w:sz w:val="15"/>
              </w:rPr>
              <w:t>3</w:t>
            </w:r>
          </w:p>
        </w:tc>
        <w:tc>
          <w:tcPr>
            <w:tcW w:w="2375" w:type="pct"/>
            <w:vAlign w:val="center"/>
          </w:tcPr>
          <w:p w14:paraId="71303BF3">
            <w:pPr>
              <w:spacing w:after="0" w:line="240" w:lineRule="auto"/>
              <w:ind w:firstLine="0"/>
              <w:jc w:val="left"/>
              <w:rPr>
                <w:rFonts w:ascii="Cambria" w:hAnsi="Cambria"/>
              </w:rPr>
            </w:pPr>
            <w:r>
              <w:rPr>
                <w:rFonts w:ascii="Cambria" w:hAnsi="Cambria"/>
                <w:color w:val="1C2839"/>
                <w:sz w:val="15"/>
              </w:rPr>
              <w:t>Электр беру желілерінің темірбетон тіректері</w:t>
            </w:r>
          </w:p>
        </w:tc>
        <w:tc>
          <w:tcPr>
            <w:tcW w:w="617" w:type="pct"/>
            <w:vAlign w:val="center"/>
          </w:tcPr>
          <w:p w14:paraId="6278BAAF">
            <w:pPr>
              <w:spacing w:after="0" w:line="240" w:lineRule="auto"/>
              <w:ind w:firstLine="0"/>
              <w:jc w:val="center"/>
              <w:rPr>
                <w:rFonts w:ascii="Cambria" w:hAnsi="Cambria"/>
              </w:rPr>
            </w:pPr>
            <w:r>
              <w:rPr>
                <w:rFonts w:ascii="Cambria" w:hAnsi="Cambria"/>
                <w:color w:val="1C2839"/>
                <w:sz w:val="15"/>
              </w:rPr>
              <w:t>4</w:t>
            </w:r>
          </w:p>
        </w:tc>
        <w:tc>
          <w:tcPr>
            <w:tcW w:w="333" w:type="pct"/>
            <w:vAlign w:val="center"/>
          </w:tcPr>
          <w:p w14:paraId="4C9EAA82">
            <w:pPr>
              <w:spacing w:after="0" w:line="240" w:lineRule="auto"/>
              <w:ind w:firstLine="0"/>
              <w:jc w:val="center"/>
              <w:rPr>
                <w:rFonts w:ascii="Cambria" w:hAnsi="Cambria"/>
              </w:rPr>
            </w:pPr>
            <w:r>
              <w:rPr>
                <w:rFonts w:ascii="Cambria" w:hAnsi="Cambria"/>
                <w:color w:val="1C2839"/>
                <w:sz w:val="15"/>
              </w:rPr>
              <w:t>1,50</w:t>
            </w:r>
          </w:p>
        </w:tc>
        <w:tc>
          <w:tcPr>
            <w:tcW w:w="711" w:type="pct"/>
            <w:vAlign w:val="center"/>
          </w:tcPr>
          <w:p w14:paraId="7E001C62">
            <w:pPr>
              <w:spacing w:after="0" w:line="240" w:lineRule="auto"/>
              <w:ind w:firstLine="0"/>
              <w:jc w:val="center"/>
              <w:rPr>
                <w:rFonts w:ascii="Cambria" w:hAnsi="Cambria"/>
              </w:rPr>
            </w:pPr>
            <w:r>
              <w:rPr>
                <w:rFonts w:ascii="Cambria" w:hAnsi="Cambria"/>
                <w:color w:val="1C2839"/>
                <w:sz w:val="15"/>
              </w:rPr>
              <w:t>2,10</w:t>
            </w:r>
          </w:p>
        </w:tc>
        <w:tc>
          <w:tcPr>
            <w:tcW w:w="422" w:type="pct"/>
            <w:vAlign w:val="center"/>
          </w:tcPr>
          <w:p w14:paraId="654DCFAA">
            <w:pPr>
              <w:spacing w:after="0" w:line="240" w:lineRule="auto"/>
              <w:ind w:firstLine="0"/>
              <w:jc w:val="center"/>
              <w:rPr>
                <w:rFonts w:ascii="Cambria" w:hAnsi="Cambria"/>
              </w:rPr>
            </w:pPr>
            <w:r>
              <w:rPr>
                <w:rFonts w:ascii="Cambria" w:hAnsi="Cambria"/>
                <w:color w:val="1C2839"/>
                <w:sz w:val="15"/>
              </w:rPr>
              <w:t>0,40</w:t>
            </w:r>
          </w:p>
        </w:tc>
        <w:tc>
          <w:tcPr>
            <w:tcW w:w="341" w:type="pct"/>
            <w:vAlign w:val="center"/>
          </w:tcPr>
          <w:p w14:paraId="75249488">
            <w:pPr>
              <w:spacing w:after="0" w:line="240" w:lineRule="auto"/>
              <w:ind w:firstLine="0"/>
              <w:jc w:val="center"/>
              <w:rPr>
                <w:rFonts w:ascii="Cambria" w:hAnsi="Cambria"/>
              </w:rPr>
            </w:pPr>
            <w:r>
              <w:rPr>
                <w:rFonts w:ascii="Cambria" w:hAnsi="Cambria"/>
                <w:color w:val="1C2839"/>
                <w:sz w:val="15"/>
              </w:rPr>
              <w:t>4,00</w:t>
            </w:r>
          </w:p>
        </w:tc>
      </w:tr>
      <w:tr w14:paraId="6AE4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shd w:val="clear" w:color="auto" w:fill="F0F5F9"/>
            <w:vAlign w:val="center"/>
          </w:tcPr>
          <w:p w14:paraId="4F311FAA">
            <w:pPr>
              <w:spacing w:after="0" w:line="240" w:lineRule="auto"/>
              <w:ind w:firstLine="0"/>
              <w:jc w:val="left"/>
              <w:rPr>
                <w:rFonts w:ascii="Cambria" w:hAnsi="Cambria"/>
              </w:rPr>
            </w:pPr>
            <w:r>
              <w:rPr>
                <w:rFonts w:ascii="Cambria" w:hAnsi="Cambria"/>
                <w:color w:val="1C2839"/>
                <w:sz w:val="15"/>
              </w:rPr>
              <w:t>4</w:t>
            </w:r>
          </w:p>
        </w:tc>
        <w:tc>
          <w:tcPr>
            <w:tcW w:w="2375" w:type="pct"/>
            <w:shd w:val="clear" w:color="auto" w:fill="F0F5F9"/>
            <w:vAlign w:val="center"/>
          </w:tcPr>
          <w:p w14:paraId="2A98AA4E">
            <w:pPr>
              <w:spacing w:after="0" w:line="240" w:lineRule="auto"/>
              <w:ind w:firstLine="0"/>
              <w:jc w:val="left"/>
              <w:rPr>
                <w:rFonts w:ascii="Cambria" w:hAnsi="Cambria"/>
              </w:rPr>
            </w:pPr>
            <w:r>
              <w:rPr>
                <w:rFonts w:ascii="Cambria" w:hAnsi="Cambria"/>
                <w:color w:val="1C2839"/>
                <w:sz w:val="15"/>
              </w:rPr>
              <w:t>Тұрғын үй құрылысына арналған ТББ</w:t>
            </w:r>
          </w:p>
        </w:tc>
        <w:tc>
          <w:tcPr>
            <w:tcW w:w="617" w:type="pct"/>
            <w:shd w:val="clear" w:color="auto" w:fill="F0F5F9"/>
            <w:vAlign w:val="center"/>
          </w:tcPr>
          <w:p w14:paraId="3DCA3B3E">
            <w:pPr>
              <w:spacing w:after="0" w:line="240" w:lineRule="auto"/>
              <w:ind w:firstLine="0"/>
              <w:jc w:val="center"/>
              <w:rPr>
                <w:rFonts w:ascii="Cambria" w:hAnsi="Cambria"/>
              </w:rPr>
            </w:pPr>
            <w:r>
              <w:rPr>
                <w:rFonts w:ascii="Cambria" w:hAnsi="Cambria"/>
                <w:color w:val="1C2839"/>
                <w:sz w:val="15"/>
              </w:rPr>
              <w:t>8</w:t>
            </w:r>
          </w:p>
        </w:tc>
        <w:tc>
          <w:tcPr>
            <w:tcW w:w="333" w:type="pct"/>
            <w:shd w:val="clear" w:color="auto" w:fill="F0F5F9"/>
            <w:vAlign w:val="center"/>
          </w:tcPr>
          <w:p w14:paraId="124F8940">
            <w:pPr>
              <w:spacing w:after="0" w:line="240" w:lineRule="auto"/>
              <w:ind w:firstLine="0"/>
              <w:jc w:val="center"/>
              <w:rPr>
                <w:rFonts w:ascii="Cambria" w:hAnsi="Cambria"/>
              </w:rPr>
            </w:pPr>
            <w:r>
              <w:rPr>
                <w:rFonts w:ascii="Cambria" w:hAnsi="Cambria"/>
                <w:color w:val="1C2839"/>
                <w:sz w:val="15"/>
              </w:rPr>
              <w:t>3,50</w:t>
            </w:r>
          </w:p>
        </w:tc>
        <w:tc>
          <w:tcPr>
            <w:tcW w:w="711" w:type="pct"/>
            <w:shd w:val="clear" w:color="auto" w:fill="F0F5F9"/>
            <w:vAlign w:val="center"/>
          </w:tcPr>
          <w:p w14:paraId="105119EB">
            <w:pPr>
              <w:spacing w:after="0" w:line="240" w:lineRule="auto"/>
              <w:ind w:firstLine="0"/>
              <w:jc w:val="center"/>
              <w:rPr>
                <w:rFonts w:ascii="Cambria" w:hAnsi="Cambria"/>
              </w:rPr>
            </w:pPr>
            <w:r>
              <w:rPr>
                <w:rFonts w:ascii="Cambria" w:hAnsi="Cambria"/>
                <w:color w:val="1C2839"/>
                <w:sz w:val="15"/>
              </w:rPr>
              <w:t>3,40</w:t>
            </w:r>
          </w:p>
        </w:tc>
        <w:tc>
          <w:tcPr>
            <w:tcW w:w="422" w:type="pct"/>
            <w:shd w:val="clear" w:color="auto" w:fill="F0F5F9"/>
            <w:vAlign w:val="center"/>
          </w:tcPr>
          <w:p w14:paraId="125C12A8">
            <w:pPr>
              <w:spacing w:after="0" w:line="240" w:lineRule="auto"/>
              <w:ind w:firstLine="0"/>
              <w:jc w:val="center"/>
              <w:rPr>
                <w:rFonts w:ascii="Cambria" w:hAnsi="Cambria"/>
              </w:rPr>
            </w:pPr>
            <w:r>
              <w:rPr>
                <w:rFonts w:ascii="Cambria" w:hAnsi="Cambria"/>
                <w:color w:val="1C2839"/>
                <w:sz w:val="15"/>
              </w:rPr>
              <w:t>0,60</w:t>
            </w:r>
          </w:p>
        </w:tc>
        <w:tc>
          <w:tcPr>
            <w:tcW w:w="341" w:type="pct"/>
            <w:shd w:val="clear" w:color="auto" w:fill="F0F5F9"/>
            <w:vAlign w:val="center"/>
          </w:tcPr>
          <w:p w14:paraId="7144790A">
            <w:pPr>
              <w:spacing w:after="0" w:line="240" w:lineRule="auto"/>
              <w:ind w:firstLine="0"/>
              <w:jc w:val="center"/>
              <w:rPr>
                <w:rFonts w:ascii="Cambria" w:hAnsi="Cambria"/>
              </w:rPr>
            </w:pPr>
            <w:r>
              <w:rPr>
                <w:rFonts w:ascii="Cambria" w:hAnsi="Cambria"/>
                <w:color w:val="1C2839"/>
                <w:sz w:val="15"/>
              </w:rPr>
              <w:t>7,50</w:t>
            </w:r>
          </w:p>
        </w:tc>
      </w:tr>
      <w:tr w14:paraId="2A7F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vAlign w:val="center"/>
          </w:tcPr>
          <w:p w14:paraId="598865BB">
            <w:pPr>
              <w:spacing w:after="0" w:line="240" w:lineRule="auto"/>
              <w:ind w:firstLine="0"/>
              <w:jc w:val="left"/>
              <w:rPr>
                <w:rFonts w:ascii="Cambria" w:hAnsi="Cambria"/>
              </w:rPr>
            </w:pPr>
            <w:r>
              <w:rPr>
                <w:rFonts w:ascii="Cambria" w:hAnsi="Cambria"/>
                <w:color w:val="1C2839"/>
                <w:sz w:val="15"/>
              </w:rPr>
              <w:t>5</w:t>
            </w:r>
          </w:p>
        </w:tc>
        <w:tc>
          <w:tcPr>
            <w:tcW w:w="2375" w:type="pct"/>
            <w:vAlign w:val="center"/>
          </w:tcPr>
          <w:p w14:paraId="60B3A78D">
            <w:pPr>
              <w:spacing w:after="0" w:line="240" w:lineRule="auto"/>
              <w:ind w:firstLine="0"/>
              <w:jc w:val="left"/>
              <w:rPr>
                <w:rFonts w:ascii="Cambria" w:hAnsi="Cambria"/>
              </w:rPr>
            </w:pPr>
            <w:r>
              <w:rPr>
                <w:rFonts w:ascii="Cambria" w:hAnsi="Cambria"/>
                <w:color w:val="1C2839"/>
                <w:sz w:val="15"/>
              </w:rPr>
              <w:t>Құрғақ құрылыс қоспалары</w:t>
            </w:r>
          </w:p>
        </w:tc>
        <w:tc>
          <w:tcPr>
            <w:tcW w:w="617" w:type="pct"/>
            <w:vAlign w:val="center"/>
          </w:tcPr>
          <w:p w14:paraId="672FA649">
            <w:pPr>
              <w:spacing w:after="0" w:line="240" w:lineRule="auto"/>
              <w:ind w:firstLine="0"/>
              <w:jc w:val="center"/>
              <w:rPr>
                <w:rFonts w:ascii="Cambria" w:hAnsi="Cambria"/>
              </w:rPr>
            </w:pPr>
            <w:r>
              <w:rPr>
                <w:rFonts w:ascii="Cambria" w:hAnsi="Cambria"/>
                <w:color w:val="1C2839"/>
                <w:sz w:val="15"/>
              </w:rPr>
              <w:t>9</w:t>
            </w:r>
          </w:p>
        </w:tc>
        <w:tc>
          <w:tcPr>
            <w:tcW w:w="333" w:type="pct"/>
            <w:vAlign w:val="center"/>
          </w:tcPr>
          <w:p w14:paraId="2A0B2519">
            <w:pPr>
              <w:spacing w:after="0" w:line="240" w:lineRule="auto"/>
              <w:ind w:firstLine="0"/>
              <w:jc w:val="center"/>
              <w:rPr>
                <w:rFonts w:ascii="Cambria" w:hAnsi="Cambria"/>
              </w:rPr>
            </w:pPr>
            <w:r>
              <w:rPr>
                <w:rFonts w:ascii="Cambria" w:hAnsi="Cambria"/>
                <w:color w:val="1C2839"/>
                <w:sz w:val="15"/>
              </w:rPr>
              <w:t>1,00</w:t>
            </w:r>
          </w:p>
        </w:tc>
        <w:tc>
          <w:tcPr>
            <w:tcW w:w="711" w:type="pct"/>
            <w:vAlign w:val="center"/>
          </w:tcPr>
          <w:p w14:paraId="089AFD1D">
            <w:pPr>
              <w:spacing w:after="0" w:line="240" w:lineRule="auto"/>
              <w:ind w:firstLine="0"/>
              <w:jc w:val="center"/>
              <w:rPr>
                <w:rFonts w:ascii="Cambria" w:hAnsi="Cambria"/>
              </w:rPr>
            </w:pPr>
            <w:r>
              <w:rPr>
                <w:rFonts w:ascii="Cambria" w:hAnsi="Cambria"/>
                <w:color w:val="1C2839"/>
                <w:sz w:val="15"/>
              </w:rPr>
              <w:t>1,70</w:t>
            </w:r>
          </w:p>
        </w:tc>
        <w:tc>
          <w:tcPr>
            <w:tcW w:w="422" w:type="pct"/>
            <w:vAlign w:val="center"/>
          </w:tcPr>
          <w:p w14:paraId="3CECEA85">
            <w:pPr>
              <w:spacing w:after="0" w:line="240" w:lineRule="auto"/>
              <w:ind w:firstLine="0"/>
              <w:jc w:val="center"/>
              <w:rPr>
                <w:rFonts w:ascii="Cambria" w:hAnsi="Cambria"/>
              </w:rPr>
            </w:pPr>
            <w:r>
              <w:rPr>
                <w:rFonts w:ascii="Cambria" w:hAnsi="Cambria"/>
                <w:color w:val="1C2839"/>
                <w:sz w:val="15"/>
              </w:rPr>
              <w:t>0,30</w:t>
            </w:r>
          </w:p>
        </w:tc>
        <w:tc>
          <w:tcPr>
            <w:tcW w:w="341" w:type="pct"/>
            <w:vAlign w:val="center"/>
          </w:tcPr>
          <w:p w14:paraId="67EDD7DD">
            <w:pPr>
              <w:spacing w:after="0" w:line="240" w:lineRule="auto"/>
              <w:ind w:firstLine="0"/>
              <w:jc w:val="center"/>
              <w:rPr>
                <w:rFonts w:ascii="Cambria" w:hAnsi="Cambria"/>
              </w:rPr>
            </w:pPr>
            <w:r>
              <w:rPr>
                <w:rFonts w:ascii="Cambria" w:hAnsi="Cambria"/>
                <w:color w:val="1C2839"/>
                <w:sz w:val="15"/>
              </w:rPr>
              <w:t>3,00</w:t>
            </w:r>
          </w:p>
        </w:tc>
      </w:tr>
      <w:tr w14:paraId="476C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shd w:val="clear" w:color="auto" w:fill="F0F5F9"/>
            <w:vAlign w:val="center"/>
          </w:tcPr>
          <w:p w14:paraId="6DF58045">
            <w:pPr>
              <w:spacing w:after="0" w:line="240" w:lineRule="auto"/>
              <w:ind w:firstLine="0"/>
              <w:jc w:val="left"/>
              <w:rPr>
                <w:rFonts w:ascii="Cambria" w:hAnsi="Cambria"/>
              </w:rPr>
            </w:pPr>
            <w:r>
              <w:rPr>
                <w:rFonts w:ascii="Cambria" w:hAnsi="Cambria"/>
                <w:color w:val="1C2839"/>
                <w:sz w:val="15"/>
              </w:rPr>
              <w:t>6</w:t>
            </w:r>
          </w:p>
        </w:tc>
        <w:tc>
          <w:tcPr>
            <w:tcW w:w="2375" w:type="pct"/>
            <w:shd w:val="clear" w:color="auto" w:fill="F0F5F9"/>
            <w:vAlign w:val="center"/>
          </w:tcPr>
          <w:p w14:paraId="7E46C37C">
            <w:pPr>
              <w:spacing w:after="0" w:line="240" w:lineRule="auto"/>
              <w:ind w:firstLine="0"/>
              <w:jc w:val="left"/>
              <w:rPr>
                <w:rFonts w:ascii="Cambria" w:hAnsi="Cambria"/>
              </w:rPr>
            </w:pPr>
            <w:r>
              <w:rPr>
                <w:rFonts w:ascii="Cambria" w:hAnsi="Cambria"/>
                <w:color w:val="1C2839"/>
                <w:sz w:val="15"/>
              </w:rPr>
              <w:t>Фиброцемент панельдері</w:t>
            </w:r>
          </w:p>
        </w:tc>
        <w:tc>
          <w:tcPr>
            <w:tcW w:w="617" w:type="pct"/>
            <w:shd w:val="clear" w:color="auto" w:fill="F0F5F9"/>
            <w:vAlign w:val="center"/>
          </w:tcPr>
          <w:p w14:paraId="7BC665F4">
            <w:pPr>
              <w:spacing w:after="0" w:line="240" w:lineRule="auto"/>
              <w:ind w:firstLine="0"/>
              <w:jc w:val="center"/>
              <w:rPr>
                <w:rFonts w:ascii="Cambria" w:hAnsi="Cambria"/>
              </w:rPr>
            </w:pPr>
            <w:r>
              <w:rPr>
                <w:rFonts w:ascii="Cambria" w:hAnsi="Cambria"/>
                <w:color w:val="1C2839"/>
                <w:sz w:val="15"/>
              </w:rPr>
              <w:t>11</w:t>
            </w:r>
          </w:p>
        </w:tc>
        <w:tc>
          <w:tcPr>
            <w:tcW w:w="333" w:type="pct"/>
            <w:shd w:val="clear" w:color="auto" w:fill="F0F5F9"/>
            <w:vAlign w:val="center"/>
          </w:tcPr>
          <w:p w14:paraId="05422FDD">
            <w:pPr>
              <w:spacing w:after="0" w:line="240" w:lineRule="auto"/>
              <w:ind w:firstLine="0"/>
              <w:jc w:val="center"/>
              <w:rPr>
                <w:rFonts w:ascii="Cambria" w:hAnsi="Cambria"/>
              </w:rPr>
            </w:pPr>
            <w:r>
              <w:rPr>
                <w:rFonts w:ascii="Cambria" w:hAnsi="Cambria"/>
                <w:color w:val="1C2839"/>
                <w:sz w:val="15"/>
              </w:rPr>
              <w:t>3,20</w:t>
            </w:r>
          </w:p>
        </w:tc>
        <w:tc>
          <w:tcPr>
            <w:tcW w:w="711" w:type="pct"/>
            <w:shd w:val="clear" w:color="auto" w:fill="F0F5F9"/>
            <w:vAlign w:val="center"/>
          </w:tcPr>
          <w:p w14:paraId="5732EC41">
            <w:pPr>
              <w:spacing w:after="0" w:line="240" w:lineRule="auto"/>
              <w:ind w:firstLine="0"/>
              <w:jc w:val="center"/>
              <w:rPr>
                <w:rFonts w:ascii="Cambria" w:hAnsi="Cambria"/>
              </w:rPr>
            </w:pPr>
            <w:r>
              <w:rPr>
                <w:rFonts w:ascii="Cambria" w:hAnsi="Cambria"/>
                <w:color w:val="1C2839"/>
                <w:sz w:val="15"/>
              </w:rPr>
              <w:t>5,00</w:t>
            </w:r>
          </w:p>
        </w:tc>
        <w:tc>
          <w:tcPr>
            <w:tcW w:w="422" w:type="pct"/>
            <w:shd w:val="clear" w:color="auto" w:fill="F0F5F9"/>
            <w:vAlign w:val="center"/>
          </w:tcPr>
          <w:p w14:paraId="579E5194">
            <w:pPr>
              <w:spacing w:after="0" w:line="240" w:lineRule="auto"/>
              <w:ind w:firstLine="0"/>
              <w:jc w:val="center"/>
              <w:rPr>
                <w:rFonts w:ascii="Cambria" w:hAnsi="Cambria"/>
              </w:rPr>
            </w:pPr>
            <w:r>
              <w:rPr>
                <w:rFonts w:ascii="Cambria" w:hAnsi="Cambria"/>
                <w:color w:val="1C2839"/>
                <w:sz w:val="15"/>
              </w:rPr>
              <w:t>0,80</w:t>
            </w:r>
          </w:p>
        </w:tc>
        <w:tc>
          <w:tcPr>
            <w:tcW w:w="341" w:type="pct"/>
            <w:shd w:val="clear" w:color="auto" w:fill="F0F5F9"/>
            <w:vAlign w:val="center"/>
          </w:tcPr>
          <w:p w14:paraId="6FAC7E0B">
            <w:pPr>
              <w:spacing w:after="0" w:line="240" w:lineRule="auto"/>
              <w:ind w:firstLine="0"/>
              <w:jc w:val="center"/>
              <w:rPr>
                <w:rFonts w:ascii="Cambria" w:hAnsi="Cambria"/>
              </w:rPr>
            </w:pPr>
            <w:r>
              <w:rPr>
                <w:rFonts w:ascii="Cambria" w:hAnsi="Cambria"/>
                <w:color w:val="1C2839"/>
                <w:sz w:val="15"/>
              </w:rPr>
              <w:t>9,00</w:t>
            </w:r>
          </w:p>
        </w:tc>
      </w:tr>
      <w:tr w14:paraId="3AA6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vAlign w:val="center"/>
          </w:tcPr>
          <w:p w14:paraId="239FA7CC">
            <w:pPr>
              <w:spacing w:after="0" w:line="240" w:lineRule="auto"/>
              <w:ind w:firstLine="0"/>
              <w:jc w:val="left"/>
              <w:rPr>
                <w:rFonts w:ascii="Cambria" w:hAnsi="Cambria"/>
              </w:rPr>
            </w:pPr>
            <w:r>
              <w:rPr>
                <w:rFonts w:ascii="Cambria" w:hAnsi="Cambria"/>
                <w:color w:val="1C2839"/>
                <w:sz w:val="15"/>
              </w:rPr>
              <w:t>7</w:t>
            </w:r>
          </w:p>
        </w:tc>
        <w:tc>
          <w:tcPr>
            <w:tcW w:w="2375" w:type="pct"/>
            <w:vAlign w:val="center"/>
          </w:tcPr>
          <w:p w14:paraId="3EF5142D">
            <w:pPr>
              <w:spacing w:after="0" w:line="240" w:lineRule="auto"/>
              <w:ind w:firstLine="0"/>
              <w:jc w:val="left"/>
              <w:rPr>
                <w:rFonts w:ascii="Cambria" w:hAnsi="Cambria"/>
              </w:rPr>
            </w:pPr>
            <w:r>
              <w:rPr>
                <w:rFonts w:ascii="Cambria" w:hAnsi="Cambria"/>
                <w:color w:val="1C2839"/>
                <w:sz w:val="15"/>
              </w:rPr>
              <w:t>Абаттандыруға арналған бетон бұйымдары</w:t>
            </w:r>
          </w:p>
        </w:tc>
        <w:tc>
          <w:tcPr>
            <w:tcW w:w="617" w:type="pct"/>
            <w:vAlign w:val="center"/>
          </w:tcPr>
          <w:p w14:paraId="5B13DEBC">
            <w:pPr>
              <w:spacing w:after="0" w:line="240" w:lineRule="auto"/>
              <w:ind w:firstLine="0"/>
              <w:jc w:val="center"/>
              <w:rPr>
                <w:rFonts w:ascii="Cambria" w:hAnsi="Cambria"/>
              </w:rPr>
            </w:pPr>
            <w:r>
              <w:rPr>
                <w:rFonts w:ascii="Cambria" w:hAnsi="Cambria"/>
                <w:color w:val="1C2839"/>
                <w:sz w:val="15"/>
              </w:rPr>
              <w:t>8</w:t>
            </w:r>
          </w:p>
        </w:tc>
        <w:tc>
          <w:tcPr>
            <w:tcW w:w="333" w:type="pct"/>
            <w:vAlign w:val="center"/>
          </w:tcPr>
          <w:p w14:paraId="2454AAB7">
            <w:pPr>
              <w:spacing w:after="0" w:line="240" w:lineRule="auto"/>
              <w:ind w:firstLine="0"/>
              <w:jc w:val="center"/>
              <w:rPr>
                <w:rFonts w:ascii="Cambria" w:hAnsi="Cambria"/>
              </w:rPr>
            </w:pPr>
            <w:r>
              <w:rPr>
                <w:rFonts w:ascii="Cambria" w:hAnsi="Cambria"/>
                <w:color w:val="1C2839"/>
                <w:sz w:val="15"/>
              </w:rPr>
              <w:t>0,80</w:t>
            </w:r>
          </w:p>
        </w:tc>
        <w:tc>
          <w:tcPr>
            <w:tcW w:w="711" w:type="pct"/>
            <w:vAlign w:val="center"/>
          </w:tcPr>
          <w:p w14:paraId="5F25EED8">
            <w:pPr>
              <w:spacing w:after="0" w:line="240" w:lineRule="auto"/>
              <w:ind w:firstLine="0"/>
              <w:jc w:val="center"/>
              <w:rPr>
                <w:rFonts w:ascii="Cambria" w:hAnsi="Cambria"/>
              </w:rPr>
            </w:pPr>
            <w:r>
              <w:rPr>
                <w:rFonts w:ascii="Cambria" w:hAnsi="Cambria"/>
                <w:color w:val="1C2839"/>
                <w:sz w:val="15"/>
              </w:rPr>
              <w:t>1,20</w:t>
            </w:r>
          </w:p>
        </w:tc>
        <w:tc>
          <w:tcPr>
            <w:tcW w:w="422" w:type="pct"/>
            <w:vAlign w:val="center"/>
          </w:tcPr>
          <w:p w14:paraId="4D48AF6E">
            <w:pPr>
              <w:spacing w:after="0" w:line="240" w:lineRule="auto"/>
              <w:ind w:firstLine="0"/>
              <w:jc w:val="center"/>
              <w:rPr>
                <w:rFonts w:ascii="Cambria" w:hAnsi="Cambria"/>
              </w:rPr>
            </w:pPr>
            <w:r>
              <w:rPr>
                <w:rFonts w:ascii="Cambria" w:hAnsi="Cambria"/>
                <w:color w:val="1C2839"/>
                <w:sz w:val="15"/>
              </w:rPr>
              <w:t>0,20</w:t>
            </w:r>
          </w:p>
        </w:tc>
        <w:tc>
          <w:tcPr>
            <w:tcW w:w="341" w:type="pct"/>
            <w:vAlign w:val="center"/>
          </w:tcPr>
          <w:p w14:paraId="787EFC6E">
            <w:pPr>
              <w:spacing w:after="0" w:line="240" w:lineRule="auto"/>
              <w:ind w:firstLine="0"/>
              <w:jc w:val="center"/>
              <w:rPr>
                <w:rFonts w:ascii="Cambria" w:hAnsi="Cambria"/>
              </w:rPr>
            </w:pPr>
            <w:r>
              <w:rPr>
                <w:rFonts w:ascii="Cambria" w:hAnsi="Cambria"/>
                <w:color w:val="1C2839"/>
                <w:sz w:val="15"/>
              </w:rPr>
              <w:t>2,20</w:t>
            </w:r>
          </w:p>
        </w:tc>
      </w:tr>
      <w:tr w14:paraId="3F18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00" w:type="pct"/>
            <w:shd w:val="clear" w:color="auto" w:fill="DBE8F2"/>
            <w:vAlign w:val="center"/>
          </w:tcPr>
          <w:p w14:paraId="315C0E30">
            <w:pPr>
              <w:spacing w:after="0" w:line="240" w:lineRule="auto"/>
              <w:ind w:firstLine="0"/>
              <w:jc w:val="left"/>
              <w:rPr>
                <w:rFonts w:ascii="Cambria" w:hAnsi="Cambria"/>
              </w:rPr>
            </w:pPr>
          </w:p>
        </w:tc>
        <w:tc>
          <w:tcPr>
            <w:tcW w:w="2375" w:type="pct"/>
            <w:shd w:val="clear" w:color="auto" w:fill="DBE8F2"/>
            <w:vAlign w:val="center"/>
          </w:tcPr>
          <w:p w14:paraId="339904BB">
            <w:pPr>
              <w:spacing w:after="0" w:line="240" w:lineRule="auto"/>
              <w:ind w:firstLine="0"/>
              <w:jc w:val="left"/>
              <w:rPr>
                <w:rFonts w:ascii="Cambria" w:hAnsi="Cambria"/>
              </w:rPr>
            </w:pPr>
            <w:r>
              <w:rPr>
                <w:rFonts w:ascii="Cambria" w:hAnsi="Cambria"/>
                <w:b/>
                <w:color w:val="1C2839"/>
                <w:sz w:val="15"/>
              </w:rPr>
              <w:t>Жиыны</w:t>
            </w:r>
          </w:p>
        </w:tc>
        <w:tc>
          <w:tcPr>
            <w:tcW w:w="617" w:type="pct"/>
            <w:shd w:val="clear" w:color="auto" w:fill="DBE8F2"/>
            <w:vAlign w:val="center"/>
          </w:tcPr>
          <w:p w14:paraId="105743BE">
            <w:pPr>
              <w:spacing w:after="0" w:line="240" w:lineRule="auto"/>
              <w:ind w:firstLine="0"/>
              <w:jc w:val="center"/>
              <w:rPr>
                <w:rFonts w:ascii="Cambria" w:hAnsi="Cambria"/>
              </w:rPr>
            </w:pPr>
            <w:r>
              <w:rPr>
                <w:rFonts w:ascii="Cambria" w:hAnsi="Cambria"/>
                <w:b/>
                <w:color w:val="1C2839"/>
                <w:sz w:val="15"/>
              </w:rPr>
              <w:t>53</w:t>
            </w:r>
          </w:p>
        </w:tc>
        <w:tc>
          <w:tcPr>
            <w:tcW w:w="333" w:type="pct"/>
            <w:shd w:val="clear" w:color="auto" w:fill="DBE8F2"/>
            <w:vAlign w:val="center"/>
          </w:tcPr>
          <w:p w14:paraId="7ECE8046">
            <w:pPr>
              <w:spacing w:after="0" w:line="240" w:lineRule="auto"/>
              <w:ind w:firstLine="0"/>
              <w:jc w:val="center"/>
              <w:rPr>
                <w:rFonts w:ascii="Cambria" w:hAnsi="Cambria"/>
              </w:rPr>
            </w:pPr>
            <w:r>
              <w:rPr>
                <w:rFonts w:ascii="Cambria" w:hAnsi="Cambria"/>
                <w:b/>
                <w:color w:val="1C2839"/>
                <w:sz w:val="15"/>
              </w:rPr>
              <w:t>15,60</w:t>
            </w:r>
          </w:p>
        </w:tc>
        <w:tc>
          <w:tcPr>
            <w:tcW w:w="711" w:type="pct"/>
            <w:shd w:val="clear" w:color="auto" w:fill="DBE8F2"/>
            <w:vAlign w:val="center"/>
          </w:tcPr>
          <w:p w14:paraId="531BFCBB">
            <w:pPr>
              <w:spacing w:after="0" w:line="240" w:lineRule="auto"/>
              <w:ind w:firstLine="0"/>
              <w:jc w:val="center"/>
              <w:rPr>
                <w:rFonts w:ascii="Cambria" w:hAnsi="Cambria"/>
              </w:rPr>
            </w:pPr>
            <w:r>
              <w:rPr>
                <w:rFonts w:ascii="Cambria" w:hAnsi="Cambria"/>
                <w:b/>
                <w:color w:val="1C2839"/>
                <w:sz w:val="15"/>
              </w:rPr>
              <w:t>19,70</w:t>
            </w:r>
          </w:p>
        </w:tc>
        <w:tc>
          <w:tcPr>
            <w:tcW w:w="422" w:type="pct"/>
            <w:shd w:val="clear" w:color="auto" w:fill="DBE8F2"/>
            <w:vAlign w:val="center"/>
          </w:tcPr>
          <w:p w14:paraId="73BB8326">
            <w:pPr>
              <w:spacing w:after="0" w:line="240" w:lineRule="auto"/>
              <w:ind w:firstLine="0"/>
              <w:jc w:val="center"/>
              <w:rPr>
                <w:rFonts w:ascii="Cambria" w:hAnsi="Cambria"/>
              </w:rPr>
            </w:pPr>
            <w:r>
              <w:rPr>
                <w:rFonts w:ascii="Cambria" w:hAnsi="Cambria"/>
                <w:b/>
                <w:color w:val="1C2839"/>
                <w:sz w:val="15"/>
              </w:rPr>
              <w:t>3,40</w:t>
            </w:r>
          </w:p>
        </w:tc>
        <w:tc>
          <w:tcPr>
            <w:tcW w:w="341" w:type="pct"/>
            <w:shd w:val="clear" w:color="auto" w:fill="DBE8F2"/>
            <w:vAlign w:val="center"/>
          </w:tcPr>
          <w:p w14:paraId="7BA33440">
            <w:pPr>
              <w:spacing w:after="0" w:line="240" w:lineRule="auto"/>
              <w:ind w:firstLine="0"/>
              <w:jc w:val="center"/>
              <w:rPr>
                <w:rFonts w:ascii="Cambria" w:hAnsi="Cambria"/>
              </w:rPr>
            </w:pPr>
            <w:r>
              <w:rPr>
                <w:rFonts w:ascii="Cambria" w:hAnsi="Cambria"/>
                <w:b/>
                <w:color w:val="1C2839"/>
                <w:sz w:val="15"/>
              </w:rPr>
              <w:t>38,70</w:t>
            </w:r>
          </w:p>
        </w:tc>
      </w:tr>
    </w:tbl>
    <w:p w14:paraId="2642858C">
      <w:pPr>
        <w:spacing w:line="240" w:lineRule="auto"/>
        <w:rPr>
          <w:rFonts w:ascii="Cambria" w:hAnsi="Cambria"/>
          <w:lang w:val="ru-RU"/>
        </w:rPr>
      </w:pPr>
      <w:r>
        <w:rPr>
          <w:rFonts w:ascii="Cambria" w:hAnsi="Cambria"/>
          <w:lang w:val="ru-RU"/>
        </w:rPr>
        <w:t>Қабылданған бөлініс бойынша құрылыс-монтаждау жұмыстарына 15,6 млрд теңге (40,3%), технологиялық жабдыққа 19,7 млрд теңге (50,9%), жобалауға, іске қосу-баптауға және басқа күрделі шығындарға 3,4 млрд теңге (8,8%) тиесілі. Технологиялық жабдық үлесінің жоғары болуы қалыптау желілерінің, арматуралау, жылумен өңдеу, сапаны бақылау жүйелері, фиброцемент технологиялары және құрғақ қоспаларды мөлшерлеуді автоматтандырудың маңыздылығымен түсіндіріледі.</w:t>
      </w:r>
    </w:p>
    <w:p w14:paraId="610A2420">
      <w:pPr>
        <w:spacing w:line="240" w:lineRule="auto"/>
        <w:rPr>
          <w:rFonts w:ascii="Cambria" w:hAnsi="Cambria"/>
          <w:lang w:val="ru-RU"/>
        </w:rPr>
      </w:pPr>
      <w:r>
        <w:rPr>
          <w:rFonts w:ascii="Cambria" w:hAnsi="Cambria"/>
          <w:lang w:val="ru-RU"/>
        </w:rPr>
        <w:t>№ 1 алаңда жалпы құны 24,5 млрд теңге болатын төрт өндіріс, ал № 2 алаңда құны 14,2 млрд теңге болатын үш өндіріс шоғырланады. Айырмашылық бірінші алаңдағы кәсіпорындар саны мен олардың капиталды көп қажет етуіне байланысты. Әр резиденттің технологиялық алаңына салынатын инвестиция жергілікті инженерлік желілер мен дайын бұйымдарды сақтауға арналған қажетті ашық алаңдарды көздейді.</w:t>
      </w:r>
    </w:p>
    <w:p w14:paraId="5D18B86A">
      <w:pPr>
        <w:pStyle w:val="3"/>
        <w:spacing w:line="240" w:lineRule="auto"/>
        <w:rPr>
          <w:rFonts w:ascii="Cambria" w:hAnsi="Cambria"/>
          <w:lang w:val="ru-RU"/>
        </w:rPr>
      </w:pPr>
      <w:bookmarkStart w:id="39" w:name="__RefHeading___Toc9560_2617525462"/>
      <w:bookmarkEnd w:id="39"/>
      <w:r>
        <w:rPr>
          <w:rFonts w:ascii="Cambria" w:hAnsi="Cambria"/>
          <w:lang w:val="ru-RU"/>
        </w:rPr>
        <w:t>8.4. Іс-шараларды қаржыландыру көздері мен кестесі</w:t>
      </w:r>
    </w:p>
    <w:p w14:paraId="18679DB7">
      <w:pPr>
        <w:spacing w:line="240" w:lineRule="auto"/>
        <w:rPr>
          <w:rFonts w:ascii="Cambria" w:hAnsi="Cambria"/>
          <w:lang w:val="ru-RU"/>
        </w:rPr>
      </w:pPr>
      <w:r>
        <w:rPr>
          <w:rFonts w:ascii="Cambria" w:hAnsi="Cambria"/>
          <w:lang w:val="ru-RU"/>
        </w:rPr>
        <w:t>Базалық сценарий ретінде аралас қаржыландыру қарастырылады: тиісті шешімдер қабылданғаннан кейін ортақ инфрақұрылым бюджет және (немесе) қарыз көздері есебінен, ал өндірістік кәсіпорындар резиденттердің өз және тартылған қаражаты есебінен қаржыландырылады.</w:t>
      </w:r>
    </w:p>
    <w:p w14:paraId="5A1A3BD6">
      <w:pPr>
        <w:spacing w:line="240" w:lineRule="auto"/>
        <w:rPr>
          <w:rFonts w:ascii="Cambria" w:hAnsi="Cambria"/>
          <w:lang w:val="ru-RU"/>
        </w:rPr>
      </w:pPr>
      <w:r>
        <w:rPr>
          <w:rFonts w:ascii="Cambria" w:hAnsi="Cambria"/>
          <w:lang w:val="ru-RU"/>
        </w:rPr>
        <w:t>Инвестициялық кезең 2027–2032 жылдар болып қабылданды. Инфрақұрылым жұмыстарының негізгі көлемі 2027–2029 жылдарға, ал өндірістерді дайындау және іске асыру 2028–2032 жылдарға жоспарланған. Қажет болған жағдайда мерзімдер жерді рәсімдеу рәсімдерінің аяқталуына, цемент зауыты инфрақұрылымын іске асыруға және резиденттердің нақты әзірлігіне қарай түзетіледі.</w:t>
      </w:r>
    </w:p>
    <w:p w14:paraId="3B767016">
      <w:pPr>
        <w:pStyle w:val="75"/>
        <w:keepNext/>
        <w:spacing w:line="240" w:lineRule="auto"/>
        <w:rPr>
          <w:rFonts w:ascii="Cambria" w:hAnsi="Cambria"/>
          <w:lang w:val="ru-RU"/>
        </w:rPr>
      </w:pPr>
      <w:r>
        <w:rPr>
          <w:rFonts w:ascii="Cambria" w:hAnsi="Cambria"/>
          <w:lang w:val="ru-RU"/>
        </w:rPr>
        <w:t>8.4-кесте – Инфрақұрылымды қаржыландырудың компоненттер бойынша алдын ала кестесі,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5691"/>
        <w:gridCol w:w="930"/>
        <w:gridCol w:w="930"/>
        <w:gridCol w:w="930"/>
        <w:gridCol w:w="1008"/>
      </w:tblGrid>
      <w:tr w14:paraId="6BA7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2999" w:type="pct"/>
            <w:shd w:val="clear" w:color="auto" w:fill="23486F"/>
            <w:vAlign w:val="center"/>
          </w:tcPr>
          <w:p w14:paraId="49B6D2AF">
            <w:pPr>
              <w:spacing w:after="0" w:line="240" w:lineRule="auto"/>
              <w:ind w:firstLine="0"/>
              <w:jc w:val="center"/>
              <w:rPr>
                <w:rFonts w:ascii="Cambria" w:hAnsi="Cambria"/>
              </w:rPr>
            </w:pPr>
            <w:r>
              <w:rPr>
                <w:rFonts w:ascii="Cambria" w:hAnsi="Cambria"/>
                <w:b/>
                <w:color w:val="FFFFFF"/>
                <w:sz w:val="16"/>
              </w:rPr>
              <w:t>Компонент</w:t>
            </w:r>
          </w:p>
        </w:tc>
        <w:tc>
          <w:tcPr>
            <w:tcW w:w="490" w:type="pct"/>
            <w:shd w:val="clear" w:color="auto" w:fill="23486F"/>
            <w:vAlign w:val="center"/>
          </w:tcPr>
          <w:p w14:paraId="05BD637C">
            <w:pPr>
              <w:spacing w:after="0" w:line="240" w:lineRule="auto"/>
              <w:ind w:firstLine="0"/>
              <w:jc w:val="center"/>
              <w:rPr>
                <w:rFonts w:ascii="Cambria" w:hAnsi="Cambria"/>
              </w:rPr>
            </w:pPr>
            <w:r>
              <w:rPr>
                <w:rFonts w:ascii="Cambria" w:hAnsi="Cambria"/>
                <w:b/>
                <w:color w:val="FFFFFF"/>
                <w:sz w:val="16"/>
              </w:rPr>
              <w:t>2027</w:t>
            </w:r>
          </w:p>
        </w:tc>
        <w:tc>
          <w:tcPr>
            <w:tcW w:w="490" w:type="pct"/>
            <w:shd w:val="clear" w:color="auto" w:fill="23486F"/>
            <w:vAlign w:val="center"/>
          </w:tcPr>
          <w:p w14:paraId="4D9E52B4">
            <w:pPr>
              <w:spacing w:after="0" w:line="240" w:lineRule="auto"/>
              <w:ind w:firstLine="0"/>
              <w:jc w:val="center"/>
              <w:rPr>
                <w:rFonts w:ascii="Cambria" w:hAnsi="Cambria"/>
              </w:rPr>
            </w:pPr>
            <w:r>
              <w:rPr>
                <w:rFonts w:ascii="Cambria" w:hAnsi="Cambria"/>
                <w:b/>
                <w:color w:val="FFFFFF"/>
                <w:sz w:val="16"/>
              </w:rPr>
              <w:t>2028</w:t>
            </w:r>
          </w:p>
        </w:tc>
        <w:tc>
          <w:tcPr>
            <w:tcW w:w="490" w:type="pct"/>
            <w:shd w:val="clear" w:color="auto" w:fill="23486F"/>
            <w:vAlign w:val="center"/>
          </w:tcPr>
          <w:p w14:paraId="4DD7A83E">
            <w:pPr>
              <w:spacing w:after="0" w:line="240" w:lineRule="auto"/>
              <w:ind w:firstLine="0"/>
              <w:jc w:val="center"/>
              <w:rPr>
                <w:rFonts w:ascii="Cambria" w:hAnsi="Cambria"/>
              </w:rPr>
            </w:pPr>
            <w:r>
              <w:rPr>
                <w:rFonts w:ascii="Cambria" w:hAnsi="Cambria"/>
                <w:b/>
                <w:color w:val="FFFFFF"/>
                <w:sz w:val="16"/>
              </w:rPr>
              <w:t>2029</w:t>
            </w:r>
          </w:p>
        </w:tc>
        <w:tc>
          <w:tcPr>
            <w:tcW w:w="532" w:type="pct"/>
            <w:shd w:val="clear" w:color="auto" w:fill="23486F"/>
            <w:vAlign w:val="center"/>
          </w:tcPr>
          <w:p w14:paraId="655E3F18">
            <w:pPr>
              <w:spacing w:after="0" w:line="240" w:lineRule="auto"/>
              <w:ind w:firstLine="0"/>
              <w:jc w:val="center"/>
              <w:rPr>
                <w:rFonts w:ascii="Cambria" w:hAnsi="Cambria"/>
              </w:rPr>
            </w:pPr>
            <w:r>
              <w:rPr>
                <w:rFonts w:ascii="Cambria" w:hAnsi="Cambria"/>
                <w:b/>
                <w:color w:val="FFFFFF"/>
                <w:sz w:val="16"/>
              </w:rPr>
              <w:t>Барлығы</w:t>
            </w:r>
          </w:p>
        </w:tc>
      </w:tr>
      <w:tr w14:paraId="21CA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999" w:type="pct"/>
            <w:vAlign w:val="center"/>
          </w:tcPr>
          <w:p w14:paraId="0EAC7390">
            <w:pPr>
              <w:spacing w:after="0" w:line="240" w:lineRule="auto"/>
              <w:ind w:firstLine="0"/>
              <w:jc w:val="left"/>
              <w:rPr>
                <w:rFonts w:ascii="Cambria" w:hAnsi="Cambria"/>
              </w:rPr>
            </w:pPr>
            <w:r>
              <w:rPr>
                <w:rFonts w:ascii="Cambria" w:hAnsi="Cambria"/>
                <w:color w:val="1C2839"/>
                <w:sz w:val="16"/>
              </w:rPr>
              <w:t>Электрмен жабдықтау</w:t>
            </w:r>
          </w:p>
        </w:tc>
        <w:tc>
          <w:tcPr>
            <w:tcW w:w="490" w:type="pct"/>
            <w:vAlign w:val="center"/>
          </w:tcPr>
          <w:p w14:paraId="08DA1430">
            <w:pPr>
              <w:spacing w:after="0" w:line="240" w:lineRule="auto"/>
              <w:ind w:firstLine="0"/>
              <w:jc w:val="center"/>
              <w:rPr>
                <w:rFonts w:ascii="Cambria" w:hAnsi="Cambria"/>
              </w:rPr>
            </w:pPr>
            <w:r>
              <w:rPr>
                <w:rFonts w:ascii="Cambria" w:hAnsi="Cambria"/>
                <w:color w:val="1C2839"/>
                <w:sz w:val="16"/>
                <w:lang w:val="ru-RU"/>
              </w:rPr>
              <w:t>2,15</w:t>
            </w:r>
          </w:p>
        </w:tc>
        <w:tc>
          <w:tcPr>
            <w:tcW w:w="490" w:type="pct"/>
            <w:vAlign w:val="center"/>
          </w:tcPr>
          <w:p w14:paraId="314523BF">
            <w:pPr>
              <w:spacing w:after="0" w:line="240" w:lineRule="auto"/>
              <w:ind w:firstLine="0"/>
              <w:jc w:val="center"/>
              <w:rPr>
                <w:rFonts w:ascii="Cambria" w:hAnsi="Cambria"/>
              </w:rPr>
            </w:pPr>
            <w:r>
              <w:rPr>
                <w:rFonts w:ascii="Cambria" w:hAnsi="Cambria"/>
                <w:color w:val="1C2839"/>
                <w:sz w:val="16"/>
                <w:lang w:val="ru-RU"/>
              </w:rPr>
              <w:t>3,05</w:t>
            </w:r>
          </w:p>
        </w:tc>
        <w:tc>
          <w:tcPr>
            <w:tcW w:w="490" w:type="pct"/>
            <w:vAlign w:val="center"/>
          </w:tcPr>
          <w:p w14:paraId="4479139A">
            <w:pPr>
              <w:spacing w:after="0" w:line="240" w:lineRule="auto"/>
              <w:ind w:firstLine="0"/>
              <w:jc w:val="center"/>
              <w:rPr>
                <w:rFonts w:ascii="Cambria" w:hAnsi="Cambria"/>
                <w:lang w:val="ru-RU"/>
              </w:rPr>
            </w:pPr>
            <w:r>
              <w:rPr>
                <w:rFonts w:ascii="Cambria" w:hAnsi="Cambria"/>
                <w:color w:val="1C2839"/>
                <w:sz w:val="16"/>
                <w:lang w:val="ru-RU"/>
              </w:rPr>
              <w:t>3,20</w:t>
            </w:r>
          </w:p>
        </w:tc>
        <w:tc>
          <w:tcPr>
            <w:tcW w:w="532" w:type="pct"/>
            <w:vAlign w:val="center"/>
          </w:tcPr>
          <w:p w14:paraId="73F1E424">
            <w:pPr>
              <w:spacing w:after="0" w:line="240" w:lineRule="auto"/>
              <w:ind w:firstLine="0"/>
              <w:jc w:val="center"/>
              <w:rPr>
                <w:rFonts w:ascii="Cambria" w:hAnsi="Cambria"/>
                <w:lang w:val="ru-RU"/>
              </w:rPr>
            </w:pPr>
            <w:r>
              <w:rPr>
                <w:rFonts w:ascii="Cambria" w:hAnsi="Cambria"/>
                <w:color w:val="1C2839"/>
                <w:sz w:val="16"/>
                <w:lang w:val="ru-RU"/>
              </w:rPr>
              <w:t>8,40</w:t>
            </w:r>
          </w:p>
        </w:tc>
      </w:tr>
      <w:tr w14:paraId="652A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999" w:type="pct"/>
            <w:shd w:val="clear" w:color="auto" w:fill="F0F5F9"/>
            <w:vAlign w:val="center"/>
          </w:tcPr>
          <w:p w14:paraId="6626CF59">
            <w:pPr>
              <w:spacing w:after="0" w:line="240" w:lineRule="auto"/>
              <w:ind w:firstLine="0"/>
              <w:jc w:val="left"/>
              <w:rPr>
                <w:rFonts w:ascii="Cambria" w:hAnsi="Cambria"/>
                <w:lang w:val="ru-RU"/>
              </w:rPr>
            </w:pPr>
            <w:r>
              <w:rPr>
                <w:rFonts w:ascii="Cambria" w:hAnsi="Cambria"/>
                <w:color w:val="1C2839"/>
                <w:sz w:val="16"/>
                <w:lang w:val="ru-RU"/>
              </w:rPr>
              <w:t>Станциялық теміржол жолдарын дамыту</w:t>
            </w:r>
          </w:p>
        </w:tc>
        <w:tc>
          <w:tcPr>
            <w:tcW w:w="490" w:type="pct"/>
            <w:shd w:val="clear" w:color="auto" w:fill="F0F5F9"/>
            <w:vAlign w:val="center"/>
          </w:tcPr>
          <w:p w14:paraId="79ED84F6">
            <w:pPr>
              <w:spacing w:after="0" w:line="240" w:lineRule="auto"/>
              <w:ind w:firstLine="0"/>
              <w:jc w:val="center"/>
              <w:rPr>
                <w:rFonts w:ascii="Cambria" w:hAnsi="Cambria"/>
              </w:rPr>
            </w:pPr>
            <w:r>
              <w:rPr>
                <w:rFonts w:ascii="Cambria" w:hAnsi="Cambria"/>
                <w:color w:val="1C2839"/>
                <w:sz w:val="16"/>
              </w:rPr>
              <w:t>0,10</w:t>
            </w:r>
          </w:p>
        </w:tc>
        <w:tc>
          <w:tcPr>
            <w:tcW w:w="490" w:type="pct"/>
            <w:shd w:val="clear" w:color="auto" w:fill="F0F5F9"/>
            <w:vAlign w:val="center"/>
          </w:tcPr>
          <w:p w14:paraId="2812C655">
            <w:pPr>
              <w:spacing w:after="0" w:line="240" w:lineRule="auto"/>
              <w:ind w:firstLine="0"/>
              <w:jc w:val="center"/>
              <w:rPr>
                <w:rFonts w:ascii="Cambria" w:hAnsi="Cambria"/>
                <w:lang w:val="ru-RU"/>
              </w:rPr>
            </w:pPr>
            <w:r>
              <w:rPr>
                <w:rFonts w:ascii="Cambria" w:hAnsi="Cambria"/>
                <w:color w:val="1C2839"/>
                <w:sz w:val="16"/>
                <w:lang w:val="ru-RU"/>
              </w:rPr>
              <w:t>0,60</w:t>
            </w:r>
          </w:p>
        </w:tc>
        <w:tc>
          <w:tcPr>
            <w:tcW w:w="490" w:type="pct"/>
            <w:shd w:val="clear" w:color="auto" w:fill="F0F5F9"/>
            <w:vAlign w:val="center"/>
          </w:tcPr>
          <w:p w14:paraId="734F732F">
            <w:pPr>
              <w:spacing w:after="0" w:line="240" w:lineRule="auto"/>
              <w:ind w:firstLine="0"/>
              <w:jc w:val="center"/>
              <w:rPr>
                <w:rFonts w:ascii="Cambria" w:hAnsi="Cambria"/>
                <w:lang w:val="ru-RU"/>
              </w:rPr>
            </w:pPr>
            <w:r>
              <w:rPr>
                <w:rFonts w:ascii="Cambria" w:hAnsi="Cambria"/>
                <w:color w:val="1C2839"/>
                <w:sz w:val="16"/>
              </w:rPr>
              <w:t>1,03</w:t>
            </w:r>
          </w:p>
        </w:tc>
        <w:tc>
          <w:tcPr>
            <w:tcW w:w="532" w:type="pct"/>
            <w:shd w:val="clear" w:color="auto" w:fill="F0F5F9"/>
            <w:vAlign w:val="center"/>
          </w:tcPr>
          <w:p w14:paraId="4A02B6C7">
            <w:pPr>
              <w:spacing w:after="0" w:line="240" w:lineRule="auto"/>
              <w:ind w:firstLine="0"/>
              <w:jc w:val="center"/>
              <w:rPr>
                <w:rFonts w:ascii="Cambria" w:hAnsi="Cambria"/>
                <w:lang w:val="ru-RU"/>
              </w:rPr>
            </w:pPr>
            <w:r>
              <w:rPr>
                <w:rFonts w:ascii="Cambria" w:hAnsi="Cambria"/>
                <w:color w:val="1C2839"/>
                <w:sz w:val="16"/>
                <w:lang w:val="ru-RU"/>
              </w:rPr>
              <w:t>1,73</w:t>
            </w:r>
          </w:p>
        </w:tc>
      </w:tr>
      <w:tr w14:paraId="3216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999" w:type="pct"/>
            <w:vAlign w:val="center"/>
          </w:tcPr>
          <w:p w14:paraId="365143BF">
            <w:pPr>
              <w:spacing w:after="0" w:line="240" w:lineRule="auto"/>
              <w:ind w:firstLine="0"/>
              <w:jc w:val="left"/>
              <w:rPr>
                <w:rFonts w:ascii="Cambria" w:hAnsi="Cambria"/>
                <w:lang w:val="ru-RU"/>
              </w:rPr>
            </w:pPr>
            <w:r>
              <w:rPr>
                <w:rFonts w:ascii="Cambria" w:hAnsi="Cambria"/>
                <w:color w:val="1C2839"/>
                <w:sz w:val="16"/>
                <w:lang w:val="ru-RU"/>
              </w:rPr>
              <w:t>Сыртқы кірме теміржол жолдары</w:t>
            </w:r>
          </w:p>
        </w:tc>
        <w:tc>
          <w:tcPr>
            <w:tcW w:w="490" w:type="pct"/>
            <w:vAlign w:val="center"/>
          </w:tcPr>
          <w:p w14:paraId="66A0D492">
            <w:pPr>
              <w:spacing w:after="0" w:line="240" w:lineRule="auto"/>
              <w:ind w:firstLine="0"/>
              <w:jc w:val="center"/>
              <w:rPr>
                <w:rFonts w:ascii="Cambria" w:hAnsi="Cambria"/>
              </w:rPr>
            </w:pPr>
            <w:r>
              <w:rPr>
                <w:rFonts w:ascii="Cambria" w:hAnsi="Cambria"/>
                <w:color w:val="1C2839"/>
                <w:sz w:val="16"/>
              </w:rPr>
              <w:t>—</w:t>
            </w:r>
          </w:p>
        </w:tc>
        <w:tc>
          <w:tcPr>
            <w:tcW w:w="490" w:type="pct"/>
            <w:vAlign w:val="center"/>
          </w:tcPr>
          <w:p w14:paraId="4307CB3E">
            <w:pPr>
              <w:spacing w:after="0" w:line="240" w:lineRule="auto"/>
              <w:ind w:firstLine="0"/>
              <w:jc w:val="center"/>
              <w:rPr>
                <w:rFonts w:ascii="Cambria" w:hAnsi="Cambria"/>
              </w:rPr>
            </w:pPr>
            <w:r>
              <w:rPr>
                <w:rFonts w:ascii="Cambria" w:hAnsi="Cambria"/>
                <w:color w:val="1C2839"/>
                <w:sz w:val="16"/>
              </w:rPr>
              <w:t>0,85</w:t>
            </w:r>
          </w:p>
        </w:tc>
        <w:tc>
          <w:tcPr>
            <w:tcW w:w="490" w:type="pct"/>
            <w:vAlign w:val="center"/>
          </w:tcPr>
          <w:p w14:paraId="1D0CDA13">
            <w:pPr>
              <w:spacing w:after="0" w:line="240" w:lineRule="auto"/>
              <w:ind w:firstLine="0"/>
              <w:jc w:val="center"/>
              <w:rPr>
                <w:rFonts w:ascii="Cambria" w:hAnsi="Cambria"/>
                <w:lang w:val="ru-RU"/>
              </w:rPr>
            </w:pPr>
            <w:r>
              <w:rPr>
                <w:rFonts w:ascii="Cambria" w:hAnsi="Cambria"/>
                <w:color w:val="1C2839"/>
                <w:sz w:val="16"/>
                <w:lang w:val="ru-RU"/>
              </w:rPr>
              <w:t>1,05</w:t>
            </w:r>
          </w:p>
        </w:tc>
        <w:tc>
          <w:tcPr>
            <w:tcW w:w="532" w:type="pct"/>
            <w:vAlign w:val="center"/>
          </w:tcPr>
          <w:p w14:paraId="1116C87F">
            <w:pPr>
              <w:spacing w:after="0" w:line="240" w:lineRule="auto"/>
              <w:ind w:firstLine="0"/>
              <w:jc w:val="center"/>
              <w:rPr>
                <w:rFonts w:ascii="Cambria" w:hAnsi="Cambria"/>
                <w:lang w:val="ru-RU"/>
              </w:rPr>
            </w:pPr>
            <w:r>
              <w:rPr>
                <w:rFonts w:ascii="Cambria" w:hAnsi="Cambria"/>
                <w:color w:val="1C2839"/>
                <w:sz w:val="16"/>
              </w:rPr>
              <w:t>1,90</w:t>
            </w:r>
          </w:p>
        </w:tc>
      </w:tr>
      <w:tr w14:paraId="2787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999" w:type="pct"/>
            <w:shd w:val="clear" w:color="auto" w:fill="DBE8F2"/>
            <w:vAlign w:val="center"/>
          </w:tcPr>
          <w:p w14:paraId="761F3FBD">
            <w:pPr>
              <w:spacing w:after="0" w:line="240" w:lineRule="auto"/>
              <w:ind w:firstLine="0"/>
              <w:jc w:val="left"/>
              <w:rPr>
                <w:rFonts w:ascii="Cambria" w:hAnsi="Cambria"/>
              </w:rPr>
            </w:pPr>
            <w:r>
              <w:rPr>
                <w:rFonts w:ascii="Cambria" w:hAnsi="Cambria"/>
                <w:b/>
                <w:color w:val="1C2839"/>
                <w:sz w:val="16"/>
              </w:rPr>
              <w:t>Жиыны</w:t>
            </w:r>
          </w:p>
        </w:tc>
        <w:tc>
          <w:tcPr>
            <w:tcW w:w="490" w:type="pct"/>
            <w:shd w:val="clear" w:color="auto" w:fill="DBE8F2"/>
            <w:vAlign w:val="center"/>
          </w:tcPr>
          <w:p w14:paraId="27DD3052">
            <w:pPr>
              <w:spacing w:after="0" w:line="240" w:lineRule="auto"/>
              <w:ind w:firstLine="0"/>
              <w:jc w:val="center"/>
              <w:rPr>
                <w:rFonts w:ascii="Cambria" w:hAnsi="Cambria"/>
                <w:lang w:val="ru-RU"/>
              </w:rPr>
            </w:pPr>
            <w:r>
              <w:rPr>
                <w:rFonts w:ascii="Cambria" w:hAnsi="Cambria"/>
                <w:b/>
                <w:color w:val="1C2839"/>
                <w:sz w:val="16"/>
                <w:lang w:val="ru-RU"/>
              </w:rPr>
              <w:t>2,25</w:t>
            </w:r>
          </w:p>
        </w:tc>
        <w:tc>
          <w:tcPr>
            <w:tcW w:w="490" w:type="pct"/>
            <w:shd w:val="clear" w:color="auto" w:fill="DBE8F2"/>
            <w:vAlign w:val="center"/>
          </w:tcPr>
          <w:p w14:paraId="6B937A9A">
            <w:pPr>
              <w:spacing w:after="0" w:line="240" w:lineRule="auto"/>
              <w:ind w:firstLine="0"/>
              <w:jc w:val="center"/>
              <w:rPr>
                <w:rFonts w:ascii="Cambria" w:hAnsi="Cambria"/>
                <w:lang w:val="ru-RU"/>
              </w:rPr>
            </w:pPr>
            <w:r>
              <w:rPr>
                <w:rFonts w:ascii="Cambria" w:hAnsi="Cambria"/>
                <w:b/>
                <w:color w:val="1C2839"/>
                <w:sz w:val="16"/>
              </w:rPr>
              <w:t>4,50</w:t>
            </w:r>
          </w:p>
        </w:tc>
        <w:tc>
          <w:tcPr>
            <w:tcW w:w="490" w:type="pct"/>
            <w:shd w:val="clear" w:color="auto" w:fill="DBE8F2"/>
            <w:vAlign w:val="center"/>
          </w:tcPr>
          <w:p w14:paraId="13D3445C">
            <w:pPr>
              <w:spacing w:after="0" w:line="240" w:lineRule="auto"/>
              <w:ind w:firstLine="0"/>
              <w:jc w:val="center"/>
              <w:rPr>
                <w:rFonts w:ascii="Cambria" w:hAnsi="Cambria"/>
                <w:lang w:val="ru-RU"/>
              </w:rPr>
            </w:pPr>
            <w:r>
              <w:rPr>
                <w:rFonts w:ascii="Cambria" w:hAnsi="Cambria"/>
                <w:b/>
                <w:color w:val="1C2839"/>
                <w:sz w:val="16"/>
                <w:lang w:val="ru-RU"/>
              </w:rPr>
              <w:t>5,28</w:t>
            </w:r>
          </w:p>
        </w:tc>
        <w:tc>
          <w:tcPr>
            <w:tcW w:w="532" w:type="pct"/>
            <w:shd w:val="clear" w:color="auto" w:fill="DBE8F2"/>
            <w:vAlign w:val="center"/>
          </w:tcPr>
          <w:p w14:paraId="2AF22BCE">
            <w:pPr>
              <w:spacing w:after="0" w:line="240" w:lineRule="auto"/>
              <w:ind w:firstLine="0"/>
              <w:jc w:val="center"/>
              <w:rPr>
                <w:rFonts w:ascii="Cambria" w:hAnsi="Cambria"/>
                <w:lang w:val="ru-RU"/>
              </w:rPr>
            </w:pPr>
            <w:r>
              <w:rPr>
                <w:rFonts w:ascii="Cambria" w:hAnsi="Cambria"/>
                <w:b/>
                <w:color w:val="1C2839"/>
                <w:sz w:val="16"/>
                <w:lang w:val="ru-RU"/>
              </w:rPr>
              <w:t>12,03</w:t>
            </w:r>
          </w:p>
        </w:tc>
      </w:tr>
    </w:tbl>
    <w:p w14:paraId="0AFC9EE6">
      <w:pPr>
        <w:spacing w:line="240" w:lineRule="auto"/>
        <w:rPr>
          <w:rFonts w:ascii="Cambria" w:hAnsi="Cambria"/>
          <w:lang w:val="ru-RU"/>
        </w:rPr>
      </w:pPr>
      <w:r>
        <w:rPr>
          <w:rFonts w:ascii="Cambria" w:hAnsi="Cambria"/>
          <w:lang w:val="ru-RU"/>
        </w:rPr>
        <w:t>Инфрақұрылым шығындарын бөлу лимиттерді игерудің шартты жоспары болып табылады және ықтимал нақтылануларды қаржылық қамтамасыз етуге арналған күтпеген шығындар резервін қамтымайды.</w:t>
      </w:r>
    </w:p>
    <w:p w14:paraId="1868924F">
      <w:pPr>
        <w:pStyle w:val="75"/>
        <w:keepNext/>
        <w:spacing w:line="240" w:lineRule="auto"/>
        <w:rPr>
          <w:rFonts w:ascii="Cambria" w:hAnsi="Cambria"/>
          <w:lang w:val="ru-RU"/>
        </w:rPr>
      </w:pPr>
      <w:r>
        <w:rPr>
          <w:rFonts w:ascii="Cambria" w:hAnsi="Cambria"/>
          <w:lang w:val="ru-RU"/>
        </w:rPr>
        <w:t>8.5-кесте – Резиденттердің инвестицияларын жылдар бойынша бөлу,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5374"/>
        <w:gridCol w:w="622"/>
        <w:gridCol w:w="694"/>
        <w:gridCol w:w="694"/>
        <w:gridCol w:w="622"/>
        <w:gridCol w:w="622"/>
        <w:gridCol w:w="861"/>
      </w:tblGrid>
      <w:tr w14:paraId="0332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2843" w:type="pct"/>
            <w:shd w:val="clear" w:color="auto" w:fill="23486F"/>
            <w:vAlign w:val="center"/>
          </w:tcPr>
          <w:p w14:paraId="7EC18F60">
            <w:pPr>
              <w:spacing w:after="0" w:line="240" w:lineRule="auto"/>
              <w:ind w:firstLine="0"/>
              <w:jc w:val="center"/>
              <w:rPr>
                <w:rFonts w:ascii="Cambria" w:hAnsi="Cambria"/>
              </w:rPr>
            </w:pPr>
            <w:r>
              <w:rPr>
                <w:rFonts w:ascii="Cambria" w:hAnsi="Cambria"/>
                <w:b/>
                <w:color w:val="FFFFFF"/>
                <w:sz w:val="15"/>
              </w:rPr>
              <w:t>№ / жоба</w:t>
            </w:r>
          </w:p>
        </w:tc>
        <w:tc>
          <w:tcPr>
            <w:tcW w:w="340" w:type="pct"/>
            <w:shd w:val="clear" w:color="auto" w:fill="23486F"/>
            <w:vAlign w:val="center"/>
          </w:tcPr>
          <w:p w14:paraId="62A65C4B">
            <w:pPr>
              <w:spacing w:after="0" w:line="240" w:lineRule="auto"/>
              <w:ind w:firstLine="0"/>
              <w:jc w:val="center"/>
              <w:rPr>
                <w:rFonts w:ascii="Cambria" w:hAnsi="Cambria"/>
              </w:rPr>
            </w:pPr>
            <w:r>
              <w:rPr>
                <w:rFonts w:ascii="Cambria" w:hAnsi="Cambria"/>
                <w:b/>
                <w:color w:val="FFFFFF"/>
                <w:sz w:val="15"/>
              </w:rPr>
              <w:t>2028</w:t>
            </w:r>
          </w:p>
        </w:tc>
        <w:tc>
          <w:tcPr>
            <w:tcW w:w="378" w:type="pct"/>
            <w:shd w:val="clear" w:color="auto" w:fill="23486F"/>
            <w:vAlign w:val="center"/>
          </w:tcPr>
          <w:p w14:paraId="232FA45B">
            <w:pPr>
              <w:spacing w:after="0" w:line="240" w:lineRule="auto"/>
              <w:ind w:firstLine="0"/>
              <w:jc w:val="center"/>
              <w:rPr>
                <w:rFonts w:ascii="Cambria" w:hAnsi="Cambria"/>
              </w:rPr>
            </w:pPr>
            <w:r>
              <w:rPr>
                <w:rFonts w:ascii="Cambria" w:hAnsi="Cambria"/>
                <w:b/>
                <w:color w:val="FFFFFF"/>
                <w:sz w:val="15"/>
              </w:rPr>
              <w:t>2029</w:t>
            </w:r>
          </w:p>
        </w:tc>
        <w:tc>
          <w:tcPr>
            <w:tcW w:w="378" w:type="pct"/>
            <w:shd w:val="clear" w:color="auto" w:fill="23486F"/>
            <w:vAlign w:val="center"/>
          </w:tcPr>
          <w:p w14:paraId="75C0FB3E">
            <w:pPr>
              <w:spacing w:after="0" w:line="240" w:lineRule="auto"/>
              <w:ind w:firstLine="0"/>
              <w:jc w:val="center"/>
              <w:rPr>
                <w:rFonts w:ascii="Cambria" w:hAnsi="Cambria"/>
              </w:rPr>
            </w:pPr>
            <w:r>
              <w:rPr>
                <w:rFonts w:ascii="Cambria" w:hAnsi="Cambria"/>
                <w:b/>
                <w:color w:val="FFFFFF"/>
                <w:sz w:val="15"/>
              </w:rPr>
              <w:t>2030</w:t>
            </w:r>
          </w:p>
        </w:tc>
        <w:tc>
          <w:tcPr>
            <w:tcW w:w="340" w:type="pct"/>
            <w:shd w:val="clear" w:color="auto" w:fill="23486F"/>
            <w:vAlign w:val="center"/>
          </w:tcPr>
          <w:p w14:paraId="07735E9B">
            <w:pPr>
              <w:spacing w:after="0" w:line="240" w:lineRule="auto"/>
              <w:ind w:firstLine="0"/>
              <w:jc w:val="center"/>
              <w:rPr>
                <w:rFonts w:ascii="Cambria" w:hAnsi="Cambria"/>
              </w:rPr>
            </w:pPr>
            <w:r>
              <w:rPr>
                <w:rFonts w:ascii="Cambria" w:hAnsi="Cambria"/>
                <w:b/>
                <w:color w:val="FFFFFF"/>
                <w:sz w:val="15"/>
              </w:rPr>
              <w:t>2031</w:t>
            </w:r>
          </w:p>
        </w:tc>
        <w:tc>
          <w:tcPr>
            <w:tcW w:w="340" w:type="pct"/>
            <w:shd w:val="clear" w:color="auto" w:fill="23486F"/>
            <w:vAlign w:val="center"/>
          </w:tcPr>
          <w:p w14:paraId="70011521">
            <w:pPr>
              <w:spacing w:after="0" w:line="240" w:lineRule="auto"/>
              <w:ind w:firstLine="0"/>
              <w:jc w:val="center"/>
              <w:rPr>
                <w:rFonts w:ascii="Cambria" w:hAnsi="Cambria"/>
              </w:rPr>
            </w:pPr>
            <w:r>
              <w:rPr>
                <w:rFonts w:ascii="Cambria" w:hAnsi="Cambria"/>
                <w:b/>
                <w:color w:val="FFFFFF"/>
                <w:sz w:val="15"/>
              </w:rPr>
              <w:t>2032</w:t>
            </w:r>
          </w:p>
        </w:tc>
        <w:tc>
          <w:tcPr>
            <w:tcW w:w="378" w:type="pct"/>
            <w:shd w:val="clear" w:color="auto" w:fill="23486F"/>
            <w:vAlign w:val="center"/>
          </w:tcPr>
          <w:p w14:paraId="7494955C">
            <w:pPr>
              <w:spacing w:after="0" w:line="240" w:lineRule="auto"/>
              <w:ind w:firstLine="0"/>
              <w:jc w:val="center"/>
              <w:rPr>
                <w:rFonts w:ascii="Cambria" w:hAnsi="Cambria"/>
              </w:rPr>
            </w:pPr>
            <w:r>
              <w:rPr>
                <w:rFonts w:ascii="Cambria" w:hAnsi="Cambria"/>
                <w:b/>
                <w:color w:val="FFFFFF"/>
                <w:sz w:val="15"/>
              </w:rPr>
              <w:t>Барлығы</w:t>
            </w:r>
          </w:p>
        </w:tc>
      </w:tr>
      <w:tr w14:paraId="2082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vAlign w:val="center"/>
          </w:tcPr>
          <w:p w14:paraId="53B04A40">
            <w:pPr>
              <w:spacing w:after="0" w:line="240" w:lineRule="auto"/>
              <w:ind w:firstLine="0"/>
              <w:jc w:val="left"/>
              <w:rPr>
                <w:rFonts w:ascii="Cambria" w:hAnsi="Cambria"/>
                <w:lang w:val="ru-RU"/>
              </w:rPr>
            </w:pPr>
            <w:r>
              <w:rPr>
                <w:rFonts w:ascii="Cambria" w:hAnsi="Cambria"/>
                <w:color w:val="1C2839"/>
                <w:sz w:val="16"/>
                <w:lang w:val="ru-RU"/>
              </w:rPr>
              <w:t>1. Жол және инфрақұрылым құрылысына арналған ТББ</w:t>
            </w:r>
          </w:p>
        </w:tc>
        <w:tc>
          <w:tcPr>
            <w:tcW w:w="340" w:type="pct"/>
            <w:vAlign w:val="center"/>
          </w:tcPr>
          <w:p w14:paraId="2D1D5950">
            <w:pPr>
              <w:spacing w:after="0" w:line="240" w:lineRule="auto"/>
              <w:ind w:firstLine="0"/>
              <w:jc w:val="center"/>
              <w:rPr>
                <w:rFonts w:ascii="Cambria" w:hAnsi="Cambria"/>
              </w:rPr>
            </w:pPr>
            <w:r>
              <w:rPr>
                <w:rFonts w:ascii="Cambria" w:hAnsi="Cambria"/>
                <w:color w:val="1C2839"/>
                <w:sz w:val="16"/>
              </w:rPr>
              <w:t>1,50</w:t>
            </w:r>
          </w:p>
        </w:tc>
        <w:tc>
          <w:tcPr>
            <w:tcW w:w="378" w:type="pct"/>
            <w:vAlign w:val="center"/>
          </w:tcPr>
          <w:p w14:paraId="59F8174C">
            <w:pPr>
              <w:spacing w:after="0" w:line="240" w:lineRule="auto"/>
              <w:ind w:firstLine="0"/>
              <w:jc w:val="center"/>
              <w:rPr>
                <w:rFonts w:ascii="Cambria" w:hAnsi="Cambria"/>
              </w:rPr>
            </w:pPr>
            <w:r>
              <w:rPr>
                <w:rFonts w:ascii="Cambria" w:hAnsi="Cambria"/>
                <w:color w:val="1C2839"/>
                <w:sz w:val="16"/>
              </w:rPr>
              <w:t>3,00</w:t>
            </w:r>
          </w:p>
        </w:tc>
        <w:tc>
          <w:tcPr>
            <w:tcW w:w="378" w:type="pct"/>
            <w:vAlign w:val="center"/>
          </w:tcPr>
          <w:p w14:paraId="1DA29228">
            <w:pPr>
              <w:spacing w:after="0" w:line="240" w:lineRule="auto"/>
              <w:ind w:firstLine="0"/>
              <w:jc w:val="center"/>
              <w:rPr>
                <w:rFonts w:ascii="Cambria" w:hAnsi="Cambria"/>
              </w:rPr>
            </w:pPr>
            <w:r>
              <w:rPr>
                <w:rFonts w:ascii="Cambria" w:hAnsi="Cambria"/>
                <w:color w:val="1C2839"/>
                <w:sz w:val="16"/>
              </w:rPr>
              <w:t>2,50</w:t>
            </w:r>
          </w:p>
        </w:tc>
        <w:tc>
          <w:tcPr>
            <w:tcW w:w="340" w:type="pct"/>
            <w:vAlign w:val="center"/>
          </w:tcPr>
          <w:p w14:paraId="00CDD051">
            <w:pPr>
              <w:spacing w:after="0" w:line="240" w:lineRule="auto"/>
              <w:ind w:firstLine="0"/>
              <w:jc w:val="center"/>
              <w:rPr>
                <w:rFonts w:ascii="Cambria" w:hAnsi="Cambria"/>
              </w:rPr>
            </w:pPr>
            <w:r>
              <w:rPr>
                <w:rFonts w:ascii="Cambria" w:hAnsi="Cambria"/>
                <w:color w:val="1C2839"/>
                <w:sz w:val="16"/>
              </w:rPr>
              <w:t>—</w:t>
            </w:r>
          </w:p>
        </w:tc>
        <w:tc>
          <w:tcPr>
            <w:tcW w:w="340" w:type="pct"/>
            <w:vAlign w:val="center"/>
          </w:tcPr>
          <w:p w14:paraId="72BD6759">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6732BCD0">
            <w:pPr>
              <w:spacing w:after="0" w:line="240" w:lineRule="auto"/>
              <w:ind w:firstLine="0"/>
              <w:jc w:val="center"/>
              <w:rPr>
                <w:rFonts w:ascii="Cambria" w:hAnsi="Cambria"/>
              </w:rPr>
            </w:pPr>
            <w:r>
              <w:rPr>
                <w:rFonts w:ascii="Cambria" w:hAnsi="Cambria"/>
                <w:color w:val="1C2839"/>
                <w:sz w:val="16"/>
              </w:rPr>
              <w:t>7,00</w:t>
            </w:r>
          </w:p>
        </w:tc>
      </w:tr>
      <w:tr w14:paraId="12D1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shd w:val="clear" w:color="auto" w:fill="F0F5F9"/>
            <w:vAlign w:val="center"/>
          </w:tcPr>
          <w:p w14:paraId="462E436A">
            <w:pPr>
              <w:spacing w:after="0" w:line="240" w:lineRule="auto"/>
              <w:ind w:firstLine="0"/>
              <w:jc w:val="left"/>
              <w:rPr>
                <w:rFonts w:ascii="Cambria" w:hAnsi="Cambria"/>
              </w:rPr>
            </w:pPr>
            <w:r>
              <w:rPr>
                <w:rFonts w:ascii="Cambria" w:hAnsi="Cambria"/>
                <w:color w:val="1C2839"/>
                <w:sz w:val="16"/>
              </w:rPr>
              <w:t>2. Темірбетон шпалдар</w:t>
            </w:r>
          </w:p>
        </w:tc>
        <w:tc>
          <w:tcPr>
            <w:tcW w:w="340" w:type="pct"/>
            <w:shd w:val="clear" w:color="auto" w:fill="F0F5F9"/>
            <w:vAlign w:val="center"/>
          </w:tcPr>
          <w:p w14:paraId="77DD01A9">
            <w:pPr>
              <w:spacing w:after="0" w:line="240" w:lineRule="auto"/>
              <w:ind w:firstLine="0"/>
              <w:jc w:val="center"/>
              <w:rPr>
                <w:rFonts w:ascii="Cambria" w:hAnsi="Cambria"/>
              </w:rPr>
            </w:pPr>
            <w:r>
              <w:rPr>
                <w:rFonts w:ascii="Cambria" w:hAnsi="Cambria"/>
                <w:color w:val="1C2839"/>
                <w:sz w:val="16"/>
              </w:rPr>
              <w:t>1,50</w:t>
            </w:r>
          </w:p>
        </w:tc>
        <w:tc>
          <w:tcPr>
            <w:tcW w:w="378" w:type="pct"/>
            <w:shd w:val="clear" w:color="auto" w:fill="F0F5F9"/>
            <w:vAlign w:val="center"/>
          </w:tcPr>
          <w:p w14:paraId="7495AD86">
            <w:pPr>
              <w:spacing w:after="0" w:line="240" w:lineRule="auto"/>
              <w:ind w:firstLine="0"/>
              <w:jc w:val="center"/>
              <w:rPr>
                <w:rFonts w:ascii="Cambria" w:hAnsi="Cambria"/>
              </w:rPr>
            </w:pPr>
            <w:r>
              <w:rPr>
                <w:rFonts w:ascii="Cambria" w:hAnsi="Cambria"/>
                <w:color w:val="1C2839"/>
                <w:sz w:val="16"/>
              </w:rPr>
              <w:t>2,50</w:t>
            </w:r>
          </w:p>
        </w:tc>
        <w:tc>
          <w:tcPr>
            <w:tcW w:w="378" w:type="pct"/>
            <w:shd w:val="clear" w:color="auto" w:fill="F0F5F9"/>
            <w:vAlign w:val="center"/>
          </w:tcPr>
          <w:p w14:paraId="2D2ED4B5">
            <w:pPr>
              <w:spacing w:after="0" w:line="240" w:lineRule="auto"/>
              <w:ind w:firstLine="0"/>
              <w:jc w:val="center"/>
              <w:rPr>
                <w:rFonts w:ascii="Cambria" w:hAnsi="Cambria"/>
              </w:rPr>
            </w:pPr>
            <w:r>
              <w:rPr>
                <w:rFonts w:ascii="Cambria" w:hAnsi="Cambria"/>
                <w:color w:val="1C2839"/>
                <w:sz w:val="16"/>
              </w:rPr>
              <w:t>2,00</w:t>
            </w:r>
          </w:p>
        </w:tc>
        <w:tc>
          <w:tcPr>
            <w:tcW w:w="340" w:type="pct"/>
            <w:shd w:val="clear" w:color="auto" w:fill="F0F5F9"/>
            <w:vAlign w:val="center"/>
          </w:tcPr>
          <w:p w14:paraId="78A2F44C">
            <w:pPr>
              <w:spacing w:after="0" w:line="240" w:lineRule="auto"/>
              <w:ind w:firstLine="0"/>
              <w:jc w:val="center"/>
              <w:rPr>
                <w:rFonts w:ascii="Cambria" w:hAnsi="Cambria"/>
              </w:rPr>
            </w:pPr>
            <w:r>
              <w:rPr>
                <w:rFonts w:ascii="Cambria" w:hAnsi="Cambria"/>
                <w:color w:val="1C2839"/>
                <w:sz w:val="16"/>
              </w:rPr>
              <w:t>—</w:t>
            </w:r>
          </w:p>
        </w:tc>
        <w:tc>
          <w:tcPr>
            <w:tcW w:w="340" w:type="pct"/>
            <w:shd w:val="clear" w:color="auto" w:fill="F0F5F9"/>
            <w:vAlign w:val="center"/>
          </w:tcPr>
          <w:p w14:paraId="1E8311EE">
            <w:pPr>
              <w:spacing w:after="0" w:line="240" w:lineRule="auto"/>
              <w:ind w:firstLine="0"/>
              <w:jc w:val="center"/>
              <w:rPr>
                <w:rFonts w:ascii="Cambria" w:hAnsi="Cambria"/>
              </w:rPr>
            </w:pPr>
            <w:r>
              <w:rPr>
                <w:rFonts w:ascii="Cambria" w:hAnsi="Cambria"/>
                <w:color w:val="1C2839"/>
                <w:sz w:val="16"/>
              </w:rPr>
              <w:t>—</w:t>
            </w:r>
          </w:p>
        </w:tc>
        <w:tc>
          <w:tcPr>
            <w:tcW w:w="378" w:type="pct"/>
            <w:shd w:val="clear" w:color="auto" w:fill="F0F5F9"/>
            <w:vAlign w:val="center"/>
          </w:tcPr>
          <w:p w14:paraId="255396ED">
            <w:pPr>
              <w:spacing w:after="0" w:line="240" w:lineRule="auto"/>
              <w:ind w:firstLine="0"/>
              <w:jc w:val="center"/>
              <w:rPr>
                <w:rFonts w:ascii="Cambria" w:hAnsi="Cambria"/>
              </w:rPr>
            </w:pPr>
            <w:r>
              <w:rPr>
                <w:rFonts w:ascii="Cambria" w:hAnsi="Cambria"/>
                <w:color w:val="1C2839"/>
                <w:sz w:val="16"/>
              </w:rPr>
              <w:t>6,00</w:t>
            </w:r>
          </w:p>
        </w:tc>
      </w:tr>
      <w:tr w14:paraId="0817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vAlign w:val="center"/>
          </w:tcPr>
          <w:p w14:paraId="171201D2">
            <w:pPr>
              <w:spacing w:after="0" w:line="240" w:lineRule="auto"/>
              <w:ind w:firstLine="0"/>
              <w:jc w:val="left"/>
              <w:rPr>
                <w:rFonts w:ascii="Cambria" w:hAnsi="Cambria"/>
              </w:rPr>
            </w:pPr>
            <w:r>
              <w:rPr>
                <w:rFonts w:ascii="Cambria" w:hAnsi="Cambria"/>
                <w:color w:val="1C2839"/>
                <w:sz w:val="16"/>
              </w:rPr>
              <w:t>3. Электр беру желілерінің темірбетон тіректері</w:t>
            </w:r>
          </w:p>
        </w:tc>
        <w:tc>
          <w:tcPr>
            <w:tcW w:w="340" w:type="pct"/>
            <w:vAlign w:val="center"/>
          </w:tcPr>
          <w:p w14:paraId="28DC92BB">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30F5E7AD">
            <w:pPr>
              <w:spacing w:after="0" w:line="240" w:lineRule="auto"/>
              <w:ind w:firstLine="0"/>
              <w:jc w:val="center"/>
              <w:rPr>
                <w:rFonts w:ascii="Cambria" w:hAnsi="Cambria"/>
              </w:rPr>
            </w:pPr>
            <w:r>
              <w:rPr>
                <w:rFonts w:ascii="Cambria" w:hAnsi="Cambria"/>
                <w:color w:val="1C2839"/>
                <w:sz w:val="16"/>
              </w:rPr>
              <w:t>1,00</w:t>
            </w:r>
          </w:p>
        </w:tc>
        <w:tc>
          <w:tcPr>
            <w:tcW w:w="378" w:type="pct"/>
            <w:vAlign w:val="center"/>
          </w:tcPr>
          <w:p w14:paraId="64C5A639">
            <w:pPr>
              <w:spacing w:after="0" w:line="240" w:lineRule="auto"/>
              <w:ind w:firstLine="0"/>
              <w:jc w:val="center"/>
              <w:rPr>
                <w:rFonts w:ascii="Cambria" w:hAnsi="Cambria"/>
              </w:rPr>
            </w:pPr>
            <w:r>
              <w:rPr>
                <w:rFonts w:ascii="Cambria" w:hAnsi="Cambria"/>
                <w:color w:val="1C2839"/>
                <w:sz w:val="16"/>
              </w:rPr>
              <w:t>2,00</w:t>
            </w:r>
          </w:p>
        </w:tc>
        <w:tc>
          <w:tcPr>
            <w:tcW w:w="340" w:type="pct"/>
            <w:vAlign w:val="center"/>
          </w:tcPr>
          <w:p w14:paraId="0D86B266">
            <w:pPr>
              <w:spacing w:after="0" w:line="240" w:lineRule="auto"/>
              <w:ind w:firstLine="0"/>
              <w:jc w:val="center"/>
              <w:rPr>
                <w:rFonts w:ascii="Cambria" w:hAnsi="Cambria"/>
              </w:rPr>
            </w:pPr>
            <w:r>
              <w:rPr>
                <w:rFonts w:ascii="Cambria" w:hAnsi="Cambria"/>
                <w:color w:val="1C2839"/>
                <w:sz w:val="16"/>
              </w:rPr>
              <w:t>1,00</w:t>
            </w:r>
          </w:p>
        </w:tc>
        <w:tc>
          <w:tcPr>
            <w:tcW w:w="340" w:type="pct"/>
            <w:vAlign w:val="center"/>
          </w:tcPr>
          <w:p w14:paraId="0376B6CB">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7C4F4503">
            <w:pPr>
              <w:spacing w:after="0" w:line="240" w:lineRule="auto"/>
              <w:ind w:firstLine="0"/>
              <w:jc w:val="center"/>
              <w:rPr>
                <w:rFonts w:ascii="Cambria" w:hAnsi="Cambria"/>
              </w:rPr>
            </w:pPr>
            <w:r>
              <w:rPr>
                <w:rFonts w:ascii="Cambria" w:hAnsi="Cambria"/>
                <w:color w:val="1C2839"/>
                <w:sz w:val="16"/>
              </w:rPr>
              <w:t>4,00</w:t>
            </w:r>
          </w:p>
        </w:tc>
      </w:tr>
      <w:tr w14:paraId="51CC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shd w:val="clear" w:color="auto" w:fill="F0F5F9"/>
            <w:vAlign w:val="center"/>
          </w:tcPr>
          <w:p w14:paraId="0760B869">
            <w:pPr>
              <w:spacing w:after="0" w:line="240" w:lineRule="auto"/>
              <w:ind w:firstLine="0"/>
              <w:jc w:val="left"/>
              <w:rPr>
                <w:rFonts w:ascii="Cambria" w:hAnsi="Cambria"/>
              </w:rPr>
            </w:pPr>
            <w:r>
              <w:rPr>
                <w:rFonts w:ascii="Cambria" w:hAnsi="Cambria"/>
                <w:color w:val="1C2839"/>
                <w:sz w:val="16"/>
              </w:rPr>
              <w:t>4. Тұрғын үй құрылысына арналған ТББ</w:t>
            </w:r>
          </w:p>
        </w:tc>
        <w:tc>
          <w:tcPr>
            <w:tcW w:w="340" w:type="pct"/>
            <w:shd w:val="clear" w:color="auto" w:fill="F0F5F9"/>
            <w:vAlign w:val="center"/>
          </w:tcPr>
          <w:p w14:paraId="248F4A8B">
            <w:pPr>
              <w:spacing w:after="0" w:line="240" w:lineRule="auto"/>
              <w:ind w:firstLine="0"/>
              <w:jc w:val="center"/>
              <w:rPr>
                <w:rFonts w:ascii="Cambria" w:hAnsi="Cambria"/>
              </w:rPr>
            </w:pPr>
            <w:r>
              <w:rPr>
                <w:rFonts w:ascii="Cambria" w:hAnsi="Cambria"/>
                <w:color w:val="1C2839"/>
                <w:sz w:val="16"/>
              </w:rPr>
              <w:t>—</w:t>
            </w:r>
          </w:p>
        </w:tc>
        <w:tc>
          <w:tcPr>
            <w:tcW w:w="378" w:type="pct"/>
            <w:shd w:val="clear" w:color="auto" w:fill="F0F5F9"/>
            <w:vAlign w:val="center"/>
          </w:tcPr>
          <w:p w14:paraId="282B8B64">
            <w:pPr>
              <w:spacing w:after="0" w:line="240" w:lineRule="auto"/>
              <w:ind w:firstLine="0"/>
              <w:jc w:val="center"/>
              <w:rPr>
                <w:rFonts w:ascii="Cambria" w:hAnsi="Cambria"/>
              </w:rPr>
            </w:pPr>
            <w:r>
              <w:rPr>
                <w:rFonts w:ascii="Cambria" w:hAnsi="Cambria"/>
                <w:color w:val="1C2839"/>
                <w:sz w:val="16"/>
              </w:rPr>
              <w:t>1,00</w:t>
            </w:r>
          </w:p>
        </w:tc>
        <w:tc>
          <w:tcPr>
            <w:tcW w:w="378" w:type="pct"/>
            <w:shd w:val="clear" w:color="auto" w:fill="F0F5F9"/>
            <w:vAlign w:val="center"/>
          </w:tcPr>
          <w:p w14:paraId="298F4D74">
            <w:pPr>
              <w:spacing w:after="0" w:line="240" w:lineRule="auto"/>
              <w:ind w:firstLine="0"/>
              <w:jc w:val="center"/>
              <w:rPr>
                <w:rFonts w:ascii="Cambria" w:hAnsi="Cambria"/>
              </w:rPr>
            </w:pPr>
            <w:r>
              <w:rPr>
                <w:rFonts w:ascii="Cambria" w:hAnsi="Cambria"/>
                <w:color w:val="1C2839"/>
                <w:sz w:val="16"/>
              </w:rPr>
              <w:t>2,50</w:t>
            </w:r>
          </w:p>
        </w:tc>
        <w:tc>
          <w:tcPr>
            <w:tcW w:w="340" w:type="pct"/>
            <w:shd w:val="clear" w:color="auto" w:fill="F0F5F9"/>
            <w:vAlign w:val="center"/>
          </w:tcPr>
          <w:p w14:paraId="799B119C">
            <w:pPr>
              <w:spacing w:after="0" w:line="240" w:lineRule="auto"/>
              <w:ind w:firstLine="0"/>
              <w:jc w:val="center"/>
              <w:rPr>
                <w:rFonts w:ascii="Cambria" w:hAnsi="Cambria"/>
              </w:rPr>
            </w:pPr>
            <w:r>
              <w:rPr>
                <w:rFonts w:ascii="Cambria" w:hAnsi="Cambria"/>
                <w:color w:val="1C2839"/>
                <w:sz w:val="16"/>
              </w:rPr>
              <w:t>4,00</w:t>
            </w:r>
          </w:p>
        </w:tc>
        <w:tc>
          <w:tcPr>
            <w:tcW w:w="340" w:type="pct"/>
            <w:shd w:val="clear" w:color="auto" w:fill="F0F5F9"/>
            <w:vAlign w:val="center"/>
          </w:tcPr>
          <w:p w14:paraId="4CFF8FE6">
            <w:pPr>
              <w:spacing w:after="0" w:line="240" w:lineRule="auto"/>
              <w:ind w:firstLine="0"/>
              <w:jc w:val="center"/>
              <w:rPr>
                <w:rFonts w:ascii="Cambria" w:hAnsi="Cambria"/>
              </w:rPr>
            </w:pPr>
            <w:r>
              <w:rPr>
                <w:rFonts w:ascii="Cambria" w:hAnsi="Cambria"/>
                <w:color w:val="1C2839"/>
                <w:sz w:val="16"/>
              </w:rPr>
              <w:t>—</w:t>
            </w:r>
          </w:p>
        </w:tc>
        <w:tc>
          <w:tcPr>
            <w:tcW w:w="378" w:type="pct"/>
            <w:shd w:val="clear" w:color="auto" w:fill="F0F5F9"/>
            <w:vAlign w:val="center"/>
          </w:tcPr>
          <w:p w14:paraId="034038B5">
            <w:pPr>
              <w:spacing w:after="0" w:line="240" w:lineRule="auto"/>
              <w:ind w:firstLine="0"/>
              <w:jc w:val="center"/>
              <w:rPr>
                <w:rFonts w:ascii="Cambria" w:hAnsi="Cambria"/>
              </w:rPr>
            </w:pPr>
            <w:r>
              <w:rPr>
                <w:rFonts w:ascii="Cambria" w:hAnsi="Cambria"/>
                <w:color w:val="1C2839"/>
                <w:sz w:val="16"/>
              </w:rPr>
              <w:t>7,50</w:t>
            </w:r>
          </w:p>
        </w:tc>
      </w:tr>
      <w:tr w14:paraId="6624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vAlign w:val="center"/>
          </w:tcPr>
          <w:p w14:paraId="233B4A3C">
            <w:pPr>
              <w:spacing w:after="0" w:line="240" w:lineRule="auto"/>
              <w:ind w:firstLine="0"/>
              <w:jc w:val="left"/>
              <w:rPr>
                <w:rFonts w:ascii="Cambria" w:hAnsi="Cambria"/>
              </w:rPr>
            </w:pPr>
            <w:r>
              <w:rPr>
                <w:rFonts w:ascii="Cambria" w:hAnsi="Cambria"/>
                <w:color w:val="1C2839"/>
                <w:sz w:val="16"/>
              </w:rPr>
              <w:t>5. Құрғақ құрылыс қоспалары</w:t>
            </w:r>
          </w:p>
        </w:tc>
        <w:tc>
          <w:tcPr>
            <w:tcW w:w="340" w:type="pct"/>
            <w:vAlign w:val="center"/>
          </w:tcPr>
          <w:p w14:paraId="349BB0F2">
            <w:pPr>
              <w:spacing w:after="0" w:line="240" w:lineRule="auto"/>
              <w:ind w:firstLine="0"/>
              <w:jc w:val="center"/>
              <w:rPr>
                <w:rFonts w:ascii="Cambria" w:hAnsi="Cambria"/>
              </w:rPr>
            </w:pPr>
            <w:r>
              <w:rPr>
                <w:rFonts w:ascii="Cambria" w:hAnsi="Cambria"/>
                <w:color w:val="1C2839"/>
                <w:sz w:val="16"/>
              </w:rPr>
              <w:t>1,00</w:t>
            </w:r>
          </w:p>
        </w:tc>
        <w:tc>
          <w:tcPr>
            <w:tcW w:w="378" w:type="pct"/>
            <w:vAlign w:val="center"/>
          </w:tcPr>
          <w:p w14:paraId="53E002E3">
            <w:pPr>
              <w:spacing w:after="0" w:line="240" w:lineRule="auto"/>
              <w:ind w:firstLine="0"/>
              <w:jc w:val="center"/>
              <w:rPr>
                <w:rFonts w:ascii="Cambria" w:hAnsi="Cambria"/>
              </w:rPr>
            </w:pPr>
            <w:r>
              <w:rPr>
                <w:rFonts w:ascii="Cambria" w:hAnsi="Cambria"/>
                <w:color w:val="1C2839"/>
                <w:sz w:val="16"/>
              </w:rPr>
              <w:t>1,00</w:t>
            </w:r>
          </w:p>
        </w:tc>
        <w:tc>
          <w:tcPr>
            <w:tcW w:w="378" w:type="pct"/>
            <w:vAlign w:val="center"/>
          </w:tcPr>
          <w:p w14:paraId="53DBA989">
            <w:pPr>
              <w:spacing w:after="0" w:line="240" w:lineRule="auto"/>
              <w:ind w:firstLine="0"/>
              <w:jc w:val="center"/>
              <w:rPr>
                <w:rFonts w:ascii="Cambria" w:hAnsi="Cambria"/>
              </w:rPr>
            </w:pPr>
            <w:r>
              <w:rPr>
                <w:rFonts w:ascii="Cambria" w:hAnsi="Cambria"/>
                <w:color w:val="1C2839"/>
                <w:sz w:val="16"/>
              </w:rPr>
              <w:t>1,00</w:t>
            </w:r>
          </w:p>
        </w:tc>
        <w:tc>
          <w:tcPr>
            <w:tcW w:w="340" w:type="pct"/>
            <w:vAlign w:val="center"/>
          </w:tcPr>
          <w:p w14:paraId="2D03DC44">
            <w:pPr>
              <w:spacing w:after="0" w:line="240" w:lineRule="auto"/>
              <w:ind w:firstLine="0"/>
              <w:jc w:val="center"/>
              <w:rPr>
                <w:rFonts w:ascii="Cambria" w:hAnsi="Cambria"/>
              </w:rPr>
            </w:pPr>
            <w:r>
              <w:rPr>
                <w:rFonts w:ascii="Cambria" w:hAnsi="Cambria"/>
                <w:color w:val="1C2839"/>
                <w:sz w:val="16"/>
              </w:rPr>
              <w:t>—</w:t>
            </w:r>
          </w:p>
        </w:tc>
        <w:tc>
          <w:tcPr>
            <w:tcW w:w="340" w:type="pct"/>
            <w:vAlign w:val="center"/>
          </w:tcPr>
          <w:p w14:paraId="0825DAF9">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2F4E33C3">
            <w:pPr>
              <w:spacing w:after="0" w:line="240" w:lineRule="auto"/>
              <w:ind w:firstLine="0"/>
              <w:jc w:val="center"/>
              <w:rPr>
                <w:rFonts w:ascii="Cambria" w:hAnsi="Cambria"/>
              </w:rPr>
            </w:pPr>
            <w:r>
              <w:rPr>
                <w:rFonts w:ascii="Cambria" w:hAnsi="Cambria"/>
                <w:color w:val="1C2839"/>
                <w:sz w:val="16"/>
              </w:rPr>
              <w:t>3,00</w:t>
            </w:r>
          </w:p>
        </w:tc>
      </w:tr>
      <w:tr w14:paraId="22F3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shd w:val="clear" w:color="auto" w:fill="F0F5F9"/>
            <w:vAlign w:val="center"/>
          </w:tcPr>
          <w:p w14:paraId="226559B3">
            <w:pPr>
              <w:spacing w:after="0" w:line="240" w:lineRule="auto"/>
              <w:ind w:firstLine="0"/>
              <w:jc w:val="left"/>
              <w:rPr>
                <w:rFonts w:ascii="Cambria" w:hAnsi="Cambria"/>
              </w:rPr>
            </w:pPr>
            <w:r>
              <w:rPr>
                <w:rFonts w:ascii="Cambria" w:hAnsi="Cambria"/>
                <w:color w:val="1C2839"/>
                <w:sz w:val="16"/>
              </w:rPr>
              <w:t>6. Фиброцемент панельдері</w:t>
            </w:r>
          </w:p>
        </w:tc>
        <w:tc>
          <w:tcPr>
            <w:tcW w:w="340" w:type="pct"/>
            <w:shd w:val="clear" w:color="auto" w:fill="F0F5F9"/>
            <w:vAlign w:val="center"/>
          </w:tcPr>
          <w:p w14:paraId="252EEB64">
            <w:pPr>
              <w:spacing w:after="0" w:line="240" w:lineRule="auto"/>
              <w:ind w:firstLine="0"/>
              <w:jc w:val="center"/>
              <w:rPr>
                <w:rFonts w:ascii="Cambria" w:hAnsi="Cambria"/>
              </w:rPr>
            </w:pPr>
            <w:r>
              <w:rPr>
                <w:rFonts w:ascii="Cambria" w:hAnsi="Cambria"/>
                <w:color w:val="1C2839"/>
                <w:sz w:val="16"/>
              </w:rPr>
              <w:t>—</w:t>
            </w:r>
          </w:p>
        </w:tc>
        <w:tc>
          <w:tcPr>
            <w:tcW w:w="378" w:type="pct"/>
            <w:shd w:val="clear" w:color="auto" w:fill="F0F5F9"/>
            <w:vAlign w:val="center"/>
          </w:tcPr>
          <w:p w14:paraId="14091A1F">
            <w:pPr>
              <w:spacing w:after="0" w:line="240" w:lineRule="auto"/>
              <w:ind w:firstLine="0"/>
              <w:jc w:val="center"/>
              <w:rPr>
                <w:rFonts w:ascii="Cambria" w:hAnsi="Cambria"/>
              </w:rPr>
            </w:pPr>
            <w:r>
              <w:rPr>
                <w:rFonts w:ascii="Cambria" w:hAnsi="Cambria"/>
                <w:color w:val="1C2839"/>
                <w:sz w:val="16"/>
              </w:rPr>
              <w:t>2,00</w:t>
            </w:r>
          </w:p>
        </w:tc>
        <w:tc>
          <w:tcPr>
            <w:tcW w:w="378" w:type="pct"/>
            <w:shd w:val="clear" w:color="auto" w:fill="F0F5F9"/>
            <w:vAlign w:val="center"/>
          </w:tcPr>
          <w:p w14:paraId="3C3BD2FB">
            <w:pPr>
              <w:spacing w:after="0" w:line="240" w:lineRule="auto"/>
              <w:ind w:firstLine="0"/>
              <w:jc w:val="center"/>
              <w:rPr>
                <w:rFonts w:ascii="Cambria" w:hAnsi="Cambria"/>
              </w:rPr>
            </w:pPr>
            <w:r>
              <w:rPr>
                <w:rFonts w:ascii="Cambria" w:hAnsi="Cambria"/>
                <w:color w:val="1C2839"/>
                <w:sz w:val="16"/>
              </w:rPr>
              <w:t>1,00</w:t>
            </w:r>
          </w:p>
        </w:tc>
        <w:tc>
          <w:tcPr>
            <w:tcW w:w="340" w:type="pct"/>
            <w:shd w:val="clear" w:color="auto" w:fill="F0F5F9"/>
            <w:vAlign w:val="center"/>
          </w:tcPr>
          <w:p w14:paraId="5E19B81B">
            <w:pPr>
              <w:spacing w:after="0" w:line="240" w:lineRule="auto"/>
              <w:ind w:firstLine="0"/>
              <w:jc w:val="center"/>
              <w:rPr>
                <w:rFonts w:ascii="Cambria" w:hAnsi="Cambria"/>
              </w:rPr>
            </w:pPr>
            <w:r>
              <w:rPr>
                <w:rFonts w:ascii="Cambria" w:hAnsi="Cambria"/>
                <w:color w:val="1C2839"/>
                <w:sz w:val="16"/>
              </w:rPr>
              <w:t>2,00</w:t>
            </w:r>
          </w:p>
        </w:tc>
        <w:tc>
          <w:tcPr>
            <w:tcW w:w="340" w:type="pct"/>
            <w:shd w:val="clear" w:color="auto" w:fill="F0F5F9"/>
            <w:vAlign w:val="center"/>
          </w:tcPr>
          <w:p w14:paraId="1BB8C43E">
            <w:pPr>
              <w:spacing w:after="0" w:line="240" w:lineRule="auto"/>
              <w:ind w:firstLine="0"/>
              <w:jc w:val="center"/>
              <w:rPr>
                <w:rFonts w:ascii="Cambria" w:hAnsi="Cambria"/>
              </w:rPr>
            </w:pPr>
            <w:r>
              <w:rPr>
                <w:rFonts w:ascii="Cambria" w:hAnsi="Cambria"/>
                <w:color w:val="1C2839"/>
                <w:sz w:val="16"/>
              </w:rPr>
              <w:t>4,00</w:t>
            </w:r>
          </w:p>
        </w:tc>
        <w:tc>
          <w:tcPr>
            <w:tcW w:w="378" w:type="pct"/>
            <w:shd w:val="clear" w:color="auto" w:fill="F0F5F9"/>
            <w:vAlign w:val="center"/>
          </w:tcPr>
          <w:p w14:paraId="1A4D4F99">
            <w:pPr>
              <w:spacing w:after="0" w:line="240" w:lineRule="auto"/>
              <w:ind w:firstLine="0"/>
              <w:jc w:val="center"/>
              <w:rPr>
                <w:rFonts w:ascii="Cambria" w:hAnsi="Cambria"/>
              </w:rPr>
            </w:pPr>
            <w:r>
              <w:rPr>
                <w:rFonts w:ascii="Cambria" w:hAnsi="Cambria"/>
                <w:color w:val="1C2839"/>
                <w:sz w:val="16"/>
              </w:rPr>
              <w:t>9,00</w:t>
            </w:r>
          </w:p>
        </w:tc>
      </w:tr>
      <w:tr w14:paraId="24AB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vAlign w:val="center"/>
          </w:tcPr>
          <w:p w14:paraId="6F0031AF">
            <w:pPr>
              <w:spacing w:after="0" w:line="240" w:lineRule="auto"/>
              <w:ind w:firstLine="0"/>
              <w:jc w:val="left"/>
              <w:rPr>
                <w:rFonts w:ascii="Cambria" w:hAnsi="Cambria"/>
              </w:rPr>
            </w:pPr>
            <w:r>
              <w:rPr>
                <w:rFonts w:ascii="Cambria" w:hAnsi="Cambria"/>
                <w:color w:val="1C2839"/>
                <w:sz w:val="16"/>
              </w:rPr>
              <w:t>7. Абаттандыруға арналған бетон бұйымдары</w:t>
            </w:r>
          </w:p>
        </w:tc>
        <w:tc>
          <w:tcPr>
            <w:tcW w:w="340" w:type="pct"/>
            <w:vAlign w:val="center"/>
          </w:tcPr>
          <w:p w14:paraId="757EF5B1">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22A46F87">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19575AFF">
            <w:pPr>
              <w:spacing w:after="0" w:line="240" w:lineRule="auto"/>
              <w:ind w:firstLine="0"/>
              <w:jc w:val="center"/>
              <w:rPr>
                <w:rFonts w:ascii="Cambria" w:hAnsi="Cambria"/>
              </w:rPr>
            </w:pPr>
            <w:r>
              <w:rPr>
                <w:rFonts w:ascii="Cambria" w:hAnsi="Cambria"/>
                <w:color w:val="1C2839"/>
                <w:sz w:val="16"/>
              </w:rPr>
              <w:t>—</w:t>
            </w:r>
          </w:p>
        </w:tc>
        <w:tc>
          <w:tcPr>
            <w:tcW w:w="340" w:type="pct"/>
            <w:vAlign w:val="center"/>
          </w:tcPr>
          <w:p w14:paraId="474AB104">
            <w:pPr>
              <w:spacing w:after="0" w:line="240" w:lineRule="auto"/>
              <w:ind w:firstLine="0"/>
              <w:jc w:val="center"/>
              <w:rPr>
                <w:rFonts w:ascii="Cambria" w:hAnsi="Cambria"/>
              </w:rPr>
            </w:pPr>
            <w:r>
              <w:rPr>
                <w:rFonts w:ascii="Cambria" w:hAnsi="Cambria"/>
                <w:color w:val="1C2839"/>
                <w:sz w:val="16"/>
              </w:rPr>
              <w:t>2,20</w:t>
            </w:r>
          </w:p>
        </w:tc>
        <w:tc>
          <w:tcPr>
            <w:tcW w:w="340" w:type="pct"/>
            <w:vAlign w:val="center"/>
          </w:tcPr>
          <w:p w14:paraId="1775D221">
            <w:pPr>
              <w:spacing w:after="0" w:line="240" w:lineRule="auto"/>
              <w:ind w:firstLine="0"/>
              <w:jc w:val="center"/>
              <w:rPr>
                <w:rFonts w:ascii="Cambria" w:hAnsi="Cambria"/>
              </w:rPr>
            </w:pPr>
            <w:r>
              <w:rPr>
                <w:rFonts w:ascii="Cambria" w:hAnsi="Cambria"/>
                <w:color w:val="1C2839"/>
                <w:sz w:val="16"/>
              </w:rPr>
              <w:t>—</w:t>
            </w:r>
          </w:p>
        </w:tc>
        <w:tc>
          <w:tcPr>
            <w:tcW w:w="378" w:type="pct"/>
            <w:vAlign w:val="center"/>
          </w:tcPr>
          <w:p w14:paraId="1E0AF024">
            <w:pPr>
              <w:spacing w:after="0" w:line="240" w:lineRule="auto"/>
              <w:ind w:firstLine="0"/>
              <w:jc w:val="center"/>
              <w:rPr>
                <w:rFonts w:ascii="Cambria" w:hAnsi="Cambria"/>
              </w:rPr>
            </w:pPr>
            <w:r>
              <w:rPr>
                <w:rFonts w:ascii="Cambria" w:hAnsi="Cambria"/>
                <w:color w:val="1C2839"/>
                <w:sz w:val="16"/>
              </w:rPr>
              <w:t>2,20</w:t>
            </w:r>
          </w:p>
        </w:tc>
      </w:tr>
      <w:tr w14:paraId="7CBB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2843" w:type="pct"/>
            <w:shd w:val="clear" w:color="auto" w:fill="DBE8F2"/>
            <w:vAlign w:val="center"/>
          </w:tcPr>
          <w:p w14:paraId="5C782552">
            <w:pPr>
              <w:spacing w:after="0" w:line="240" w:lineRule="auto"/>
              <w:ind w:firstLine="0"/>
              <w:jc w:val="left"/>
              <w:rPr>
                <w:rFonts w:ascii="Cambria" w:hAnsi="Cambria"/>
              </w:rPr>
            </w:pPr>
            <w:r>
              <w:rPr>
                <w:rFonts w:ascii="Cambria" w:hAnsi="Cambria"/>
                <w:b/>
                <w:color w:val="1C2839"/>
                <w:sz w:val="16"/>
              </w:rPr>
              <w:t>Жиыны</w:t>
            </w:r>
          </w:p>
        </w:tc>
        <w:tc>
          <w:tcPr>
            <w:tcW w:w="340" w:type="pct"/>
            <w:shd w:val="clear" w:color="auto" w:fill="DBE8F2"/>
            <w:vAlign w:val="center"/>
          </w:tcPr>
          <w:p w14:paraId="083CB2C1">
            <w:pPr>
              <w:spacing w:after="0" w:line="240" w:lineRule="auto"/>
              <w:ind w:firstLine="0"/>
              <w:jc w:val="center"/>
              <w:rPr>
                <w:rFonts w:ascii="Cambria" w:hAnsi="Cambria"/>
              </w:rPr>
            </w:pPr>
            <w:r>
              <w:rPr>
                <w:rFonts w:ascii="Cambria" w:hAnsi="Cambria"/>
                <w:b/>
                <w:color w:val="1C2839"/>
                <w:sz w:val="16"/>
              </w:rPr>
              <w:t>4,00</w:t>
            </w:r>
          </w:p>
        </w:tc>
        <w:tc>
          <w:tcPr>
            <w:tcW w:w="378" w:type="pct"/>
            <w:shd w:val="clear" w:color="auto" w:fill="DBE8F2"/>
            <w:vAlign w:val="center"/>
          </w:tcPr>
          <w:p w14:paraId="1BA2422C">
            <w:pPr>
              <w:spacing w:after="0" w:line="240" w:lineRule="auto"/>
              <w:ind w:firstLine="0"/>
              <w:jc w:val="center"/>
              <w:rPr>
                <w:rFonts w:ascii="Cambria" w:hAnsi="Cambria"/>
              </w:rPr>
            </w:pPr>
            <w:r>
              <w:rPr>
                <w:rFonts w:ascii="Cambria" w:hAnsi="Cambria"/>
                <w:b/>
                <w:color w:val="1C2839"/>
                <w:sz w:val="16"/>
              </w:rPr>
              <w:t>10,50</w:t>
            </w:r>
          </w:p>
        </w:tc>
        <w:tc>
          <w:tcPr>
            <w:tcW w:w="378" w:type="pct"/>
            <w:shd w:val="clear" w:color="auto" w:fill="DBE8F2"/>
            <w:vAlign w:val="center"/>
          </w:tcPr>
          <w:p w14:paraId="3AD16455">
            <w:pPr>
              <w:spacing w:after="0" w:line="240" w:lineRule="auto"/>
              <w:ind w:firstLine="0"/>
              <w:jc w:val="center"/>
              <w:rPr>
                <w:rFonts w:ascii="Cambria" w:hAnsi="Cambria"/>
              </w:rPr>
            </w:pPr>
            <w:r>
              <w:rPr>
                <w:rFonts w:ascii="Cambria" w:hAnsi="Cambria"/>
                <w:b/>
                <w:color w:val="1C2839"/>
                <w:sz w:val="16"/>
              </w:rPr>
              <w:t>11,00</w:t>
            </w:r>
          </w:p>
        </w:tc>
        <w:tc>
          <w:tcPr>
            <w:tcW w:w="340" w:type="pct"/>
            <w:shd w:val="clear" w:color="auto" w:fill="DBE8F2"/>
            <w:vAlign w:val="center"/>
          </w:tcPr>
          <w:p w14:paraId="0E02DC43">
            <w:pPr>
              <w:spacing w:after="0" w:line="240" w:lineRule="auto"/>
              <w:ind w:firstLine="0"/>
              <w:jc w:val="center"/>
              <w:rPr>
                <w:rFonts w:ascii="Cambria" w:hAnsi="Cambria"/>
              </w:rPr>
            </w:pPr>
            <w:r>
              <w:rPr>
                <w:rFonts w:ascii="Cambria" w:hAnsi="Cambria"/>
                <w:b/>
                <w:color w:val="1C2839"/>
                <w:sz w:val="16"/>
              </w:rPr>
              <w:t>9,20</w:t>
            </w:r>
          </w:p>
        </w:tc>
        <w:tc>
          <w:tcPr>
            <w:tcW w:w="340" w:type="pct"/>
            <w:shd w:val="clear" w:color="auto" w:fill="DBE8F2"/>
            <w:vAlign w:val="center"/>
          </w:tcPr>
          <w:p w14:paraId="1EC89F7A">
            <w:pPr>
              <w:spacing w:after="0" w:line="240" w:lineRule="auto"/>
              <w:ind w:firstLine="0"/>
              <w:jc w:val="center"/>
              <w:rPr>
                <w:rFonts w:ascii="Cambria" w:hAnsi="Cambria"/>
              </w:rPr>
            </w:pPr>
            <w:r>
              <w:rPr>
                <w:rFonts w:ascii="Cambria" w:hAnsi="Cambria"/>
                <w:b/>
                <w:color w:val="1C2839"/>
                <w:sz w:val="16"/>
              </w:rPr>
              <w:t>4,00</w:t>
            </w:r>
          </w:p>
        </w:tc>
        <w:tc>
          <w:tcPr>
            <w:tcW w:w="378" w:type="pct"/>
            <w:shd w:val="clear" w:color="auto" w:fill="DBE8F2"/>
            <w:vAlign w:val="center"/>
          </w:tcPr>
          <w:p w14:paraId="119ADA73">
            <w:pPr>
              <w:spacing w:after="0" w:line="240" w:lineRule="auto"/>
              <w:ind w:firstLine="0"/>
              <w:jc w:val="center"/>
              <w:rPr>
                <w:rFonts w:ascii="Cambria" w:hAnsi="Cambria"/>
              </w:rPr>
            </w:pPr>
            <w:r>
              <w:rPr>
                <w:rFonts w:ascii="Cambria" w:hAnsi="Cambria"/>
                <w:b/>
                <w:color w:val="1C2839"/>
                <w:sz w:val="16"/>
              </w:rPr>
              <w:t>38,70</w:t>
            </w:r>
          </w:p>
        </w:tc>
      </w:tr>
    </w:tbl>
    <w:p w14:paraId="30E398B4">
      <w:pPr>
        <w:pStyle w:val="75"/>
        <w:keepNext/>
        <w:spacing w:line="240" w:lineRule="auto"/>
        <w:rPr>
          <w:rFonts w:ascii="Cambria" w:hAnsi="Cambria"/>
          <w:lang w:val="ru-RU"/>
        </w:rPr>
      </w:pPr>
      <w:r>
        <w:rPr>
          <w:rFonts w:ascii="Cambria" w:hAnsi="Cambria"/>
          <w:lang w:val="ru-RU"/>
        </w:rPr>
        <w:t>8.6-кесте – Қаржыландыру қажеттілігінің жиынтық кестесі,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3740"/>
        <w:gridCol w:w="784"/>
        <w:gridCol w:w="784"/>
        <w:gridCol w:w="871"/>
        <w:gridCol w:w="871"/>
        <w:gridCol w:w="784"/>
        <w:gridCol w:w="784"/>
        <w:gridCol w:w="871"/>
      </w:tblGrid>
      <w:tr w14:paraId="5241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1971" w:type="pct"/>
            <w:shd w:val="clear" w:color="auto" w:fill="23486F"/>
            <w:vAlign w:val="center"/>
          </w:tcPr>
          <w:p w14:paraId="2665F08F">
            <w:pPr>
              <w:spacing w:after="0" w:line="240" w:lineRule="auto"/>
              <w:ind w:firstLine="0"/>
              <w:jc w:val="center"/>
              <w:rPr>
                <w:rFonts w:ascii="Cambria" w:hAnsi="Cambria"/>
              </w:rPr>
            </w:pPr>
            <w:r>
              <w:rPr>
                <w:rFonts w:ascii="Cambria" w:hAnsi="Cambria"/>
                <w:b/>
                <w:color w:val="FFFFFF"/>
                <w:sz w:val="15"/>
              </w:rPr>
              <w:t>Шығын санаты</w:t>
            </w:r>
          </w:p>
        </w:tc>
        <w:tc>
          <w:tcPr>
            <w:tcW w:w="413" w:type="pct"/>
            <w:shd w:val="clear" w:color="auto" w:fill="23486F"/>
            <w:vAlign w:val="center"/>
          </w:tcPr>
          <w:p w14:paraId="2FCA5626">
            <w:pPr>
              <w:spacing w:after="0" w:line="240" w:lineRule="auto"/>
              <w:ind w:firstLine="0"/>
              <w:jc w:val="center"/>
              <w:rPr>
                <w:rFonts w:ascii="Cambria" w:hAnsi="Cambria"/>
              </w:rPr>
            </w:pPr>
            <w:r>
              <w:rPr>
                <w:rFonts w:ascii="Cambria" w:hAnsi="Cambria"/>
                <w:b/>
                <w:color w:val="FFFFFF"/>
                <w:sz w:val="15"/>
              </w:rPr>
              <w:t>2027</w:t>
            </w:r>
          </w:p>
        </w:tc>
        <w:tc>
          <w:tcPr>
            <w:tcW w:w="413" w:type="pct"/>
            <w:shd w:val="clear" w:color="auto" w:fill="23486F"/>
            <w:vAlign w:val="center"/>
          </w:tcPr>
          <w:p w14:paraId="0057AC20">
            <w:pPr>
              <w:spacing w:after="0" w:line="240" w:lineRule="auto"/>
              <w:ind w:firstLine="0"/>
              <w:jc w:val="center"/>
              <w:rPr>
                <w:rFonts w:ascii="Cambria" w:hAnsi="Cambria"/>
              </w:rPr>
            </w:pPr>
            <w:r>
              <w:rPr>
                <w:rFonts w:ascii="Cambria" w:hAnsi="Cambria"/>
                <w:b/>
                <w:color w:val="FFFFFF"/>
                <w:sz w:val="15"/>
              </w:rPr>
              <w:t>2028</w:t>
            </w:r>
          </w:p>
        </w:tc>
        <w:tc>
          <w:tcPr>
            <w:tcW w:w="459" w:type="pct"/>
            <w:shd w:val="clear" w:color="auto" w:fill="23486F"/>
            <w:vAlign w:val="center"/>
          </w:tcPr>
          <w:p w14:paraId="3E730391">
            <w:pPr>
              <w:spacing w:after="0" w:line="240" w:lineRule="auto"/>
              <w:ind w:firstLine="0"/>
              <w:jc w:val="center"/>
              <w:rPr>
                <w:rFonts w:ascii="Cambria" w:hAnsi="Cambria"/>
              </w:rPr>
            </w:pPr>
            <w:r>
              <w:rPr>
                <w:rFonts w:ascii="Cambria" w:hAnsi="Cambria"/>
                <w:b/>
                <w:color w:val="FFFFFF"/>
                <w:sz w:val="15"/>
              </w:rPr>
              <w:t>2029</w:t>
            </w:r>
          </w:p>
        </w:tc>
        <w:tc>
          <w:tcPr>
            <w:tcW w:w="459" w:type="pct"/>
            <w:shd w:val="clear" w:color="auto" w:fill="23486F"/>
            <w:vAlign w:val="center"/>
          </w:tcPr>
          <w:p w14:paraId="5D5CB781">
            <w:pPr>
              <w:spacing w:after="0" w:line="240" w:lineRule="auto"/>
              <w:ind w:firstLine="0"/>
              <w:jc w:val="center"/>
              <w:rPr>
                <w:rFonts w:ascii="Cambria" w:hAnsi="Cambria"/>
              </w:rPr>
            </w:pPr>
            <w:r>
              <w:rPr>
                <w:rFonts w:ascii="Cambria" w:hAnsi="Cambria"/>
                <w:b/>
                <w:color w:val="FFFFFF"/>
                <w:sz w:val="15"/>
              </w:rPr>
              <w:t>2030</w:t>
            </w:r>
          </w:p>
        </w:tc>
        <w:tc>
          <w:tcPr>
            <w:tcW w:w="413" w:type="pct"/>
            <w:shd w:val="clear" w:color="auto" w:fill="23486F"/>
            <w:vAlign w:val="center"/>
          </w:tcPr>
          <w:p w14:paraId="48F8B252">
            <w:pPr>
              <w:spacing w:after="0" w:line="240" w:lineRule="auto"/>
              <w:ind w:firstLine="0"/>
              <w:jc w:val="center"/>
              <w:rPr>
                <w:rFonts w:ascii="Cambria" w:hAnsi="Cambria"/>
              </w:rPr>
            </w:pPr>
            <w:r>
              <w:rPr>
                <w:rFonts w:ascii="Cambria" w:hAnsi="Cambria"/>
                <w:b/>
                <w:color w:val="FFFFFF"/>
                <w:sz w:val="15"/>
              </w:rPr>
              <w:t>2031</w:t>
            </w:r>
          </w:p>
        </w:tc>
        <w:tc>
          <w:tcPr>
            <w:tcW w:w="413" w:type="pct"/>
            <w:shd w:val="clear" w:color="auto" w:fill="23486F"/>
            <w:vAlign w:val="center"/>
          </w:tcPr>
          <w:p w14:paraId="07DDC132">
            <w:pPr>
              <w:spacing w:after="0" w:line="240" w:lineRule="auto"/>
              <w:ind w:firstLine="0"/>
              <w:jc w:val="center"/>
              <w:rPr>
                <w:rFonts w:ascii="Cambria" w:hAnsi="Cambria"/>
              </w:rPr>
            </w:pPr>
            <w:r>
              <w:rPr>
                <w:rFonts w:ascii="Cambria" w:hAnsi="Cambria"/>
                <w:b/>
                <w:color w:val="FFFFFF"/>
                <w:sz w:val="15"/>
              </w:rPr>
              <w:t>2032</w:t>
            </w:r>
          </w:p>
        </w:tc>
        <w:tc>
          <w:tcPr>
            <w:tcW w:w="459" w:type="pct"/>
            <w:shd w:val="clear" w:color="auto" w:fill="23486F"/>
            <w:vAlign w:val="center"/>
          </w:tcPr>
          <w:p w14:paraId="614940A0">
            <w:pPr>
              <w:spacing w:after="0" w:line="240" w:lineRule="auto"/>
              <w:ind w:firstLine="0"/>
              <w:jc w:val="center"/>
              <w:rPr>
                <w:rFonts w:ascii="Cambria" w:hAnsi="Cambria"/>
              </w:rPr>
            </w:pPr>
            <w:r>
              <w:rPr>
                <w:rFonts w:ascii="Cambria" w:hAnsi="Cambria"/>
                <w:b/>
                <w:color w:val="FFFFFF"/>
                <w:sz w:val="15"/>
              </w:rPr>
              <w:t>Барлығы</w:t>
            </w:r>
          </w:p>
        </w:tc>
      </w:tr>
      <w:tr w14:paraId="2AD0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1971" w:type="pct"/>
            <w:vAlign w:val="center"/>
          </w:tcPr>
          <w:p w14:paraId="2A5F0616">
            <w:pPr>
              <w:spacing w:after="0" w:line="240" w:lineRule="auto"/>
              <w:ind w:firstLine="0"/>
              <w:jc w:val="left"/>
              <w:rPr>
                <w:rFonts w:ascii="Cambria" w:hAnsi="Cambria"/>
              </w:rPr>
            </w:pPr>
            <w:r>
              <w:rPr>
                <w:rFonts w:ascii="Cambria" w:hAnsi="Cambria"/>
                <w:color w:val="1C2839"/>
                <w:sz w:val="16"/>
              </w:rPr>
              <w:t>Ортақ инфрақұрылым</w:t>
            </w:r>
          </w:p>
        </w:tc>
        <w:tc>
          <w:tcPr>
            <w:tcW w:w="413" w:type="pct"/>
            <w:vAlign w:val="center"/>
          </w:tcPr>
          <w:p w14:paraId="1A794EE3">
            <w:pPr>
              <w:spacing w:after="0" w:line="240" w:lineRule="auto"/>
              <w:ind w:firstLine="0"/>
              <w:jc w:val="center"/>
              <w:rPr>
                <w:rFonts w:ascii="Cambria" w:hAnsi="Cambria"/>
                <w:lang w:val="ru-RU"/>
              </w:rPr>
            </w:pPr>
            <w:r>
              <w:rPr>
                <w:rFonts w:ascii="Cambria" w:hAnsi="Cambria"/>
                <w:color w:val="1C2839"/>
                <w:sz w:val="16"/>
                <w:lang w:val="ru-RU"/>
              </w:rPr>
              <w:t>2,25</w:t>
            </w:r>
          </w:p>
        </w:tc>
        <w:tc>
          <w:tcPr>
            <w:tcW w:w="413" w:type="pct"/>
            <w:vAlign w:val="center"/>
          </w:tcPr>
          <w:p w14:paraId="3AD42C96">
            <w:pPr>
              <w:spacing w:after="0" w:line="240" w:lineRule="auto"/>
              <w:ind w:firstLine="0"/>
              <w:jc w:val="center"/>
              <w:rPr>
                <w:rFonts w:ascii="Cambria" w:hAnsi="Cambria"/>
                <w:lang w:val="ru-RU"/>
              </w:rPr>
            </w:pPr>
            <w:r>
              <w:rPr>
                <w:rFonts w:ascii="Cambria" w:hAnsi="Cambria"/>
                <w:color w:val="1C2839"/>
                <w:sz w:val="16"/>
              </w:rPr>
              <w:t>4,50</w:t>
            </w:r>
          </w:p>
        </w:tc>
        <w:tc>
          <w:tcPr>
            <w:tcW w:w="459" w:type="pct"/>
            <w:vAlign w:val="center"/>
          </w:tcPr>
          <w:p w14:paraId="78BF5353">
            <w:pPr>
              <w:spacing w:after="0" w:line="240" w:lineRule="auto"/>
              <w:ind w:firstLine="0"/>
              <w:jc w:val="center"/>
              <w:rPr>
                <w:rFonts w:ascii="Cambria" w:hAnsi="Cambria"/>
                <w:lang w:val="ru-RU"/>
              </w:rPr>
            </w:pPr>
            <w:r>
              <w:rPr>
                <w:rFonts w:ascii="Cambria" w:hAnsi="Cambria"/>
                <w:color w:val="1C2839"/>
                <w:sz w:val="16"/>
                <w:lang w:val="ru-RU"/>
              </w:rPr>
              <w:t>5,28</w:t>
            </w:r>
          </w:p>
        </w:tc>
        <w:tc>
          <w:tcPr>
            <w:tcW w:w="459" w:type="pct"/>
            <w:vAlign w:val="center"/>
          </w:tcPr>
          <w:p w14:paraId="5EEC9960">
            <w:pPr>
              <w:spacing w:after="0" w:line="240" w:lineRule="auto"/>
              <w:ind w:firstLine="0"/>
              <w:jc w:val="center"/>
              <w:rPr>
                <w:rFonts w:ascii="Cambria" w:hAnsi="Cambria"/>
              </w:rPr>
            </w:pPr>
            <w:r>
              <w:rPr>
                <w:rFonts w:ascii="Cambria" w:hAnsi="Cambria"/>
                <w:color w:val="1C2839"/>
                <w:sz w:val="16"/>
              </w:rPr>
              <w:t>—</w:t>
            </w:r>
          </w:p>
        </w:tc>
        <w:tc>
          <w:tcPr>
            <w:tcW w:w="413" w:type="pct"/>
            <w:vAlign w:val="center"/>
          </w:tcPr>
          <w:p w14:paraId="35C4EC64">
            <w:pPr>
              <w:spacing w:after="0" w:line="240" w:lineRule="auto"/>
              <w:ind w:firstLine="0"/>
              <w:jc w:val="center"/>
              <w:rPr>
                <w:rFonts w:ascii="Cambria" w:hAnsi="Cambria"/>
              </w:rPr>
            </w:pPr>
            <w:r>
              <w:rPr>
                <w:rFonts w:ascii="Cambria" w:hAnsi="Cambria"/>
                <w:color w:val="1C2839"/>
                <w:sz w:val="16"/>
              </w:rPr>
              <w:t>—</w:t>
            </w:r>
          </w:p>
        </w:tc>
        <w:tc>
          <w:tcPr>
            <w:tcW w:w="413" w:type="pct"/>
            <w:vAlign w:val="center"/>
          </w:tcPr>
          <w:p w14:paraId="5EAD7D1C">
            <w:pPr>
              <w:spacing w:after="0" w:line="240" w:lineRule="auto"/>
              <w:ind w:firstLine="0"/>
              <w:jc w:val="center"/>
              <w:rPr>
                <w:rFonts w:ascii="Cambria" w:hAnsi="Cambria"/>
              </w:rPr>
            </w:pPr>
            <w:r>
              <w:rPr>
                <w:rFonts w:ascii="Cambria" w:hAnsi="Cambria"/>
                <w:color w:val="1C2839"/>
                <w:sz w:val="16"/>
              </w:rPr>
              <w:t>—</w:t>
            </w:r>
          </w:p>
        </w:tc>
        <w:tc>
          <w:tcPr>
            <w:tcW w:w="459" w:type="pct"/>
            <w:vAlign w:val="center"/>
          </w:tcPr>
          <w:p w14:paraId="40A591A2">
            <w:pPr>
              <w:spacing w:after="0" w:line="240" w:lineRule="auto"/>
              <w:ind w:firstLine="0"/>
              <w:jc w:val="center"/>
              <w:rPr>
                <w:rFonts w:ascii="Cambria" w:hAnsi="Cambria"/>
                <w:lang w:val="ru-RU"/>
              </w:rPr>
            </w:pPr>
            <w:r>
              <w:rPr>
                <w:rFonts w:ascii="Cambria" w:hAnsi="Cambria"/>
                <w:color w:val="1C2839"/>
                <w:sz w:val="16"/>
                <w:lang w:val="ru-RU"/>
              </w:rPr>
              <w:t>12,03</w:t>
            </w:r>
          </w:p>
        </w:tc>
      </w:tr>
      <w:tr w14:paraId="0BF8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1971" w:type="pct"/>
            <w:shd w:val="clear" w:color="auto" w:fill="F0F5F9"/>
            <w:vAlign w:val="center"/>
          </w:tcPr>
          <w:p w14:paraId="286FA577">
            <w:pPr>
              <w:spacing w:after="0" w:line="240" w:lineRule="auto"/>
              <w:ind w:firstLine="0"/>
              <w:jc w:val="left"/>
              <w:rPr>
                <w:rFonts w:ascii="Cambria" w:hAnsi="Cambria"/>
              </w:rPr>
            </w:pPr>
            <w:r>
              <w:rPr>
                <w:rFonts w:ascii="Cambria" w:hAnsi="Cambria"/>
                <w:color w:val="1C2839"/>
                <w:sz w:val="16"/>
              </w:rPr>
              <w:t>Резиденттердің жеке инвестициялары</w:t>
            </w:r>
          </w:p>
        </w:tc>
        <w:tc>
          <w:tcPr>
            <w:tcW w:w="413" w:type="pct"/>
            <w:shd w:val="clear" w:color="auto" w:fill="F0F5F9"/>
            <w:vAlign w:val="center"/>
          </w:tcPr>
          <w:p w14:paraId="5E2B8A1D">
            <w:pPr>
              <w:spacing w:after="0" w:line="240" w:lineRule="auto"/>
              <w:ind w:firstLine="0"/>
              <w:jc w:val="center"/>
              <w:rPr>
                <w:rFonts w:ascii="Cambria" w:hAnsi="Cambria"/>
              </w:rPr>
            </w:pPr>
            <w:r>
              <w:rPr>
                <w:rFonts w:ascii="Cambria" w:hAnsi="Cambria"/>
                <w:color w:val="1C2839"/>
                <w:sz w:val="16"/>
              </w:rPr>
              <w:t>—</w:t>
            </w:r>
          </w:p>
        </w:tc>
        <w:tc>
          <w:tcPr>
            <w:tcW w:w="413" w:type="pct"/>
            <w:shd w:val="clear" w:color="auto" w:fill="F0F5F9"/>
            <w:vAlign w:val="center"/>
          </w:tcPr>
          <w:p w14:paraId="475E6A1A">
            <w:pPr>
              <w:spacing w:after="0" w:line="240" w:lineRule="auto"/>
              <w:ind w:firstLine="0"/>
              <w:jc w:val="center"/>
              <w:rPr>
                <w:rFonts w:ascii="Cambria" w:hAnsi="Cambria"/>
              </w:rPr>
            </w:pPr>
            <w:r>
              <w:rPr>
                <w:rFonts w:ascii="Cambria" w:hAnsi="Cambria"/>
                <w:color w:val="1C2839"/>
                <w:sz w:val="16"/>
              </w:rPr>
              <w:t>4,00</w:t>
            </w:r>
          </w:p>
        </w:tc>
        <w:tc>
          <w:tcPr>
            <w:tcW w:w="459" w:type="pct"/>
            <w:shd w:val="clear" w:color="auto" w:fill="F0F5F9"/>
            <w:vAlign w:val="center"/>
          </w:tcPr>
          <w:p w14:paraId="0C19530C">
            <w:pPr>
              <w:spacing w:after="0" w:line="240" w:lineRule="auto"/>
              <w:ind w:firstLine="0"/>
              <w:jc w:val="center"/>
              <w:rPr>
                <w:rFonts w:ascii="Cambria" w:hAnsi="Cambria"/>
              </w:rPr>
            </w:pPr>
            <w:r>
              <w:rPr>
                <w:rFonts w:ascii="Cambria" w:hAnsi="Cambria"/>
                <w:color w:val="1C2839"/>
                <w:sz w:val="16"/>
              </w:rPr>
              <w:t>10,50</w:t>
            </w:r>
          </w:p>
        </w:tc>
        <w:tc>
          <w:tcPr>
            <w:tcW w:w="459" w:type="pct"/>
            <w:shd w:val="clear" w:color="auto" w:fill="F0F5F9"/>
            <w:vAlign w:val="center"/>
          </w:tcPr>
          <w:p w14:paraId="4293A08B">
            <w:pPr>
              <w:spacing w:after="0" w:line="240" w:lineRule="auto"/>
              <w:ind w:firstLine="0"/>
              <w:jc w:val="center"/>
              <w:rPr>
                <w:rFonts w:ascii="Cambria" w:hAnsi="Cambria"/>
              </w:rPr>
            </w:pPr>
            <w:r>
              <w:rPr>
                <w:rFonts w:ascii="Cambria" w:hAnsi="Cambria"/>
                <w:color w:val="1C2839"/>
                <w:sz w:val="16"/>
              </w:rPr>
              <w:t>11,00</w:t>
            </w:r>
          </w:p>
        </w:tc>
        <w:tc>
          <w:tcPr>
            <w:tcW w:w="413" w:type="pct"/>
            <w:shd w:val="clear" w:color="auto" w:fill="F0F5F9"/>
            <w:vAlign w:val="center"/>
          </w:tcPr>
          <w:p w14:paraId="3482BC47">
            <w:pPr>
              <w:spacing w:after="0" w:line="240" w:lineRule="auto"/>
              <w:ind w:firstLine="0"/>
              <w:jc w:val="center"/>
              <w:rPr>
                <w:rFonts w:ascii="Cambria" w:hAnsi="Cambria"/>
              </w:rPr>
            </w:pPr>
            <w:r>
              <w:rPr>
                <w:rFonts w:ascii="Cambria" w:hAnsi="Cambria"/>
                <w:color w:val="1C2839"/>
                <w:sz w:val="16"/>
              </w:rPr>
              <w:t>9,20</w:t>
            </w:r>
          </w:p>
        </w:tc>
        <w:tc>
          <w:tcPr>
            <w:tcW w:w="413" w:type="pct"/>
            <w:shd w:val="clear" w:color="auto" w:fill="F0F5F9"/>
            <w:vAlign w:val="center"/>
          </w:tcPr>
          <w:p w14:paraId="167DCA16">
            <w:pPr>
              <w:spacing w:after="0" w:line="240" w:lineRule="auto"/>
              <w:ind w:firstLine="0"/>
              <w:jc w:val="center"/>
              <w:rPr>
                <w:rFonts w:ascii="Cambria" w:hAnsi="Cambria"/>
              </w:rPr>
            </w:pPr>
            <w:r>
              <w:rPr>
                <w:rFonts w:ascii="Cambria" w:hAnsi="Cambria"/>
                <w:color w:val="1C2839"/>
                <w:sz w:val="16"/>
              </w:rPr>
              <w:t>4,00</w:t>
            </w:r>
          </w:p>
        </w:tc>
        <w:tc>
          <w:tcPr>
            <w:tcW w:w="459" w:type="pct"/>
            <w:shd w:val="clear" w:color="auto" w:fill="F0F5F9"/>
            <w:vAlign w:val="center"/>
          </w:tcPr>
          <w:p w14:paraId="72BE5CBF">
            <w:pPr>
              <w:spacing w:after="0" w:line="240" w:lineRule="auto"/>
              <w:ind w:firstLine="0"/>
              <w:jc w:val="center"/>
              <w:rPr>
                <w:rFonts w:ascii="Cambria" w:hAnsi="Cambria"/>
              </w:rPr>
            </w:pPr>
            <w:r>
              <w:rPr>
                <w:rFonts w:ascii="Cambria" w:hAnsi="Cambria"/>
                <w:color w:val="1C2839"/>
                <w:sz w:val="16"/>
              </w:rPr>
              <w:t>38,70</w:t>
            </w:r>
          </w:p>
        </w:tc>
      </w:tr>
      <w:tr w14:paraId="059E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1971" w:type="pct"/>
            <w:shd w:val="clear" w:color="auto" w:fill="DBE8F2"/>
            <w:vAlign w:val="center"/>
          </w:tcPr>
          <w:p w14:paraId="68789D0E">
            <w:pPr>
              <w:spacing w:after="0" w:line="240" w:lineRule="auto"/>
              <w:ind w:firstLine="0"/>
              <w:jc w:val="left"/>
              <w:rPr>
                <w:rFonts w:ascii="Cambria" w:hAnsi="Cambria"/>
              </w:rPr>
            </w:pPr>
            <w:r>
              <w:rPr>
                <w:rFonts w:ascii="Cambria" w:hAnsi="Cambria"/>
                <w:b/>
                <w:color w:val="1C2839"/>
                <w:sz w:val="16"/>
              </w:rPr>
              <w:t>Жиыны</w:t>
            </w:r>
          </w:p>
        </w:tc>
        <w:tc>
          <w:tcPr>
            <w:tcW w:w="413" w:type="pct"/>
            <w:shd w:val="clear" w:color="auto" w:fill="DBE8F2"/>
            <w:vAlign w:val="center"/>
          </w:tcPr>
          <w:p w14:paraId="762E060A">
            <w:pPr>
              <w:spacing w:after="0" w:line="240" w:lineRule="auto"/>
              <w:ind w:firstLine="0"/>
              <w:jc w:val="center"/>
              <w:rPr>
                <w:rFonts w:ascii="Cambria" w:hAnsi="Cambria"/>
                <w:lang w:val="ru-RU"/>
              </w:rPr>
            </w:pPr>
            <w:r>
              <w:rPr>
                <w:rFonts w:ascii="Cambria" w:hAnsi="Cambria"/>
                <w:b/>
                <w:color w:val="1C2839"/>
                <w:sz w:val="16"/>
                <w:lang w:val="ru-RU"/>
              </w:rPr>
              <w:t>2,25</w:t>
            </w:r>
          </w:p>
        </w:tc>
        <w:tc>
          <w:tcPr>
            <w:tcW w:w="413" w:type="pct"/>
            <w:shd w:val="clear" w:color="auto" w:fill="DBE8F2"/>
            <w:vAlign w:val="center"/>
          </w:tcPr>
          <w:p w14:paraId="5EAA934F">
            <w:pPr>
              <w:spacing w:after="0" w:line="240" w:lineRule="auto"/>
              <w:ind w:firstLine="0"/>
              <w:jc w:val="center"/>
              <w:rPr>
                <w:rFonts w:ascii="Cambria" w:hAnsi="Cambria"/>
                <w:lang w:val="ru-RU"/>
              </w:rPr>
            </w:pPr>
            <w:r>
              <w:rPr>
                <w:rFonts w:ascii="Cambria" w:hAnsi="Cambria"/>
                <w:b/>
                <w:color w:val="1C2839"/>
                <w:sz w:val="16"/>
              </w:rPr>
              <w:t>8,50</w:t>
            </w:r>
          </w:p>
        </w:tc>
        <w:tc>
          <w:tcPr>
            <w:tcW w:w="459" w:type="pct"/>
            <w:shd w:val="clear" w:color="auto" w:fill="DBE8F2"/>
            <w:vAlign w:val="center"/>
          </w:tcPr>
          <w:p w14:paraId="50E22A45">
            <w:pPr>
              <w:spacing w:after="0" w:line="240" w:lineRule="auto"/>
              <w:ind w:firstLine="0"/>
              <w:jc w:val="center"/>
              <w:rPr>
                <w:rFonts w:ascii="Cambria" w:hAnsi="Cambria"/>
                <w:lang w:val="ru-RU"/>
              </w:rPr>
            </w:pPr>
            <w:r>
              <w:rPr>
                <w:rFonts w:ascii="Cambria" w:hAnsi="Cambria"/>
                <w:b/>
                <w:color w:val="1C2839"/>
                <w:sz w:val="16"/>
                <w:lang w:val="ru-RU"/>
              </w:rPr>
              <w:t>15,78</w:t>
            </w:r>
          </w:p>
        </w:tc>
        <w:tc>
          <w:tcPr>
            <w:tcW w:w="459" w:type="pct"/>
            <w:shd w:val="clear" w:color="auto" w:fill="DBE8F2"/>
            <w:vAlign w:val="center"/>
          </w:tcPr>
          <w:p w14:paraId="0F7C7A7A">
            <w:pPr>
              <w:spacing w:after="0" w:line="240" w:lineRule="auto"/>
              <w:ind w:firstLine="0"/>
              <w:jc w:val="center"/>
              <w:rPr>
                <w:rFonts w:ascii="Cambria" w:hAnsi="Cambria"/>
              </w:rPr>
            </w:pPr>
            <w:r>
              <w:rPr>
                <w:rFonts w:ascii="Cambria" w:hAnsi="Cambria"/>
                <w:b/>
                <w:color w:val="1C2839"/>
                <w:sz w:val="16"/>
              </w:rPr>
              <w:t>11,00</w:t>
            </w:r>
          </w:p>
        </w:tc>
        <w:tc>
          <w:tcPr>
            <w:tcW w:w="413" w:type="pct"/>
            <w:shd w:val="clear" w:color="auto" w:fill="DBE8F2"/>
            <w:vAlign w:val="center"/>
          </w:tcPr>
          <w:p w14:paraId="357352E4">
            <w:pPr>
              <w:spacing w:after="0" w:line="240" w:lineRule="auto"/>
              <w:ind w:firstLine="0"/>
              <w:jc w:val="center"/>
              <w:rPr>
                <w:rFonts w:ascii="Cambria" w:hAnsi="Cambria"/>
              </w:rPr>
            </w:pPr>
            <w:r>
              <w:rPr>
                <w:rFonts w:ascii="Cambria" w:hAnsi="Cambria"/>
                <w:b/>
                <w:color w:val="1C2839"/>
                <w:sz w:val="16"/>
              </w:rPr>
              <w:t>9,20</w:t>
            </w:r>
          </w:p>
        </w:tc>
        <w:tc>
          <w:tcPr>
            <w:tcW w:w="413" w:type="pct"/>
            <w:shd w:val="clear" w:color="auto" w:fill="DBE8F2"/>
            <w:vAlign w:val="center"/>
          </w:tcPr>
          <w:p w14:paraId="243FD3FD">
            <w:pPr>
              <w:spacing w:after="0" w:line="240" w:lineRule="auto"/>
              <w:ind w:firstLine="0"/>
              <w:jc w:val="center"/>
              <w:rPr>
                <w:rFonts w:ascii="Cambria" w:hAnsi="Cambria"/>
              </w:rPr>
            </w:pPr>
            <w:r>
              <w:rPr>
                <w:rFonts w:ascii="Cambria" w:hAnsi="Cambria"/>
                <w:b/>
                <w:color w:val="1C2839"/>
                <w:sz w:val="16"/>
              </w:rPr>
              <w:t>4,00</w:t>
            </w:r>
          </w:p>
        </w:tc>
        <w:tc>
          <w:tcPr>
            <w:tcW w:w="459" w:type="pct"/>
            <w:shd w:val="clear" w:color="auto" w:fill="DBE8F2"/>
            <w:vAlign w:val="center"/>
          </w:tcPr>
          <w:p w14:paraId="3FB45E9C">
            <w:pPr>
              <w:spacing w:after="0" w:line="240" w:lineRule="auto"/>
              <w:ind w:firstLine="0"/>
              <w:jc w:val="center"/>
              <w:rPr>
                <w:rFonts w:ascii="Cambria" w:hAnsi="Cambria"/>
                <w:lang w:val="ru-RU"/>
              </w:rPr>
            </w:pPr>
            <w:r>
              <w:rPr>
                <w:rFonts w:ascii="Cambria" w:hAnsi="Cambria"/>
                <w:b/>
                <w:color w:val="1C2839"/>
                <w:sz w:val="16"/>
                <w:lang w:val="ru-RU"/>
              </w:rPr>
              <w:t>50,73</w:t>
            </w:r>
          </w:p>
        </w:tc>
      </w:tr>
    </w:tbl>
    <w:p w14:paraId="29FD1B57">
      <w:pPr>
        <w:spacing w:line="240" w:lineRule="auto"/>
        <w:rPr>
          <w:rFonts w:ascii="Cambria" w:hAnsi="Cambria"/>
          <w:lang w:val="ru-RU"/>
        </w:rPr>
      </w:pPr>
      <w:r>
        <w:rPr>
          <w:rFonts w:ascii="Cambria" w:hAnsi="Cambria"/>
          <w:lang w:val="ru-RU"/>
        </w:rPr>
        <w:t>Қаржыландырудың жиынтық қажеттілігі 50,7 млрд теңгені құрайды, оның ішінде 23,7%-ы инфрақұрылым компонентіне, 76,3%-ы өндірістік инвестицияларға тиесілі. 2027–2029 жылдарға 26,5 млрд теңге немесе күрделі шығындардың шамамен 52,3%-ы шоғырланған. Қаржыландырудың ең жоғары қажеттілігі 2029 жылы көзделген – 15,8 млрд теңге (жиынтық бағалаудың 31,2%-ы).</w:t>
      </w:r>
    </w:p>
    <w:p w14:paraId="6E0E9080">
      <w:pPr>
        <w:pStyle w:val="3"/>
        <w:spacing w:line="240" w:lineRule="auto"/>
        <w:rPr>
          <w:rFonts w:ascii="Cambria" w:hAnsi="Cambria"/>
          <w:lang w:val="ru-RU"/>
        </w:rPr>
      </w:pPr>
      <w:bookmarkStart w:id="40" w:name="__RefHeading___Toc9562_2617525462"/>
      <w:bookmarkEnd w:id="40"/>
      <w:r>
        <w:rPr>
          <w:rFonts w:ascii="Cambria" w:hAnsi="Cambria"/>
          <w:lang w:val="ru-RU"/>
        </w:rPr>
        <w:t>8.5. Іс-шараларды іске асырудың тікелей және түпкілікті нәтижелері</w:t>
      </w:r>
    </w:p>
    <w:p w14:paraId="3FCA6BAC">
      <w:pPr>
        <w:spacing w:line="240" w:lineRule="auto"/>
        <w:rPr>
          <w:rFonts w:ascii="Cambria" w:hAnsi="Cambria"/>
          <w:lang w:val="ru-RU"/>
        </w:rPr>
      </w:pPr>
      <w:r>
        <w:rPr>
          <w:rFonts w:ascii="Cambria" w:hAnsi="Cambria"/>
          <w:lang w:val="ru-RU"/>
        </w:rPr>
        <w:t>Нәтижелерді бағалау кезінде іс-шаралардың тікелей нәтижелерін (аумақты рәсімдеу, инженерлік объектілерді пайдалануға беру, құрылысты аяқтау және технологиялық желілерді іске қосу) кәсіпорындар жұмысының түпкілікті нәтижелерінен (өткізілген өнеркәсіп өнімінің көлемі, жұмыс орындары және өңдеу өндірістерін кеңейту) ажырату ұсынылады. Мұндай құрылым қаражаттың игерілуін және әр компонент бойынша нәтижеге жетуді өзге жобалардың іске асу қарқынына қарамастан бақылауға мүмкіндік береді.</w:t>
      </w:r>
    </w:p>
    <w:p w14:paraId="539171FC">
      <w:pPr>
        <w:pStyle w:val="75"/>
        <w:keepNext/>
        <w:spacing w:line="240" w:lineRule="auto"/>
        <w:rPr>
          <w:rFonts w:ascii="Cambria" w:hAnsi="Cambria"/>
          <w:lang w:val="ru-RU"/>
        </w:rPr>
      </w:pPr>
      <w:r>
        <w:rPr>
          <w:rFonts w:ascii="Cambria" w:hAnsi="Cambria"/>
          <w:lang w:val="ru-RU"/>
        </w:rPr>
        <w:t>8.7-кесте – ИА құрудың негізгі компоненттері бойынша тікелей нәтижелер</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2027"/>
        <w:gridCol w:w="3905"/>
        <w:gridCol w:w="3557"/>
      </w:tblGrid>
      <w:tr w14:paraId="2461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0" w:type="auto"/>
            <w:shd w:val="clear" w:color="auto" w:fill="23486F"/>
            <w:vAlign w:val="center"/>
          </w:tcPr>
          <w:p w14:paraId="0DCEBBD9">
            <w:pPr>
              <w:spacing w:after="0" w:line="240" w:lineRule="auto"/>
              <w:ind w:firstLine="0"/>
              <w:jc w:val="center"/>
              <w:rPr>
                <w:rFonts w:ascii="Cambria" w:hAnsi="Cambria"/>
              </w:rPr>
            </w:pPr>
            <w:r>
              <w:rPr>
                <w:rFonts w:ascii="Cambria" w:hAnsi="Cambria"/>
                <w:b/>
                <w:color w:val="FFFFFF"/>
                <w:sz w:val="15"/>
              </w:rPr>
              <w:t>Компонент</w:t>
            </w:r>
          </w:p>
        </w:tc>
        <w:tc>
          <w:tcPr>
            <w:tcW w:w="0" w:type="auto"/>
            <w:shd w:val="clear" w:color="auto" w:fill="23486F"/>
            <w:vAlign w:val="center"/>
          </w:tcPr>
          <w:p w14:paraId="4F092B81">
            <w:pPr>
              <w:spacing w:after="0" w:line="240" w:lineRule="auto"/>
              <w:ind w:firstLine="0"/>
              <w:jc w:val="center"/>
              <w:rPr>
                <w:rFonts w:ascii="Cambria" w:hAnsi="Cambria"/>
              </w:rPr>
            </w:pPr>
            <w:r>
              <w:rPr>
                <w:rFonts w:ascii="Cambria" w:hAnsi="Cambria"/>
                <w:b/>
                <w:color w:val="FFFFFF"/>
                <w:sz w:val="15"/>
              </w:rPr>
              <w:t>Өлшенетін тікелей нәтиже</w:t>
            </w:r>
          </w:p>
        </w:tc>
        <w:tc>
          <w:tcPr>
            <w:tcW w:w="0" w:type="auto"/>
            <w:shd w:val="clear" w:color="auto" w:fill="23486F"/>
            <w:vAlign w:val="center"/>
          </w:tcPr>
          <w:p w14:paraId="2DD6CC21">
            <w:pPr>
              <w:spacing w:after="0" w:line="240" w:lineRule="auto"/>
              <w:ind w:firstLine="0"/>
              <w:jc w:val="center"/>
              <w:rPr>
                <w:rFonts w:ascii="Cambria" w:hAnsi="Cambria"/>
              </w:rPr>
            </w:pPr>
            <w:r>
              <w:rPr>
                <w:rFonts w:ascii="Cambria" w:hAnsi="Cambria"/>
                <w:b/>
                <w:color w:val="FFFFFF"/>
                <w:sz w:val="15"/>
              </w:rPr>
              <w:t>Нәтижеге қол жеткізу шарты</w:t>
            </w:r>
          </w:p>
        </w:tc>
      </w:tr>
      <w:tr w14:paraId="203D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5ADF437F">
            <w:pPr>
              <w:spacing w:after="0" w:line="240" w:lineRule="auto"/>
              <w:ind w:firstLine="0"/>
              <w:jc w:val="left"/>
              <w:rPr>
                <w:rFonts w:ascii="Cambria" w:hAnsi="Cambria"/>
              </w:rPr>
            </w:pPr>
            <w:r>
              <w:rPr>
                <w:rFonts w:ascii="Cambria" w:hAnsi="Cambria"/>
                <w:color w:val="1C2839"/>
                <w:sz w:val="16"/>
              </w:rPr>
              <w:t>Жер және кеңістікті ұйымдастыру</w:t>
            </w:r>
          </w:p>
        </w:tc>
        <w:tc>
          <w:tcPr>
            <w:tcW w:w="0" w:type="auto"/>
            <w:vAlign w:val="center"/>
          </w:tcPr>
          <w:p w14:paraId="422D4BDC">
            <w:pPr>
              <w:spacing w:after="0" w:line="240" w:lineRule="auto"/>
              <w:ind w:firstLine="0"/>
              <w:jc w:val="left"/>
              <w:rPr>
                <w:rFonts w:ascii="Cambria" w:hAnsi="Cambria"/>
                <w:lang w:val="ru-RU"/>
              </w:rPr>
            </w:pPr>
            <w:r>
              <w:rPr>
                <w:rFonts w:ascii="Cambria" w:hAnsi="Cambria"/>
                <w:color w:val="1C2839"/>
                <w:sz w:val="16"/>
                <w:lang w:val="ru-RU"/>
              </w:rPr>
              <w:t>Жалпы ауданы 200 га екі алаң: 53 га – әлеуетті инвесторлардың жобалары, 147 га – өңдеу өнеркәсібінің өзге жобаларына арналған бос аумақ.</w:t>
            </w:r>
          </w:p>
        </w:tc>
        <w:tc>
          <w:tcPr>
            <w:tcW w:w="0" w:type="auto"/>
            <w:vAlign w:val="center"/>
          </w:tcPr>
          <w:p w14:paraId="5EC3FFE7">
            <w:pPr>
              <w:spacing w:after="0" w:line="240" w:lineRule="auto"/>
              <w:ind w:firstLine="0"/>
              <w:jc w:val="left"/>
              <w:rPr>
                <w:rFonts w:ascii="Cambria" w:hAnsi="Cambria"/>
                <w:lang w:val="ru-RU"/>
              </w:rPr>
            </w:pPr>
            <w:r>
              <w:rPr>
                <w:rFonts w:ascii="Cambria" w:hAnsi="Cambria"/>
                <w:color w:val="1C2839"/>
                <w:sz w:val="16"/>
                <w:lang w:val="ru-RU"/>
              </w:rPr>
              <w:t>ИА орналастырылатын тиісті учаскелер мен құқықтық режимді рәсімдеу.</w:t>
            </w:r>
          </w:p>
        </w:tc>
      </w:tr>
      <w:tr w14:paraId="5AD7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62BF9B94">
            <w:pPr>
              <w:spacing w:after="0" w:line="240" w:lineRule="auto"/>
              <w:ind w:firstLine="0"/>
              <w:jc w:val="left"/>
              <w:rPr>
                <w:rFonts w:ascii="Cambria" w:hAnsi="Cambria"/>
              </w:rPr>
            </w:pPr>
            <w:r>
              <w:rPr>
                <w:rFonts w:ascii="Cambria" w:hAnsi="Cambria"/>
                <w:color w:val="1C2839"/>
                <w:sz w:val="16"/>
              </w:rPr>
              <w:t>Электрмен жабдықтау</w:t>
            </w:r>
          </w:p>
        </w:tc>
        <w:tc>
          <w:tcPr>
            <w:tcW w:w="0" w:type="auto"/>
            <w:shd w:val="clear" w:color="auto" w:fill="F0F5F9"/>
            <w:vAlign w:val="center"/>
          </w:tcPr>
          <w:p w14:paraId="6BC069C9">
            <w:pPr>
              <w:spacing w:after="0" w:line="240" w:lineRule="auto"/>
              <w:ind w:firstLine="0"/>
              <w:jc w:val="left"/>
              <w:rPr>
                <w:rFonts w:ascii="Cambria" w:hAnsi="Cambria"/>
                <w:lang w:val="ru-RU"/>
              </w:rPr>
            </w:pPr>
            <w:r>
              <w:rPr>
                <w:rFonts w:ascii="Cambria" w:hAnsi="Cambria"/>
                <w:color w:val="1C2839"/>
                <w:sz w:val="16"/>
                <w:lang w:val="ru-RU"/>
              </w:rPr>
              <w:t>Екі алаң үшін жоспарланған қолжетімді қуат – 10 МВт (әрқайсысына шамамен 5 МВт).</w:t>
            </w:r>
          </w:p>
        </w:tc>
        <w:tc>
          <w:tcPr>
            <w:tcW w:w="0" w:type="auto"/>
            <w:shd w:val="clear" w:color="auto" w:fill="F0F5F9"/>
            <w:vAlign w:val="center"/>
          </w:tcPr>
          <w:p w14:paraId="4FA728DF">
            <w:pPr>
              <w:spacing w:after="0" w:line="240" w:lineRule="auto"/>
              <w:ind w:firstLine="0"/>
              <w:jc w:val="left"/>
              <w:rPr>
                <w:rFonts w:ascii="Cambria" w:hAnsi="Cambria"/>
                <w:lang w:val="ru-RU"/>
              </w:rPr>
            </w:pPr>
            <w:r>
              <w:rPr>
                <w:rFonts w:ascii="Cambria" w:hAnsi="Cambria"/>
                <w:color w:val="1C2839"/>
                <w:sz w:val="16"/>
                <w:lang w:val="ru-RU"/>
              </w:rPr>
              <w:t>Цемент зауытындағы резервтің, техникалық шарттардың және қосалқы тұтынушылар схемасының расталуы.</w:t>
            </w:r>
          </w:p>
        </w:tc>
      </w:tr>
      <w:tr w14:paraId="1C82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26AEF847">
            <w:pPr>
              <w:spacing w:after="0" w:line="240" w:lineRule="auto"/>
              <w:ind w:firstLine="0"/>
              <w:jc w:val="left"/>
              <w:rPr>
                <w:rFonts w:ascii="Cambria" w:hAnsi="Cambria"/>
              </w:rPr>
            </w:pPr>
            <w:r>
              <w:rPr>
                <w:rFonts w:ascii="Cambria" w:hAnsi="Cambria"/>
                <w:color w:val="1C2839"/>
                <w:sz w:val="16"/>
              </w:rPr>
              <w:t>Теміржол инфрақұрылымы</w:t>
            </w:r>
          </w:p>
        </w:tc>
        <w:tc>
          <w:tcPr>
            <w:tcW w:w="0" w:type="auto"/>
            <w:vAlign w:val="center"/>
          </w:tcPr>
          <w:p w14:paraId="2177927D">
            <w:pPr>
              <w:spacing w:after="0" w:line="240" w:lineRule="auto"/>
              <w:ind w:firstLine="0"/>
              <w:jc w:val="left"/>
              <w:rPr>
                <w:rFonts w:ascii="Cambria" w:hAnsi="Cambria"/>
                <w:lang w:val="ru-RU"/>
              </w:rPr>
            </w:pPr>
            <w:r>
              <w:rPr>
                <w:rFonts w:ascii="Cambria" w:hAnsi="Cambria"/>
                <w:color w:val="1C2839"/>
                <w:sz w:val="16"/>
                <w:lang w:val="ru-RU"/>
              </w:rPr>
              <w:t>Теміржол жолдарына келісілген қолжетімділік схемасы бойынша вагондарды қабылдау және жөнелту мүмкіндігі.</w:t>
            </w:r>
          </w:p>
        </w:tc>
        <w:tc>
          <w:tcPr>
            <w:tcW w:w="0" w:type="auto"/>
            <w:vAlign w:val="center"/>
          </w:tcPr>
          <w:p w14:paraId="033B7EF6">
            <w:pPr>
              <w:spacing w:after="0" w:line="240" w:lineRule="auto"/>
              <w:ind w:firstLine="0"/>
              <w:jc w:val="left"/>
              <w:rPr>
                <w:rFonts w:ascii="Cambria" w:hAnsi="Cambria"/>
                <w:lang w:val="ru-RU"/>
              </w:rPr>
            </w:pPr>
            <w:r>
              <w:rPr>
                <w:rFonts w:ascii="Cambria" w:hAnsi="Cambria"/>
                <w:color w:val="1C2839"/>
                <w:sz w:val="16"/>
                <w:lang w:val="ru-RU"/>
              </w:rPr>
              <w:t>Түйісу бойынша техникалық шешімдер, меншік иесінің тиісті келісімі және қауіпсіздік шарттарын орындау.</w:t>
            </w:r>
          </w:p>
        </w:tc>
      </w:tr>
      <w:tr w14:paraId="7C47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4C6A8F40">
            <w:pPr>
              <w:spacing w:after="0" w:line="240" w:lineRule="auto"/>
              <w:ind w:firstLine="0"/>
              <w:jc w:val="left"/>
              <w:rPr>
                <w:rFonts w:ascii="Cambria" w:hAnsi="Cambria"/>
              </w:rPr>
            </w:pPr>
            <w:r>
              <w:rPr>
                <w:rFonts w:ascii="Cambria" w:hAnsi="Cambria"/>
                <w:color w:val="1C2839"/>
                <w:sz w:val="16"/>
              </w:rPr>
              <w:t>Автомобиль жолдары және логистика</w:t>
            </w:r>
          </w:p>
        </w:tc>
        <w:tc>
          <w:tcPr>
            <w:tcW w:w="0" w:type="auto"/>
            <w:shd w:val="clear" w:color="auto" w:fill="F0F5F9"/>
            <w:vAlign w:val="center"/>
          </w:tcPr>
          <w:p w14:paraId="2F066776">
            <w:pPr>
              <w:spacing w:after="0" w:line="240" w:lineRule="auto"/>
              <w:ind w:firstLine="0"/>
              <w:jc w:val="left"/>
              <w:rPr>
                <w:rFonts w:ascii="Cambria" w:hAnsi="Cambria"/>
                <w:lang w:val="ru-RU"/>
              </w:rPr>
            </w:pPr>
            <w:r>
              <w:rPr>
                <w:rFonts w:ascii="Cambria" w:hAnsi="Cambria"/>
                <w:color w:val="1C2839"/>
                <w:sz w:val="16"/>
                <w:lang w:val="ru-RU"/>
              </w:rPr>
              <w:t>Өнеркәсіптік-өндірістік екі алаңға көлік қатынасының қамтамасыз етілуі.</w:t>
            </w:r>
          </w:p>
        </w:tc>
        <w:tc>
          <w:tcPr>
            <w:tcW w:w="0" w:type="auto"/>
            <w:shd w:val="clear" w:color="auto" w:fill="F0F5F9"/>
            <w:vAlign w:val="center"/>
          </w:tcPr>
          <w:p w14:paraId="23BBF236">
            <w:pPr>
              <w:spacing w:after="0" w:line="240" w:lineRule="auto"/>
              <w:ind w:firstLine="0"/>
              <w:jc w:val="left"/>
              <w:rPr>
                <w:rFonts w:ascii="Cambria" w:hAnsi="Cambria"/>
                <w:lang w:val="ru-RU"/>
              </w:rPr>
            </w:pPr>
            <w:r>
              <w:rPr>
                <w:rFonts w:ascii="Cambria" w:hAnsi="Cambria"/>
                <w:color w:val="1C2839"/>
                <w:sz w:val="16"/>
                <w:lang w:val="ru-RU"/>
              </w:rPr>
              <w:t>Маршруттар мен жүру құқықтарының расталуы, қажетті ортақ учаскелердің салынуы.</w:t>
            </w:r>
          </w:p>
        </w:tc>
      </w:tr>
      <w:tr w14:paraId="59A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66DE412C">
            <w:pPr>
              <w:spacing w:after="0" w:line="240" w:lineRule="auto"/>
              <w:ind w:firstLine="0"/>
              <w:jc w:val="left"/>
              <w:rPr>
                <w:rFonts w:ascii="Cambria" w:hAnsi="Cambria"/>
              </w:rPr>
            </w:pPr>
            <w:r>
              <w:rPr>
                <w:rFonts w:ascii="Cambria" w:hAnsi="Cambria"/>
                <w:color w:val="1C2839"/>
                <w:sz w:val="16"/>
              </w:rPr>
              <w:t>Су, су бұру, өрт қауіпсіздігін қамтамасыз ету</w:t>
            </w:r>
          </w:p>
        </w:tc>
        <w:tc>
          <w:tcPr>
            <w:tcW w:w="0" w:type="auto"/>
            <w:vAlign w:val="center"/>
          </w:tcPr>
          <w:p w14:paraId="77772227">
            <w:pPr>
              <w:spacing w:after="0" w:line="240" w:lineRule="auto"/>
              <w:ind w:firstLine="0"/>
              <w:jc w:val="left"/>
              <w:rPr>
                <w:rFonts w:ascii="Cambria" w:hAnsi="Cambria"/>
                <w:lang w:val="ru-RU"/>
              </w:rPr>
            </w:pPr>
            <w:r>
              <w:rPr>
                <w:rFonts w:ascii="Cambria" w:hAnsi="Cambria"/>
                <w:color w:val="1C2839"/>
                <w:sz w:val="16"/>
                <w:lang w:val="ru-RU"/>
              </w:rPr>
              <w:t>Екі алаңды қосу және қажетті инженерлік тораптарды іске қосу.</w:t>
            </w:r>
          </w:p>
        </w:tc>
        <w:tc>
          <w:tcPr>
            <w:tcW w:w="0" w:type="auto"/>
            <w:vAlign w:val="center"/>
          </w:tcPr>
          <w:p w14:paraId="306624F6">
            <w:pPr>
              <w:spacing w:after="0" w:line="240" w:lineRule="auto"/>
              <w:ind w:firstLine="0"/>
              <w:jc w:val="left"/>
              <w:rPr>
                <w:rFonts w:ascii="Cambria" w:hAnsi="Cambria"/>
                <w:lang w:val="ru-RU"/>
              </w:rPr>
            </w:pPr>
            <w:r>
              <w:rPr>
                <w:rFonts w:ascii="Cambria" w:hAnsi="Cambria"/>
                <w:color w:val="1C2839"/>
                <w:sz w:val="16"/>
                <w:lang w:val="ru-RU"/>
              </w:rPr>
              <w:t>Ресурс лимиттерінің расталуы, су пайдалану схемасы, инфрақұрылымдық және экологиялық келісім.</w:t>
            </w:r>
          </w:p>
        </w:tc>
      </w:tr>
      <w:tr w14:paraId="7507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1DE7320A">
            <w:pPr>
              <w:spacing w:after="0" w:line="240" w:lineRule="auto"/>
              <w:ind w:firstLine="0"/>
              <w:jc w:val="left"/>
              <w:rPr>
                <w:rFonts w:ascii="Cambria" w:hAnsi="Cambria"/>
              </w:rPr>
            </w:pPr>
            <w:r>
              <w:rPr>
                <w:rFonts w:ascii="Cambria" w:hAnsi="Cambria"/>
                <w:color w:val="1C2839"/>
                <w:sz w:val="16"/>
              </w:rPr>
              <w:t>Өндірістік желілер</w:t>
            </w:r>
          </w:p>
        </w:tc>
        <w:tc>
          <w:tcPr>
            <w:tcW w:w="0" w:type="auto"/>
            <w:shd w:val="clear" w:color="auto" w:fill="F0F5F9"/>
            <w:vAlign w:val="center"/>
          </w:tcPr>
          <w:p w14:paraId="49775B29">
            <w:pPr>
              <w:spacing w:after="0" w:line="240" w:lineRule="auto"/>
              <w:ind w:firstLine="0"/>
              <w:jc w:val="left"/>
              <w:rPr>
                <w:rFonts w:ascii="Cambria" w:hAnsi="Cambria"/>
                <w:lang w:val="ru-RU"/>
              </w:rPr>
            </w:pPr>
            <w:r>
              <w:rPr>
                <w:rFonts w:ascii="Cambria" w:hAnsi="Cambria"/>
                <w:color w:val="1C2839"/>
                <w:sz w:val="16"/>
                <w:lang w:val="ru-RU"/>
              </w:rPr>
              <w:t>Инвестициялық жобалар аяқталған кезде төрт бағыттағы жеті кәсіпорынды пайдалануға беру.</w:t>
            </w:r>
          </w:p>
        </w:tc>
        <w:tc>
          <w:tcPr>
            <w:tcW w:w="0" w:type="auto"/>
            <w:shd w:val="clear" w:color="auto" w:fill="F0F5F9"/>
            <w:vAlign w:val="center"/>
          </w:tcPr>
          <w:p w14:paraId="02F11036">
            <w:pPr>
              <w:spacing w:after="0" w:line="240" w:lineRule="auto"/>
              <w:ind w:firstLine="0"/>
              <w:jc w:val="left"/>
              <w:rPr>
                <w:rFonts w:ascii="Cambria" w:hAnsi="Cambria"/>
                <w:lang w:val="ru-RU"/>
              </w:rPr>
            </w:pPr>
            <w:r>
              <w:rPr>
                <w:rFonts w:ascii="Cambria" w:hAnsi="Cambria"/>
                <w:color w:val="1C2839"/>
                <w:sz w:val="16"/>
                <w:lang w:val="ru-RU"/>
              </w:rPr>
              <w:t>Резиденттердің, қаржыландырудың, өнім сертификаттарының және өткізу мүмкіндігінің болуы.</w:t>
            </w:r>
          </w:p>
        </w:tc>
      </w:tr>
    </w:tbl>
    <w:p w14:paraId="3E93C7E1">
      <w:pPr>
        <w:spacing w:line="240" w:lineRule="auto"/>
        <w:rPr>
          <w:rFonts w:ascii="Cambria" w:hAnsi="Cambria"/>
          <w:lang w:val="ru-RU"/>
        </w:rPr>
      </w:pPr>
      <w:r>
        <w:rPr>
          <w:rFonts w:ascii="Cambria" w:hAnsi="Cambria"/>
          <w:lang w:val="ru-RU"/>
        </w:rPr>
        <w:t>Жеті өндірістік жоба бойынша есептік түпкілікті нәтиже барлық кәсіпорын толық қуатқа шыққаннан кейін 605 тұрақты жұмыс орнын құрумен және жылына 41,05 млрд теңге ықтимал түсім алумен сипатталады. Бұл жобалар салынған кезде әртүрлі кезеңдерде жиынтығында 840 уақытша жұмыс орны ашылады деп болжанады.</w:t>
      </w:r>
    </w:p>
    <w:p w14:paraId="4667CE0B">
      <w:pPr>
        <w:pStyle w:val="75"/>
        <w:keepNext/>
        <w:spacing w:line="240" w:lineRule="auto"/>
        <w:rPr>
          <w:rFonts w:ascii="Cambria" w:hAnsi="Cambria"/>
          <w:lang w:val="ru-RU"/>
        </w:rPr>
      </w:pPr>
      <w:r>
        <w:rPr>
          <w:rFonts w:ascii="Cambria" w:hAnsi="Cambria"/>
          <w:lang w:val="ru-RU"/>
        </w:rPr>
        <w:t>8.8-кесте – Резиденттердің өндірістік қуаттары мен түпкілікті нәтижелері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348"/>
        <w:gridCol w:w="6026"/>
        <w:gridCol w:w="1276"/>
        <w:gridCol w:w="1639"/>
      </w:tblGrid>
      <w:tr w14:paraId="7499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0" w:type="auto"/>
            <w:shd w:val="clear" w:color="auto" w:fill="23486F"/>
            <w:vAlign w:val="center"/>
          </w:tcPr>
          <w:p w14:paraId="17584488">
            <w:pPr>
              <w:spacing w:after="0" w:line="240" w:lineRule="auto"/>
              <w:ind w:firstLine="0"/>
              <w:jc w:val="center"/>
              <w:rPr>
                <w:rFonts w:ascii="Cambria" w:hAnsi="Cambria"/>
              </w:rPr>
            </w:pPr>
            <w:r>
              <w:rPr>
                <w:rFonts w:ascii="Cambria" w:hAnsi="Cambria"/>
                <w:b/>
                <w:color w:val="FFFFFF"/>
                <w:sz w:val="15"/>
              </w:rPr>
              <w:t>№</w:t>
            </w:r>
          </w:p>
        </w:tc>
        <w:tc>
          <w:tcPr>
            <w:tcW w:w="6026" w:type="dxa"/>
            <w:shd w:val="clear" w:color="auto" w:fill="23486F"/>
            <w:vAlign w:val="center"/>
          </w:tcPr>
          <w:p w14:paraId="3049C24A">
            <w:pPr>
              <w:spacing w:after="0" w:line="240" w:lineRule="auto"/>
              <w:ind w:firstLine="0"/>
              <w:jc w:val="center"/>
              <w:rPr>
                <w:rFonts w:ascii="Cambria" w:hAnsi="Cambria"/>
                <w:lang w:val="ru-RU"/>
              </w:rPr>
            </w:pPr>
            <w:r>
              <w:rPr>
                <w:rFonts w:ascii="Cambria" w:hAnsi="Cambria"/>
                <w:b/>
                <w:color w:val="FFFFFF"/>
                <w:sz w:val="15"/>
                <w:lang w:val="ru-RU"/>
              </w:rPr>
              <w:t>Жоспарланған өнім / жылдық қуат</w:t>
            </w:r>
          </w:p>
        </w:tc>
        <w:tc>
          <w:tcPr>
            <w:tcW w:w="1276" w:type="dxa"/>
            <w:shd w:val="clear" w:color="auto" w:fill="23486F"/>
            <w:vAlign w:val="center"/>
          </w:tcPr>
          <w:p w14:paraId="18AF6328">
            <w:pPr>
              <w:spacing w:after="0" w:line="240" w:lineRule="auto"/>
              <w:ind w:firstLine="0"/>
              <w:jc w:val="center"/>
              <w:rPr>
                <w:rFonts w:ascii="Cambria" w:hAnsi="Cambria"/>
              </w:rPr>
            </w:pPr>
            <w:r>
              <w:rPr>
                <w:rFonts w:ascii="Cambria" w:hAnsi="Cambria"/>
                <w:b/>
                <w:color w:val="FFFFFF"/>
                <w:sz w:val="15"/>
              </w:rPr>
              <w:t>Тұрақты жұмыс орындары</w:t>
            </w:r>
          </w:p>
        </w:tc>
        <w:tc>
          <w:tcPr>
            <w:tcW w:w="1639" w:type="dxa"/>
            <w:shd w:val="clear" w:color="auto" w:fill="23486F"/>
            <w:vAlign w:val="center"/>
          </w:tcPr>
          <w:p w14:paraId="1B7BB9F1">
            <w:pPr>
              <w:spacing w:after="0" w:line="240" w:lineRule="auto"/>
              <w:ind w:firstLine="0"/>
              <w:jc w:val="center"/>
              <w:rPr>
                <w:rFonts w:ascii="Cambria" w:hAnsi="Cambria"/>
              </w:rPr>
            </w:pPr>
            <w:r>
              <w:rPr>
                <w:rFonts w:ascii="Cambria" w:hAnsi="Cambria"/>
                <w:b/>
                <w:color w:val="FFFFFF"/>
                <w:sz w:val="15"/>
              </w:rPr>
              <w:t>Жылдық түсім, млрд теңге</w:t>
            </w:r>
          </w:p>
        </w:tc>
      </w:tr>
      <w:tr w14:paraId="65E0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325A34BC">
            <w:pPr>
              <w:spacing w:after="0" w:line="240" w:lineRule="auto"/>
              <w:ind w:firstLine="0"/>
              <w:jc w:val="left"/>
              <w:rPr>
                <w:rFonts w:ascii="Cambria" w:hAnsi="Cambria"/>
              </w:rPr>
            </w:pPr>
            <w:r>
              <w:rPr>
                <w:rFonts w:ascii="Cambria" w:hAnsi="Cambria"/>
                <w:color w:val="1C2839"/>
                <w:sz w:val="16"/>
              </w:rPr>
              <w:t>1</w:t>
            </w:r>
          </w:p>
        </w:tc>
        <w:tc>
          <w:tcPr>
            <w:tcW w:w="6026" w:type="dxa"/>
            <w:vAlign w:val="center"/>
          </w:tcPr>
          <w:p w14:paraId="49A5E68A">
            <w:pPr>
              <w:spacing w:after="0" w:line="240" w:lineRule="auto"/>
              <w:ind w:firstLine="0"/>
              <w:jc w:val="left"/>
              <w:rPr>
                <w:rFonts w:ascii="Cambria" w:hAnsi="Cambria"/>
                <w:lang w:val="ru-RU"/>
              </w:rPr>
            </w:pPr>
            <w:r>
              <w:rPr>
                <w:rFonts w:ascii="Cambria" w:hAnsi="Cambria"/>
                <w:color w:val="1C2839"/>
                <w:sz w:val="16"/>
                <w:lang w:val="ru-RU"/>
              </w:rPr>
              <w:t>Жол және инфрақұрылым құрылысына арналған ТББ; 35 мың м³</w:t>
            </w:r>
          </w:p>
        </w:tc>
        <w:tc>
          <w:tcPr>
            <w:tcW w:w="1276" w:type="dxa"/>
            <w:vAlign w:val="center"/>
          </w:tcPr>
          <w:p w14:paraId="7C8A1897">
            <w:pPr>
              <w:spacing w:after="0" w:line="240" w:lineRule="auto"/>
              <w:ind w:firstLine="0"/>
              <w:jc w:val="center"/>
              <w:rPr>
                <w:rFonts w:ascii="Cambria" w:hAnsi="Cambria"/>
              </w:rPr>
            </w:pPr>
            <w:r>
              <w:rPr>
                <w:rFonts w:ascii="Cambria" w:hAnsi="Cambria"/>
                <w:color w:val="1C2839"/>
                <w:sz w:val="16"/>
              </w:rPr>
              <w:t>110</w:t>
            </w:r>
          </w:p>
        </w:tc>
        <w:tc>
          <w:tcPr>
            <w:tcW w:w="1639" w:type="dxa"/>
            <w:vAlign w:val="center"/>
          </w:tcPr>
          <w:p w14:paraId="58DE5E9A">
            <w:pPr>
              <w:spacing w:after="0" w:line="240" w:lineRule="auto"/>
              <w:ind w:firstLine="0"/>
              <w:jc w:val="center"/>
              <w:rPr>
                <w:rFonts w:ascii="Cambria" w:hAnsi="Cambria"/>
              </w:rPr>
            </w:pPr>
            <w:r>
              <w:rPr>
                <w:rFonts w:ascii="Cambria" w:hAnsi="Cambria"/>
                <w:color w:val="1C2839"/>
                <w:sz w:val="16"/>
              </w:rPr>
              <w:t>6,30</w:t>
            </w:r>
          </w:p>
        </w:tc>
      </w:tr>
      <w:tr w14:paraId="1716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61B7086E">
            <w:pPr>
              <w:spacing w:after="0" w:line="240" w:lineRule="auto"/>
              <w:ind w:firstLine="0"/>
              <w:jc w:val="left"/>
              <w:rPr>
                <w:rFonts w:ascii="Cambria" w:hAnsi="Cambria"/>
              </w:rPr>
            </w:pPr>
            <w:r>
              <w:rPr>
                <w:rFonts w:ascii="Cambria" w:hAnsi="Cambria"/>
                <w:color w:val="1C2839"/>
                <w:sz w:val="16"/>
              </w:rPr>
              <w:t>2</w:t>
            </w:r>
          </w:p>
        </w:tc>
        <w:tc>
          <w:tcPr>
            <w:tcW w:w="6026" w:type="dxa"/>
            <w:shd w:val="clear" w:color="auto" w:fill="F0F5F9"/>
            <w:vAlign w:val="center"/>
          </w:tcPr>
          <w:p w14:paraId="45CB49CA">
            <w:pPr>
              <w:spacing w:after="0" w:line="240" w:lineRule="auto"/>
              <w:ind w:firstLine="0"/>
              <w:jc w:val="left"/>
              <w:rPr>
                <w:rFonts w:ascii="Cambria" w:hAnsi="Cambria"/>
              </w:rPr>
            </w:pPr>
            <w:r>
              <w:rPr>
                <w:rFonts w:ascii="Cambria" w:hAnsi="Cambria"/>
                <w:color w:val="1C2839"/>
                <w:sz w:val="16"/>
              </w:rPr>
              <w:t>Темірбетон шпалдар; 200 мың дана</w:t>
            </w:r>
          </w:p>
        </w:tc>
        <w:tc>
          <w:tcPr>
            <w:tcW w:w="1276" w:type="dxa"/>
            <w:shd w:val="clear" w:color="auto" w:fill="F0F5F9"/>
            <w:vAlign w:val="center"/>
          </w:tcPr>
          <w:p w14:paraId="22DA9E74">
            <w:pPr>
              <w:spacing w:after="0" w:line="240" w:lineRule="auto"/>
              <w:ind w:firstLine="0"/>
              <w:jc w:val="center"/>
              <w:rPr>
                <w:rFonts w:ascii="Cambria" w:hAnsi="Cambria"/>
              </w:rPr>
            </w:pPr>
            <w:r>
              <w:rPr>
                <w:rFonts w:ascii="Cambria" w:hAnsi="Cambria"/>
                <w:color w:val="1C2839"/>
                <w:sz w:val="16"/>
              </w:rPr>
              <w:t>85</w:t>
            </w:r>
          </w:p>
        </w:tc>
        <w:tc>
          <w:tcPr>
            <w:tcW w:w="1639" w:type="dxa"/>
            <w:shd w:val="clear" w:color="auto" w:fill="F0F5F9"/>
            <w:vAlign w:val="center"/>
          </w:tcPr>
          <w:p w14:paraId="37FD9A56">
            <w:pPr>
              <w:spacing w:after="0" w:line="240" w:lineRule="auto"/>
              <w:ind w:firstLine="0"/>
              <w:jc w:val="center"/>
              <w:rPr>
                <w:rFonts w:ascii="Cambria" w:hAnsi="Cambria"/>
              </w:rPr>
            </w:pPr>
            <w:r>
              <w:rPr>
                <w:rFonts w:ascii="Cambria" w:hAnsi="Cambria"/>
                <w:color w:val="1C2839"/>
                <w:sz w:val="16"/>
              </w:rPr>
              <w:t>7,00</w:t>
            </w:r>
          </w:p>
        </w:tc>
      </w:tr>
      <w:tr w14:paraId="5856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5DC5D919">
            <w:pPr>
              <w:spacing w:after="0" w:line="240" w:lineRule="auto"/>
              <w:ind w:firstLine="0"/>
              <w:jc w:val="left"/>
              <w:rPr>
                <w:rFonts w:ascii="Cambria" w:hAnsi="Cambria"/>
              </w:rPr>
            </w:pPr>
            <w:r>
              <w:rPr>
                <w:rFonts w:ascii="Cambria" w:hAnsi="Cambria"/>
                <w:color w:val="1C2839"/>
                <w:sz w:val="16"/>
              </w:rPr>
              <w:t>3</w:t>
            </w:r>
          </w:p>
        </w:tc>
        <w:tc>
          <w:tcPr>
            <w:tcW w:w="6026" w:type="dxa"/>
            <w:vAlign w:val="center"/>
          </w:tcPr>
          <w:p w14:paraId="0A2688D3">
            <w:pPr>
              <w:spacing w:after="0" w:line="240" w:lineRule="auto"/>
              <w:ind w:firstLine="0"/>
              <w:jc w:val="left"/>
              <w:rPr>
                <w:rFonts w:ascii="Cambria" w:hAnsi="Cambria"/>
                <w:lang w:val="ru-RU"/>
              </w:rPr>
            </w:pPr>
            <w:r>
              <w:rPr>
                <w:rFonts w:ascii="Cambria" w:hAnsi="Cambria"/>
                <w:color w:val="1C2839"/>
                <w:sz w:val="16"/>
                <w:lang w:val="ru-RU"/>
              </w:rPr>
              <w:t>Электр беру желілерінің темірбетон тіректері; 25 мың дана</w:t>
            </w:r>
          </w:p>
        </w:tc>
        <w:tc>
          <w:tcPr>
            <w:tcW w:w="1276" w:type="dxa"/>
            <w:vAlign w:val="center"/>
          </w:tcPr>
          <w:p w14:paraId="035BB9FB">
            <w:pPr>
              <w:spacing w:after="0" w:line="240" w:lineRule="auto"/>
              <w:ind w:firstLine="0"/>
              <w:jc w:val="center"/>
              <w:rPr>
                <w:rFonts w:ascii="Cambria" w:hAnsi="Cambria"/>
              </w:rPr>
            </w:pPr>
            <w:r>
              <w:rPr>
                <w:rFonts w:ascii="Cambria" w:hAnsi="Cambria"/>
                <w:color w:val="1C2839"/>
                <w:sz w:val="16"/>
              </w:rPr>
              <w:t>65</w:t>
            </w:r>
          </w:p>
        </w:tc>
        <w:tc>
          <w:tcPr>
            <w:tcW w:w="1639" w:type="dxa"/>
            <w:vAlign w:val="center"/>
          </w:tcPr>
          <w:p w14:paraId="70FA95EB">
            <w:pPr>
              <w:spacing w:after="0" w:line="240" w:lineRule="auto"/>
              <w:ind w:firstLine="0"/>
              <w:jc w:val="center"/>
              <w:rPr>
                <w:rFonts w:ascii="Cambria" w:hAnsi="Cambria"/>
              </w:rPr>
            </w:pPr>
            <w:r>
              <w:rPr>
                <w:rFonts w:ascii="Cambria" w:hAnsi="Cambria"/>
                <w:color w:val="1C2839"/>
                <w:sz w:val="16"/>
              </w:rPr>
              <w:t>2,75</w:t>
            </w:r>
          </w:p>
        </w:tc>
      </w:tr>
      <w:tr w14:paraId="1574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7EFC05E9">
            <w:pPr>
              <w:spacing w:after="0" w:line="240" w:lineRule="auto"/>
              <w:ind w:firstLine="0"/>
              <w:jc w:val="left"/>
              <w:rPr>
                <w:rFonts w:ascii="Cambria" w:hAnsi="Cambria"/>
              </w:rPr>
            </w:pPr>
            <w:r>
              <w:rPr>
                <w:rFonts w:ascii="Cambria" w:hAnsi="Cambria"/>
                <w:color w:val="1C2839"/>
                <w:sz w:val="16"/>
              </w:rPr>
              <w:t>4</w:t>
            </w:r>
          </w:p>
        </w:tc>
        <w:tc>
          <w:tcPr>
            <w:tcW w:w="6026" w:type="dxa"/>
            <w:shd w:val="clear" w:color="auto" w:fill="F0F5F9"/>
            <w:vAlign w:val="center"/>
          </w:tcPr>
          <w:p w14:paraId="257BBBC6">
            <w:pPr>
              <w:spacing w:after="0" w:line="240" w:lineRule="auto"/>
              <w:ind w:firstLine="0"/>
              <w:jc w:val="left"/>
              <w:rPr>
                <w:rFonts w:ascii="Cambria" w:hAnsi="Cambria"/>
                <w:lang w:val="ru-RU"/>
              </w:rPr>
            </w:pPr>
            <w:r>
              <w:rPr>
                <w:rFonts w:ascii="Cambria" w:hAnsi="Cambria"/>
                <w:color w:val="1C2839"/>
                <w:sz w:val="16"/>
                <w:lang w:val="ru-RU"/>
              </w:rPr>
              <w:t>Тұрғын үй құрылысына арналған ТББ; 45 мың м³</w:t>
            </w:r>
          </w:p>
        </w:tc>
        <w:tc>
          <w:tcPr>
            <w:tcW w:w="1276" w:type="dxa"/>
            <w:shd w:val="clear" w:color="auto" w:fill="F0F5F9"/>
            <w:vAlign w:val="center"/>
          </w:tcPr>
          <w:p w14:paraId="16DF65C9">
            <w:pPr>
              <w:spacing w:after="0" w:line="240" w:lineRule="auto"/>
              <w:ind w:firstLine="0"/>
              <w:jc w:val="center"/>
              <w:rPr>
                <w:rFonts w:ascii="Cambria" w:hAnsi="Cambria"/>
              </w:rPr>
            </w:pPr>
            <w:r>
              <w:rPr>
                <w:rFonts w:ascii="Cambria" w:hAnsi="Cambria"/>
                <w:color w:val="1C2839"/>
                <w:sz w:val="16"/>
              </w:rPr>
              <w:t>110</w:t>
            </w:r>
          </w:p>
        </w:tc>
        <w:tc>
          <w:tcPr>
            <w:tcW w:w="1639" w:type="dxa"/>
            <w:shd w:val="clear" w:color="auto" w:fill="F0F5F9"/>
            <w:vAlign w:val="center"/>
          </w:tcPr>
          <w:p w14:paraId="1350951B">
            <w:pPr>
              <w:spacing w:after="0" w:line="240" w:lineRule="auto"/>
              <w:ind w:firstLine="0"/>
              <w:jc w:val="center"/>
              <w:rPr>
                <w:rFonts w:ascii="Cambria" w:hAnsi="Cambria"/>
              </w:rPr>
            </w:pPr>
            <w:r>
              <w:rPr>
                <w:rFonts w:ascii="Cambria" w:hAnsi="Cambria"/>
                <w:color w:val="1C2839"/>
                <w:sz w:val="16"/>
              </w:rPr>
              <w:t>9,00</w:t>
            </w:r>
          </w:p>
        </w:tc>
      </w:tr>
      <w:tr w14:paraId="7A94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4284C2E5">
            <w:pPr>
              <w:spacing w:after="0" w:line="240" w:lineRule="auto"/>
              <w:ind w:firstLine="0"/>
              <w:jc w:val="left"/>
              <w:rPr>
                <w:rFonts w:ascii="Cambria" w:hAnsi="Cambria"/>
              </w:rPr>
            </w:pPr>
            <w:r>
              <w:rPr>
                <w:rFonts w:ascii="Cambria" w:hAnsi="Cambria"/>
                <w:color w:val="1C2839"/>
                <w:sz w:val="16"/>
              </w:rPr>
              <w:t>5</w:t>
            </w:r>
          </w:p>
        </w:tc>
        <w:tc>
          <w:tcPr>
            <w:tcW w:w="6026" w:type="dxa"/>
            <w:vAlign w:val="center"/>
          </w:tcPr>
          <w:p w14:paraId="7A35A4BA">
            <w:pPr>
              <w:spacing w:after="0" w:line="240" w:lineRule="auto"/>
              <w:ind w:firstLine="0"/>
              <w:jc w:val="left"/>
              <w:rPr>
                <w:rFonts w:ascii="Cambria" w:hAnsi="Cambria"/>
                <w:lang w:val="ru-RU"/>
              </w:rPr>
            </w:pPr>
            <w:r>
              <w:rPr>
                <w:rFonts w:ascii="Cambria" w:hAnsi="Cambria"/>
                <w:color w:val="1C2839"/>
                <w:sz w:val="16"/>
                <w:lang w:val="ru-RU"/>
              </w:rPr>
              <w:t>Құрғақ құрылыс қоспалары; 100 мың т</w:t>
            </w:r>
          </w:p>
        </w:tc>
        <w:tc>
          <w:tcPr>
            <w:tcW w:w="1276" w:type="dxa"/>
            <w:vAlign w:val="center"/>
          </w:tcPr>
          <w:p w14:paraId="76FD7618">
            <w:pPr>
              <w:spacing w:after="0" w:line="240" w:lineRule="auto"/>
              <w:ind w:firstLine="0"/>
              <w:jc w:val="center"/>
              <w:rPr>
                <w:rFonts w:ascii="Cambria" w:hAnsi="Cambria"/>
              </w:rPr>
            </w:pPr>
            <w:r>
              <w:rPr>
                <w:rFonts w:ascii="Cambria" w:hAnsi="Cambria"/>
                <w:color w:val="1C2839"/>
                <w:sz w:val="16"/>
              </w:rPr>
              <w:t>55</w:t>
            </w:r>
          </w:p>
        </w:tc>
        <w:tc>
          <w:tcPr>
            <w:tcW w:w="1639" w:type="dxa"/>
            <w:vAlign w:val="center"/>
          </w:tcPr>
          <w:p w14:paraId="74A860BD">
            <w:pPr>
              <w:spacing w:after="0" w:line="240" w:lineRule="auto"/>
              <w:ind w:firstLine="0"/>
              <w:jc w:val="center"/>
              <w:rPr>
                <w:rFonts w:ascii="Cambria" w:hAnsi="Cambria"/>
              </w:rPr>
            </w:pPr>
            <w:r>
              <w:rPr>
                <w:rFonts w:ascii="Cambria" w:hAnsi="Cambria"/>
                <w:color w:val="1C2839"/>
                <w:sz w:val="16"/>
              </w:rPr>
              <w:t>7,00</w:t>
            </w:r>
          </w:p>
        </w:tc>
      </w:tr>
      <w:tr w14:paraId="4BDD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2292987B">
            <w:pPr>
              <w:spacing w:after="0" w:line="240" w:lineRule="auto"/>
              <w:ind w:firstLine="0"/>
              <w:jc w:val="left"/>
              <w:rPr>
                <w:rFonts w:ascii="Cambria" w:hAnsi="Cambria"/>
              </w:rPr>
            </w:pPr>
            <w:r>
              <w:rPr>
                <w:rFonts w:ascii="Cambria" w:hAnsi="Cambria"/>
                <w:color w:val="1C2839"/>
                <w:sz w:val="16"/>
              </w:rPr>
              <w:t>6</w:t>
            </w:r>
          </w:p>
        </w:tc>
        <w:tc>
          <w:tcPr>
            <w:tcW w:w="6026" w:type="dxa"/>
            <w:shd w:val="clear" w:color="auto" w:fill="F0F5F9"/>
            <w:vAlign w:val="center"/>
          </w:tcPr>
          <w:p w14:paraId="6CF07C06">
            <w:pPr>
              <w:spacing w:after="0" w:line="240" w:lineRule="auto"/>
              <w:ind w:firstLine="0"/>
              <w:jc w:val="left"/>
              <w:rPr>
                <w:rFonts w:ascii="Cambria" w:hAnsi="Cambria"/>
              </w:rPr>
            </w:pPr>
            <w:r>
              <w:rPr>
                <w:rFonts w:ascii="Cambria" w:hAnsi="Cambria"/>
                <w:color w:val="1C2839"/>
                <w:sz w:val="16"/>
              </w:rPr>
              <w:t>Фиброцемент панельдері; 2 млн м²</w:t>
            </w:r>
          </w:p>
        </w:tc>
        <w:tc>
          <w:tcPr>
            <w:tcW w:w="1276" w:type="dxa"/>
            <w:shd w:val="clear" w:color="auto" w:fill="F0F5F9"/>
            <w:vAlign w:val="center"/>
          </w:tcPr>
          <w:p w14:paraId="60D2EE1C">
            <w:pPr>
              <w:spacing w:after="0" w:line="240" w:lineRule="auto"/>
              <w:ind w:firstLine="0"/>
              <w:jc w:val="center"/>
              <w:rPr>
                <w:rFonts w:ascii="Cambria" w:hAnsi="Cambria"/>
              </w:rPr>
            </w:pPr>
            <w:r>
              <w:rPr>
                <w:rFonts w:ascii="Cambria" w:hAnsi="Cambria"/>
                <w:color w:val="1C2839"/>
                <w:sz w:val="16"/>
              </w:rPr>
              <w:t>120</w:t>
            </w:r>
          </w:p>
        </w:tc>
        <w:tc>
          <w:tcPr>
            <w:tcW w:w="1639" w:type="dxa"/>
            <w:shd w:val="clear" w:color="auto" w:fill="F0F5F9"/>
            <w:vAlign w:val="center"/>
          </w:tcPr>
          <w:p w14:paraId="170592CC">
            <w:pPr>
              <w:spacing w:after="0" w:line="240" w:lineRule="auto"/>
              <w:ind w:firstLine="0"/>
              <w:jc w:val="center"/>
              <w:rPr>
                <w:rFonts w:ascii="Cambria" w:hAnsi="Cambria"/>
              </w:rPr>
            </w:pPr>
            <w:r>
              <w:rPr>
                <w:rFonts w:ascii="Cambria" w:hAnsi="Cambria"/>
                <w:color w:val="1C2839"/>
                <w:sz w:val="16"/>
              </w:rPr>
              <w:t>7,00</w:t>
            </w:r>
          </w:p>
        </w:tc>
      </w:tr>
      <w:tr w14:paraId="06B6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06FD7FBE">
            <w:pPr>
              <w:spacing w:after="0" w:line="240" w:lineRule="auto"/>
              <w:ind w:firstLine="0"/>
              <w:jc w:val="left"/>
              <w:rPr>
                <w:rFonts w:ascii="Cambria" w:hAnsi="Cambria"/>
              </w:rPr>
            </w:pPr>
            <w:r>
              <w:rPr>
                <w:rFonts w:ascii="Cambria" w:hAnsi="Cambria"/>
                <w:color w:val="1C2839"/>
                <w:sz w:val="16"/>
              </w:rPr>
              <w:t>7</w:t>
            </w:r>
          </w:p>
        </w:tc>
        <w:tc>
          <w:tcPr>
            <w:tcW w:w="6026" w:type="dxa"/>
            <w:vAlign w:val="center"/>
          </w:tcPr>
          <w:p w14:paraId="461A4B14">
            <w:pPr>
              <w:spacing w:after="0" w:line="240" w:lineRule="auto"/>
              <w:ind w:firstLine="0"/>
              <w:jc w:val="left"/>
              <w:rPr>
                <w:rFonts w:ascii="Cambria" w:hAnsi="Cambria"/>
                <w:lang w:val="ru-RU"/>
              </w:rPr>
            </w:pPr>
            <w:r>
              <w:rPr>
                <w:rFonts w:ascii="Cambria" w:hAnsi="Cambria"/>
                <w:color w:val="1C2839"/>
                <w:sz w:val="16"/>
                <w:lang w:val="ru-RU"/>
              </w:rPr>
              <w:t>Абаттандыруға арналған бетон бұйымдары; 400 мың м²</w:t>
            </w:r>
          </w:p>
        </w:tc>
        <w:tc>
          <w:tcPr>
            <w:tcW w:w="1276" w:type="dxa"/>
            <w:vAlign w:val="center"/>
          </w:tcPr>
          <w:p w14:paraId="79BF1ACD">
            <w:pPr>
              <w:spacing w:after="0" w:line="240" w:lineRule="auto"/>
              <w:ind w:firstLine="0"/>
              <w:jc w:val="center"/>
              <w:rPr>
                <w:rFonts w:ascii="Cambria" w:hAnsi="Cambria"/>
              </w:rPr>
            </w:pPr>
            <w:r>
              <w:rPr>
                <w:rFonts w:ascii="Cambria" w:hAnsi="Cambria"/>
                <w:color w:val="1C2839"/>
                <w:sz w:val="16"/>
              </w:rPr>
              <w:t>60</w:t>
            </w:r>
          </w:p>
        </w:tc>
        <w:tc>
          <w:tcPr>
            <w:tcW w:w="1639" w:type="dxa"/>
            <w:vAlign w:val="center"/>
          </w:tcPr>
          <w:p w14:paraId="337410D3">
            <w:pPr>
              <w:spacing w:after="0" w:line="240" w:lineRule="auto"/>
              <w:ind w:firstLine="0"/>
              <w:jc w:val="center"/>
              <w:rPr>
                <w:rFonts w:ascii="Cambria" w:hAnsi="Cambria"/>
              </w:rPr>
            </w:pPr>
            <w:r>
              <w:rPr>
                <w:rFonts w:ascii="Cambria" w:hAnsi="Cambria"/>
                <w:color w:val="1C2839"/>
                <w:sz w:val="16"/>
              </w:rPr>
              <w:t>2,00</w:t>
            </w:r>
          </w:p>
        </w:tc>
      </w:tr>
      <w:tr w14:paraId="4E8E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DBE8F2"/>
            <w:vAlign w:val="center"/>
          </w:tcPr>
          <w:p w14:paraId="1ABFD32C">
            <w:pPr>
              <w:spacing w:after="0" w:line="240" w:lineRule="auto"/>
              <w:ind w:firstLine="0"/>
              <w:jc w:val="left"/>
              <w:rPr>
                <w:rFonts w:ascii="Cambria" w:hAnsi="Cambria"/>
                <w:sz w:val="16"/>
                <w:szCs w:val="16"/>
              </w:rPr>
            </w:pPr>
          </w:p>
        </w:tc>
        <w:tc>
          <w:tcPr>
            <w:tcW w:w="6026" w:type="dxa"/>
            <w:shd w:val="clear" w:color="auto" w:fill="DBE8F2"/>
            <w:vAlign w:val="center"/>
          </w:tcPr>
          <w:p w14:paraId="4C14F6CE">
            <w:pPr>
              <w:spacing w:after="0" w:line="240" w:lineRule="auto"/>
              <w:ind w:firstLine="0"/>
              <w:jc w:val="left"/>
              <w:rPr>
                <w:rFonts w:ascii="Cambria" w:hAnsi="Cambria"/>
                <w:sz w:val="16"/>
                <w:szCs w:val="16"/>
              </w:rPr>
            </w:pPr>
            <w:r>
              <w:rPr>
                <w:rFonts w:ascii="Cambria" w:hAnsi="Cambria"/>
                <w:b/>
                <w:color w:val="1C2839"/>
                <w:sz w:val="16"/>
                <w:szCs w:val="16"/>
              </w:rPr>
              <w:t>Жиыны</w:t>
            </w:r>
          </w:p>
        </w:tc>
        <w:tc>
          <w:tcPr>
            <w:tcW w:w="1276" w:type="dxa"/>
            <w:shd w:val="clear" w:color="auto" w:fill="DBE8F2"/>
            <w:vAlign w:val="center"/>
          </w:tcPr>
          <w:p w14:paraId="5B4D2309">
            <w:pPr>
              <w:spacing w:after="0" w:line="240" w:lineRule="auto"/>
              <w:ind w:firstLine="0"/>
              <w:jc w:val="center"/>
              <w:rPr>
                <w:rFonts w:ascii="Cambria" w:hAnsi="Cambria"/>
                <w:sz w:val="16"/>
                <w:szCs w:val="16"/>
              </w:rPr>
            </w:pPr>
            <w:r>
              <w:rPr>
                <w:rFonts w:ascii="Cambria" w:hAnsi="Cambria"/>
                <w:b/>
                <w:color w:val="1C2839"/>
                <w:sz w:val="16"/>
                <w:szCs w:val="16"/>
              </w:rPr>
              <w:t>605</w:t>
            </w:r>
          </w:p>
        </w:tc>
        <w:tc>
          <w:tcPr>
            <w:tcW w:w="1639" w:type="dxa"/>
            <w:shd w:val="clear" w:color="auto" w:fill="DBE8F2"/>
            <w:vAlign w:val="center"/>
          </w:tcPr>
          <w:p w14:paraId="3946072E">
            <w:pPr>
              <w:spacing w:after="0" w:line="240" w:lineRule="auto"/>
              <w:ind w:firstLine="0"/>
              <w:jc w:val="center"/>
              <w:rPr>
                <w:rFonts w:ascii="Cambria" w:hAnsi="Cambria"/>
                <w:sz w:val="16"/>
                <w:szCs w:val="16"/>
              </w:rPr>
            </w:pPr>
            <w:r>
              <w:rPr>
                <w:rFonts w:ascii="Cambria" w:hAnsi="Cambria"/>
                <w:b/>
                <w:color w:val="1C2839"/>
                <w:sz w:val="16"/>
                <w:szCs w:val="16"/>
              </w:rPr>
              <w:t>41,05</w:t>
            </w:r>
          </w:p>
        </w:tc>
      </w:tr>
    </w:tbl>
    <w:p w14:paraId="452C866F">
      <w:pPr>
        <w:spacing w:line="240" w:lineRule="auto"/>
        <w:rPr>
          <w:rFonts w:ascii="Cambria" w:hAnsi="Cambria"/>
          <w:lang w:val="ru-RU"/>
        </w:rPr>
      </w:pPr>
      <w:r>
        <w:rPr>
          <w:rFonts w:ascii="Cambria" w:hAnsi="Cambria"/>
          <w:lang w:val="ru-RU"/>
        </w:rPr>
        <w:t>Кестеде өндіріс көлемінің жиынтық ақшалай мәні жоспарланған өнімнің барлығы өткізілген жағдайда алынатын ықтимал жылдық түсімге тең деп қабылданған.</w:t>
      </w:r>
    </w:p>
    <w:p w14:paraId="582E3CD2">
      <w:pPr>
        <w:pStyle w:val="3"/>
        <w:spacing w:line="240" w:lineRule="auto"/>
        <w:rPr>
          <w:rFonts w:ascii="Cambria" w:hAnsi="Cambria"/>
          <w:lang w:val="ru-RU"/>
        </w:rPr>
      </w:pPr>
      <w:bookmarkStart w:id="41" w:name="__RefHeading___Toc9564_2617525462"/>
      <w:bookmarkEnd w:id="41"/>
      <w:r>
        <w:rPr>
          <w:rFonts w:ascii="Cambria" w:hAnsi="Cambria"/>
          <w:lang w:val="ru-RU"/>
        </w:rPr>
        <w:t>8.6. Шығындар тиімділігін және қосымша экономикалық әсерлерді талдау</w:t>
      </w:r>
    </w:p>
    <w:p w14:paraId="00E01EBB">
      <w:pPr>
        <w:spacing w:line="240" w:lineRule="auto"/>
        <w:rPr>
          <w:rFonts w:ascii="Cambria" w:hAnsi="Cambria"/>
          <w:lang w:val="ru-RU"/>
        </w:rPr>
      </w:pPr>
      <w:r>
        <w:rPr>
          <w:rFonts w:ascii="Cambria" w:hAnsi="Cambria"/>
          <w:lang w:val="ru-RU"/>
        </w:rPr>
        <w:t>Шығындардың алдын ала тиімділігін инфрақұрылымға салынған инвестициялар көлемін, жеке инвестиция тарту әлеуетін және түпкілікті нәтижелер ауқымын өзара салыстыру арқылы қарастырған жөн.</w:t>
      </w:r>
    </w:p>
    <w:p w14:paraId="3107A8A0">
      <w:pPr>
        <w:pStyle w:val="75"/>
        <w:keepNext/>
        <w:spacing w:line="240" w:lineRule="auto"/>
        <w:rPr>
          <w:rFonts w:ascii="Cambria" w:hAnsi="Cambria"/>
          <w:lang w:val="ru-RU"/>
        </w:rPr>
      </w:pPr>
      <w:r>
        <w:rPr>
          <w:rFonts w:ascii="Cambria" w:hAnsi="Cambria"/>
          <w:lang w:val="ru-RU"/>
        </w:rPr>
        <w:t>8.9-кесте – Шығындар мен күтілетін нәтижелер арақатынасының есептік көрсеткіштері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3256"/>
        <w:gridCol w:w="1984"/>
        <w:gridCol w:w="4049"/>
      </w:tblGrid>
      <w:tr w14:paraId="00D0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3256" w:type="dxa"/>
            <w:shd w:val="clear" w:color="auto" w:fill="23486F"/>
            <w:vAlign w:val="center"/>
          </w:tcPr>
          <w:p w14:paraId="0DDCE0EA">
            <w:pPr>
              <w:spacing w:after="0" w:line="240" w:lineRule="auto"/>
              <w:ind w:firstLine="0"/>
              <w:jc w:val="center"/>
              <w:rPr>
                <w:rFonts w:ascii="Cambria" w:hAnsi="Cambria"/>
              </w:rPr>
            </w:pPr>
            <w:r>
              <w:rPr>
                <w:rFonts w:ascii="Cambria" w:hAnsi="Cambria"/>
                <w:b/>
                <w:color w:val="FFFFFF"/>
                <w:sz w:val="16"/>
              </w:rPr>
              <w:t>Көрсеткіш</w:t>
            </w:r>
          </w:p>
        </w:tc>
        <w:tc>
          <w:tcPr>
            <w:tcW w:w="1984" w:type="dxa"/>
            <w:shd w:val="clear" w:color="auto" w:fill="23486F"/>
            <w:vAlign w:val="center"/>
          </w:tcPr>
          <w:p w14:paraId="6DAD275E">
            <w:pPr>
              <w:spacing w:after="0" w:line="240" w:lineRule="auto"/>
              <w:ind w:firstLine="0"/>
              <w:jc w:val="center"/>
              <w:rPr>
                <w:rFonts w:ascii="Cambria" w:hAnsi="Cambria"/>
              </w:rPr>
            </w:pPr>
            <w:r>
              <w:rPr>
                <w:rFonts w:ascii="Cambria" w:hAnsi="Cambria"/>
                <w:b/>
                <w:color w:val="FFFFFF"/>
                <w:sz w:val="16"/>
              </w:rPr>
              <w:t>Есеп</w:t>
            </w:r>
          </w:p>
        </w:tc>
        <w:tc>
          <w:tcPr>
            <w:tcW w:w="4049" w:type="dxa"/>
            <w:shd w:val="clear" w:color="auto" w:fill="23486F"/>
            <w:vAlign w:val="center"/>
          </w:tcPr>
          <w:p w14:paraId="26CC25BE">
            <w:pPr>
              <w:spacing w:after="0" w:line="240" w:lineRule="auto"/>
              <w:ind w:firstLine="0"/>
              <w:jc w:val="center"/>
              <w:rPr>
                <w:rFonts w:ascii="Cambria" w:hAnsi="Cambria"/>
              </w:rPr>
            </w:pPr>
            <w:r>
              <w:rPr>
                <w:rFonts w:ascii="Cambria" w:hAnsi="Cambria"/>
                <w:b/>
                <w:color w:val="FFFFFF"/>
                <w:sz w:val="16"/>
              </w:rPr>
              <w:t>Мәні / түсіндірмесі</w:t>
            </w:r>
          </w:p>
        </w:tc>
      </w:tr>
      <w:tr w14:paraId="6214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vAlign w:val="center"/>
          </w:tcPr>
          <w:p w14:paraId="604231A2">
            <w:pPr>
              <w:spacing w:after="0" w:line="240" w:lineRule="auto"/>
              <w:ind w:firstLine="0"/>
              <w:jc w:val="left"/>
              <w:rPr>
                <w:rFonts w:ascii="Cambria" w:hAnsi="Cambria"/>
              </w:rPr>
            </w:pPr>
            <w:r>
              <w:rPr>
                <w:rFonts w:ascii="Cambria" w:hAnsi="Cambria"/>
                <w:color w:val="1C2839"/>
                <w:sz w:val="16"/>
              </w:rPr>
              <w:t>Аумақтың жалпы капитал сыйымдылығы</w:t>
            </w:r>
          </w:p>
        </w:tc>
        <w:tc>
          <w:tcPr>
            <w:tcW w:w="1984" w:type="dxa"/>
            <w:vAlign w:val="center"/>
          </w:tcPr>
          <w:p w14:paraId="6676FE79">
            <w:pPr>
              <w:spacing w:after="0" w:line="240" w:lineRule="auto"/>
              <w:ind w:firstLine="0"/>
              <w:jc w:val="center"/>
              <w:rPr>
                <w:rFonts w:ascii="Cambria" w:hAnsi="Cambria"/>
              </w:rPr>
            </w:pPr>
            <w:r>
              <w:rPr>
                <w:rFonts w:ascii="Cambria" w:hAnsi="Cambria"/>
                <w:color w:val="1C2839"/>
                <w:sz w:val="16"/>
                <w:lang w:val="ru-RU"/>
              </w:rPr>
              <w:t>50,7 млрд тг / 200 га</w:t>
            </w:r>
          </w:p>
        </w:tc>
        <w:tc>
          <w:tcPr>
            <w:tcW w:w="4049" w:type="dxa"/>
            <w:vAlign w:val="center"/>
          </w:tcPr>
          <w:p w14:paraId="7E0D5F77">
            <w:pPr>
              <w:spacing w:after="0" w:line="240" w:lineRule="auto"/>
              <w:ind w:firstLine="0"/>
              <w:jc w:val="left"/>
              <w:rPr>
                <w:rFonts w:ascii="Cambria" w:hAnsi="Cambria"/>
                <w:lang w:val="ru-RU"/>
              </w:rPr>
            </w:pPr>
            <w:r>
              <w:rPr>
                <w:rFonts w:ascii="Cambria" w:hAnsi="Cambria"/>
                <w:color w:val="1C2839"/>
                <w:sz w:val="16"/>
                <w:lang w:val="ru-RU"/>
              </w:rPr>
              <w:t>ИА аумағының 1 гектарына 254 млн теңге; жеке салымдар да енгізілген.</w:t>
            </w:r>
          </w:p>
        </w:tc>
      </w:tr>
      <w:tr w14:paraId="5563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shd w:val="clear" w:color="auto" w:fill="F0F5F9"/>
            <w:vAlign w:val="center"/>
          </w:tcPr>
          <w:p w14:paraId="3FF09EE6">
            <w:pPr>
              <w:spacing w:after="0" w:line="240" w:lineRule="auto"/>
              <w:ind w:firstLine="0"/>
              <w:jc w:val="left"/>
              <w:rPr>
                <w:rFonts w:ascii="Cambria" w:hAnsi="Cambria"/>
              </w:rPr>
            </w:pPr>
            <w:r>
              <w:rPr>
                <w:rFonts w:ascii="Cambria" w:hAnsi="Cambria"/>
                <w:color w:val="1C2839"/>
                <w:sz w:val="16"/>
              </w:rPr>
              <w:t>1 гектарға шаққандағы инфрақұрылым шығындары</w:t>
            </w:r>
          </w:p>
        </w:tc>
        <w:tc>
          <w:tcPr>
            <w:tcW w:w="1984" w:type="dxa"/>
            <w:shd w:val="clear" w:color="auto" w:fill="F0F5F9"/>
            <w:vAlign w:val="center"/>
          </w:tcPr>
          <w:p w14:paraId="0D0CB4A0">
            <w:pPr>
              <w:spacing w:after="0" w:line="240" w:lineRule="auto"/>
              <w:ind w:firstLine="0"/>
              <w:jc w:val="center"/>
              <w:rPr>
                <w:rFonts w:ascii="Cambria" w:hAnsi="Cambria"/>
              </w:rPr>
            </w:pPr>
            <w:r>
              <w:rPr>
                <w:rFonts w:ascii="Cambria" w:hAnsi="Cambria"/>
                <w:color w:val="1C2839"/>
                <w:sz w:val="16"/>
                <w:lang w:val="ru-RU"/>
              </w:rPr>
              <w:t>12,0 млрд тг / 200 га</w:t>
            </w:r>
          </w:p>
        </w:tc>
        <w:tc>
          <w:tcPr>
            <w:tcW w:w="4049" w:type="dxa"/>
            <w:shd w:val="clear" w:color="auto" w:fill="F0F5F9"/>
            <w:vAlign w:val="center"/>
          </w:tcPr>
          <w:p w14:paraId="3B7A1426">
            <w:pPr>
              <w:spacing w:after="0" w:line="240" w:lineRule="auto"/>
              <w:ind w:firstLine="0"/>
              <w:jc w:val="left"/>
              <w:rPr>
                <w:rFonts w:ascii="Cambria" w:hAnsi="Cambria"/>
                <w:lang w:val="ru-RU"/>
              </w:rPr>
            </w:pPr>
            <w:r>
              <w:rPr>
                <w:rFonts w:ascii="Cambria" w:hAnsi="Cambria"/>
                <w:color w:val="1C2839"/>
                <w:sz w:val="16"/>
                <w:lang w:val="ru-RU"/>
              </w:rPr>
              <w:t>ИА аумағының 1 гектарына 60 млн теңге.</w:t>
            </w:r>
          </w:p>
        </w:tc>
      </w:tr>
      <w:tr w14:paraId="4091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vAlign w:val="center"/>
          </w:tcPr>
          <w:p w14:paraId="70EB2111">
            <w:pPr>
              <w:spacing w:after="0" w:line="240" w:lineRule="auto"/>
              <w:ind w:firstLine="0"/>
              <w:jc w:val="left"/>
              <w:rPr>
                <w:rFonts w:ascii="Cambria" w:hAnsi="Cambria"/>
              </w:rPr>
            </w:pPr>
            <w:r>
              <w:rPr>
                <w:rFonts w:ascii="Cambria" w:hAnsi="Cambria"/>
                <w:color w:val="1C2839"/>
                <w:sz w:val="16"/>
              </w:rPr>
              <w:t>1 гектарға шаққандағы жеке инвестициялар</w:t>
            </w:r>
          </w:p>
        </w:tc>
        <w:tc>
          <w:tcPr>
            <w:tcW w:w="1984" w:type="dxa"/>
            <w:vAlign w:val="center"/>
          </w:tcPr>
          <w:p w14:paraId="07608A81">
            <w:pPr>
              <w:spacing w:after="0" w:line="240" w:lineRule="auto"/>
              <w:ind w:firstLine="0"/>
              <w:jc w:val="center"/>
              <w:rPr>
                <w:rFonts w:ascii="Cambria" w:hAnsi="Cambria"/>
              </w:rPr>
            </w:pPr>
            <w:r>
              <w:rPr>
                <w:rFonts w:ascii="Cambria" w:hAnsi="Cambria"/>
                <w:color w:val="1C2839"/>
                <w:sz w:val="16"/>
              </w:rPr>
              <w:t>38,7 млрд тг / 200 га</w:t>
            </w:r>
          </w:p>
        </w:tc>
        <w:tc>
          <w:tcPr>
            <w:tcW w:w="4049" w:type="dxa"/>
            <w:vAlign w:val="center"/>
          </w:tcPr>
          <w:p w14:paraId="1DAE3E1F">
            <w:pPr>
              <w:spacing w:after="0" w:line="240" w:lineRule="auto"/>
              <w:ind w:firstLine="0"/>
              <w:jc w:val="left"/>
              <w:rPr>
                <w:rFonts w:ascii="Cambria" w:hAnsi="Cambria"/>
                <w:lang w:val="ru-RU"/>
              </w:rPr>
            </w:pPr>
            <w:r>
              <w:rPr>
                <w:rFonts w:ascii="Cambria" w:hAnsi="Cambria"/>
                <w:color w:val="1C2839"/>
                <w:sz w:val="16"/>
                <w:lang w:val="ru-RU"/>
              </w:rPr>
              <w:t>ИА аумағының 1 гектарына 194 млн теңге.</w:t>
            </w:r>
          </w:p>
        </w:tc>
      </w:tr>
      <w:tr w14:paraId="464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shd w:val="clear" w:color="auto" w:fill="F0F5F9"/>
            <w:vAlign w:val="center"/>
          </w:tcPr>
          <w:p w14:paraId="3B5C3951">
            <w:pPr>
              <w:spacing w:after="0" w:line="240" w:lineRule="auto"/>
              <w:ind w:firstLine="0"/>
              <w:jc w:val="left"/>
              <w:rPr>
                <w:rFonts w:ascii="Cambria" w:hAnsi="Cambria"/>
                <w:lang w:val="ru-RU"/>
              </w:rPr>
            </w:pPr>
            <w:r>
              <w:rPr>
                <w:rFonts w:ascii="Cambria" w:hAnsi="Cambria"/>
                <w:color w:val="1C2839"/>
                <w:sz w:val="16"/>
                <w:lang w:val="ru-RU"/>
              </w:rPr>
              <w:t>Жеке салымдардың инфрақұрылымға қатынасы</w:t>
            </w:r>
          </w:p>
        </w:tc>
        <w:tc>
          <w:tcPr>
            <w:tcW w:w="1984" w:type="dxa"/>
            <w:shd w:val="clear" w:color="auto" w:fill="F0F5F9"/>
            <w:vAlign w:val="center"/>
          </w:tcPr>
          <w:p w14:paraId="5C0FBCD4">
            <w:pPr>
              <w:spacing w:after="0" w:line="240" w:lineRule="auto"/>
              <w:ind w:firstLine="0"/>
              <w:jc w:val="center"/>
              <w:rPr>
                <w:rFonts w:ascii="Cambria" w:hAnsi="Cambria"/>
              </w:rPr>
            </w:pPr>
            <w:r>
              <w:rPr>
                <w:rFonts w:ascii="Cambria" w:hAnsi="Cambria"/>
                <w:color w:val="1C2839"/>
                <w:sz w:val="16"/>
              </w:rPr>
              <w:t>38,7 млрд тг / 12,0 млрд тг</w:t>
            </w:r>
          </w:p>
        </w:tc>
        <w:tc>
          <w:tcPr>
            <w:tcW w:w="4049" w:type="dxa"/>
            <w:shd w:val="clear" w:color="auto" w:fill="F0F5F9"/>
            <w:vAlign w:val="center"/>
          </w:tcPr>
          <w:p w14:paraId="62CBFA23">
            <w:pPr>
              <w:spacing w:after="0" w:line="240" w:lineRule="auto"/>
              <w:ind w:firstLine="0"/>
              <w:jc w:val="left"/>
              <w:rPr>
                <w:rFonts w:ascii="Cambria" w:hAnsi="Cambria"/>
                <w:lang w:val="ru-RU"/>
              </w:rPr>
            </w:pPr>
            <w:r>
              <w:rPr>
                <w:rFonts w:ascii="Cambria" w:hAnsi="Cambria"/>
                <w:color w:val="1C2839"/>
                <w:sz w:val="16"/>
                <w:lang w:val="ru-RU"/>
              </w:rPr>
              <w:t>Инфрақұрылымның әрбір 1 теңгесіне резиденттердің шамамен 3,2 теңге ықтимал инвестициясы.</w:t>
            </w:r>
          </w:p>
        </w:tc>
      </w:tr>
      <w:tr w14:paraId="01F4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vAlign w:val="center"/>
          </w:tcPr>
          <w:p w14:paraId="54D50384">
            <w:pPr>
              <w:spacing w:after="0" w:line="240" w:lineRule="auto"/>
              <w:ind w:firstLine="0"/>
              <w:jc w:val="left"/>
              <w:rPr>
                <w:rFonts w:ascii="Cambria" w:hAnsi="Cambria"/>
                <w:lang w:val="ru-RU"/>
              </w:rPr>
            </w:pPr>
            <w:r>
              <w:rPr>
                <w:rFonts w:ascii="Cambria" w:hAnsi="Cambria"/>
                <w:color w:val="1C2839"/>
                <w:sz w:val="16"/>
                <w:lang w:val="ru-RU"/>
              </w:rPr>
              <w:t>Бір жұмыс орнына шаққандағы инфрақұрылым шығындары</w:t>
            </w:r>
          </w:p>
        </w:tc>
        <w:tc>
          <w:tcPr>
            <w:tcW w:w="1984" w:type="dxa"/>
            <w:vAlign w:val="center"/>
          </w:tcPr>
          <w:p w14:paraId="0AF4D33F">
            <w:pPr>
              <w:spacing w:after="0" w:line="240" w:lineRule="auto"/>
              <w:ind w:firstLine="0"/>
              <w:jc w:val="center"/>
              <w:rPr>
                <w:rFonts w:ascii="Cambria" w:hAnsi="Cambria"/>
              </w:rPr>
            </w:pPr>
            <w:r>
              <w:rPr>
                <w:rFonts w:ascii="Cambria" w:hAnsi="Cambria"/>
                <w:color w:val="1C2839"/>
                <w:sz w:val="16"/>
                <w:lang w:val="ru-RU"/>
              </w:rPr>
              <w:t>12,0 млрд тг / 605</w:t>
            </w:r>
          </w:p>
        </w:tc>
        <w:tc>
          <w:tcPr>
            <w:tcW w:w="4049" w:type="dxa"/>
            <w:vAlign w:val="center"/>
          </w:tcPr>
          <w:p w14:paraId="6D58C7C3">
            <w:pPr>
              <w:spacing w:after="0" w:line="240" w:lineRule="auto"/>
              <w:ind w:firstLine="0"/>
              <w:jc w:val="left"/>
              <w:rPr>
                <w:rFonts w:ascii="Cambria" w:hAnsi="Cambria"/>
                <w:lang w:val="ru-RU"/>
              </w:rPr>
            </w:pPr>
            <w:r>
              <w:rPr>
                <w:rFonts w:ascii="Cambria" w:hAnsi="Cambria"/>
                <w:color w:val="1C2839"/>
                <w:sz w:val="16"/>
                <w:lang w:val="ru-RU"/>
              </w:rPr>
              <w:t>Бір тұрақты жұмыс орнына шамамен 19,9 млн теңге.</w:t>
            </w:r>
          </w:p>
        </w:tc>
      </w:tr>
      <w:tr w14:paraId="1AFD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3256" w:type="dxa"/>
            <w:shd w:val="clear" w:color="auto" w:fill="F0F5F9"/>
            <w:vAlign w:val="center"/>
          </w:tcPr>
          <w:p w14:paraId="1CDF074B">
            <w:pPr>
              <w:spacing w:after="0" w:line="240" w:lineRule="auto"/>
              <w:ind w:firstLine="0"/>
              <w:jc w:val="left"/>
              <w:rPr>
                <w:rFonts w:ascii="Cambria" w:hAnsi="Cambria"/>
                <w:lang w:val="ru-RU"/>
              </w:rPr>
            </w:pPr>
            <w:r>
              <w:rPr>
                <w:rFonts w:ascii="Cambria" w:hAnsi="Cambria"/>
                <w:color w:val="1C2839"/>
                <w:sz w:val="16"/>
                <w:lang w:val="ru-RU"/>
              </w:rPr>
              <w:t>Бір жұмыс орнына шаққандағы жалпы инвестициялар</w:t>
            </w:r>
          </w:p>
        </w:tc>
        <w:tc>
          <w:tcPr>
            <w:tcW w:w="1984" w:type="dxa"/>
            <w:shd w:val="clear" w:color="auto" w:fill="F0F5F9"/>
            <w:vAlign w:val="center"/>
          </w:tcPr>
          <w:p w14:paraId="3327926E">
            <w:pPr>
              <w:spacing w:after="0" w:line="240" w:lineRule="auto"/>
              <w:ind w:firstLine="0"/>
              <w:jc w:val="center"/>
              <w:rPr>
                <w:rFonts w:ascii="Cambria" w:hAnsi="Cambria"/>
              </w:rPr>
            </w:pPr>
            <w:r>
              <w:rPr>
                <w:rFonts w:ascii="Cambria" w:hAnsi="Cambria"/>
                <w:color w:val="1C2839"/>
                <w:sz w:val="16"/>
                <w:lang w:val="ru-RU"/>
              </w:rPr>
              <w:t>50,7 млрд тг / 605</w:t>
            </w:r>
          </w:p>
        </w:tc>
        <w:tc>
          <w:tcPr>
            <w:tcW w:w="4049" w:type="dxa"/>
            <w:shd w:val="clear" w:color="auto" w:fill="F0F5F9"/>
            <w:vAlign w:val="center"/>
          </w:tcPr>
          <w:p w14:paraId="102949B3">
            <w:pPr>
              <w:spacing w:after="0" w:line="240" w:lineRule="auto"/>
              <w:ind w:firstLine="0"/>
              <w:jc w:val="left"/>
              <w:rPr>
                <w:rFonts w:ascii="Cambria" w:hAnsi="Cambria"/>
                <w:lang w:val="ru-RU"/>
              </w:rPr>
            </w:pPr>
            <w:r>
              <w:rPr>
                <w:rFonts w:ascii="Cambria" w:hAnsi="Cambria"/>
                <w:color w:val="1C2839"/>
                <w:sz w:val="16"/>
                <w:lang w:val="ru-RU"/>
              </w:rPr>
              <w:t>Бір тұрақты жұмыс орнына шамамен 83,8 млн теңге.</w:t>
            </w:r>
          </w:p>
        </w:tc>
      </w:tr>
    </w:tbl>
    <w:p w14:paraId="3EDAD6CA">
      <w:pPr>
        <w:spacing w:line="240" w:lineRule="auto"/>
        <w:rPr>
          <w:rFonts w:ascii="Cambria" w:hAnsi="Cambria"/>
          <w:lang w:val="ru-RU"/>
        </w:rPr>
      </w:pPr>
      <w:r>
        <w:rPr>
          <w:rFonts w:ascii="Cambria" w:hAnsi="Cambria"/>
          <w:lang w:val="ru-RU"/>
        </w:rPr>
        <w:t>Келтірілген үлестік көрсеткіштер жобалық сомалар мен ауқым сипаттамаларының арақатынасын білдіреді. Өндірістік қуаттар толық пайдаланылғанда жылдық түсім 41,05 млрд теңге, ал резиденттердің пайдалану шығындары 33,65 млрд теңге болады деп күтіледі. Олардың шартты айырмасы жылына 7,40 млрд теңгені немесе түсімнің шамамен 18,0%-ын құрайды; оған амортизация, қаржыландыру шығындары мен пайда салығы енгізілмеген. Басқарушы компанияның әкімшілік-пайдалану шығындары жылына 180 млн теңге деп бөлек бағаланады: олар резиденттердің жиынтық OPEX көрсеткішіне қайта енгізілмейді және оларды жабу көздері айқындалуға тиіс.</w:t>
      </w:r>
    </w:p>
    <w:p w14:paraId="6C6ED248">
      <w:pPr>
        <w:pStyle w:val="75"/>
        <w:keepNext/>
        <w:spacing w:line="240" w:lineRule="auto"/>
        <w:rPr>
          <w:rFonts w:ascii="Cambria" w:hAnsi="Cambria"/>
          <w:lang w:val="ru-RU"/>
        </w:rPr>
      </w:pPr>
      <w:r>
        <w:rPr>
          <w:rFonts w:ascii="Cambria" w:hAnsi="Cambria"/>
          <w:lang w:val="ru-RU"/>
        </w:rPr>
        <w:t>8.10-кесте – Қуаттарды пайдалану деңгейіне қарай нәтижелердің өзгеруі</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1082"/>
        <w:gridCol w:w="2336"/>
        <w:gridCol w:w="3792"/>
        <w:gridCol w:w="2279"/>
      </w:tblGrid>
      <w:tr w14:paraId="2426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570" w:type="pct"/>
            <w:shd w:val="clear" w:color="auto" w:fill="23486F"/>
            <w:vAlign w:val="center"/>
          </w:tcPr>
          <w:p w14:paraId="7285F842">
            <w:pPr>
              <w:spacing w:after="0" w:line="240" w:lineRule="auto"/>
              <w:ind w:firstLine="0"/>
              <w:jc w:val="left"/>
              <w:rPr>
                <w:rFonts w:ascii="Cambria" w:hAnsi="Cambria"/>
              </w:rPr>
            </w:pPr>
            <w:r>
              <w:rPr>
                <w:rFonts w:ascii="Cambria" w:hAnsi="Cambria"/>
                <w:b/>
                <w:color w:val="FFFFFF"/>
                <w:sz w:val="16"/>
              </w:rPr>
              <w:t>Жүктеме</w:t>
            </w:r>
          </w:p>
        </w:tc>
        <w:tc>
          <w:tcPr>
            <w:tcW w:w="1231" w:type="pct"/>
            <w:shd w:val="clear" w:color="auto" w:fill="23486F"/>
            <w:vAlign w:val="center"/>
          </w:tcPr>
          <w:p w14:paraId="1891EF98">
            <w:pPr>
              <w:spacing w:after="0" w:line="240" w:lineRule="auto"/>
              <w:ind w:firstLine="0"/>
              <w:jc w:val="left"/>
              <w:rPr>
                <w:rFonts w:ascii="Cambria" w:hAnsi="Cambria"/>
              </w:rPr>
            </w:pPr>
            <w:r>
              <w:rPr>
                <w:rFonts w:ascii="Cambria" w:hAnsi="Cambria"/>
                <w:b/>
                <w:color w:val="FFFFFF"/>
                <w:sz w:val="16"/>
              </w:rPr>
              <w:t>Түсім, млрд тг/жыл</w:t>
            </w:r>
          </w:p>
        </w:tc>
        <w:tc>
          <w:tcPr>
            <w:tcW w:w="1998" w:type="pct"/>
            <w:shd w:val="clear" w:color="auto" w:fill="23486F"/>
            <w:vAlign w:val="center"/>
          </w:tcPr>
          <w:p w14:paraId="31A15830">
            <w:pPr>
              <w:spacing w:after="0" w:line="240" w:lineRule="auto"/>
              <w:ind w:firstLine="0"/>
              <w:jc w:val="left"/>
              <w:rPr>
                <w:rFonts w:ascii="Cambria" w:hAnsi="Cambria"/>
                <w:lang w:val="ru-RU"/>
              </w:rPr>
            </w:pPr>
            <w:r>
              <w:rPr>
                <w:rFonts w:ascii="Cambria" w:hAnsi="Cambria"/>
                <w:b/>
                <w:color w:val="FFFFFF"/>
                <w:sz w:val="16"/>
                <w:lang w:val="ru-RU"/>
              </w:rPr>
              <w:t>Операциялық шығындар, млрд тг/жыл</w:t>
            </w:r>
          </w:p>
        </w:tc>
        <w:tc>
          <w:tcPr>
            <w:tcW w:w="1202" w:type="pct"/>
            <w:shd w:val="clear" w:color="auto" w:fill="23486F"/>
            <w:vAlign w:val="center"/>
          </w:tcPr>
          <w:p w14:paraId="15C0E53C">
            <w:pPr>
              <w:spacing w:after="0" w:line="240" w:lineRule="auto"/>
              <w:ind w:firstLine="0"/>
              <w:jc w:val="left"/>
              <w:rPr>
                <w:rFonts w:ascii="Cambria" w:hAnsi="Cambria"/>
              </w:rPr>
            </w:pPr>
            <w:r>
              <w:rPr>
                <w:rFonts w:ascii="Cambria" w:hAnsi="Cambria"/>
                <w:b/>
                <w:color w:val="FFFFFF"/>
                <w:sz w:val="16"/>
              </w:rPr>
              <w:t>Айырма, млрд тг/жыл</w:t>
            </w:r>
          </w:p>
        </w:tc>
      </w:tr>
      <w:tr w14:paraId="1E2A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570" w:type="pct"/>
            <w:vAlign w:val="center"/>
          </w:tcPr>
          <w:p w14:paraId="0278AC78">
            <w:pPr>
              <w:spacing w:after="0" w:line="240" w:lineRule="auto"/>
              <w:ind w:firstLine="0"/>
              <w:jc w:val="center"/>
              <w:rPr>
                <w:rFonts w:ascii="Cambria" w:hAnsi="Cambria"/>
              </w:rPr>
            </w:pPr>
            <w:r>
              <w:rPr>
                <w:rFonts w:ascii="Cambria" w:hAnsi="Cambria"/>
                <w:color w:val="1C2839"/>
                <w:sz w:val="16"/>
              </w:rPr>
              <w:t>70%</w:t>
            </w:r>
          </w:p>
        </w:tc>
        <w:tc>
          <w:tcPr>
            <w:tcW w:w="1231" w:type="pct"/>
            <w:vAlign w:val="center"/>
          </w:tcPr>
          <w:p w14:paraId="6A7D22AD">
            <w:pPr>
              <w:spacing w:after="0" w:line="240" w:lineRule="auto"/>
              <w:ind w:firstLine="0"/>
              <w:jc w:val="center"/>
              <w:rPr>
                <w:rFonts w:ascii="Cambria" w:hAnsi="Cambria"/>
              </w:rPr>
            </w:pPr>
            <w:r>
              <w:rPr>
                <w:rFonts w:ascii="Cambria" w:hAnsi="Cambria"/>
                <w:color w:val="1C2839"/>
                <w:sz w:val="16"/>
              </w:rPr>
              <w:t>28,73</w:t>
            </w:r>
          </w:p>
        </w:tc>
        <w:tc>
          <w:tcPr>
            <w:tcW w:w="1998" w:type="pct"/>
            <w:vAlign w:val="center"/>
          </w:tcPr>
          <w:p w14:paraId="5DA831B2">
            <w:pPr>
              <w:spacing w:after="0" w:line="240" w:lineRule="auto"/>
              <w:ind w:firstLine="0"/>
              <w:jc w:val="center"/>
              <w:rPr>
                <w:rFonts w:ascii="Cambria" w:hAnsi="Cambria"/>
              </w:rPr>
            </w:pPr>
            <w:r>
              <w:rPr>
                <w:rFonts w:ascii="Cambria" w:hAnsi="Cambria"/>
                <w:color w:val="1C2839"/>
                <w:sz w:val="16"/>
              </w:rPr>
              <w:t>25,32</w:t>
            </w:r>
          </w:p>
        </w:tc>
        <w:tc>
          <w:tcPr>
            <w:tcW w:w="1202" w:type="pct"/>
            <w:vAlign w:val="center"/>
          </w:tcPr>
          <w:p w14:paraId="18876B42">
            <w:pPr>
              <w:spacing w:after="0" w:line="240" w:lineRule="auto"/>
              <w:ind w:firstLine="0"/>
              <w:jc w:val="center"/>
              <w:rPr>
                <w:rFonts w:ascii="Cambria" w:hAnsi="Cambria"/>
              </w:rPr>
            </w:pPr>
            <w:r>
              <w:rPr>
                <w:rFonts w:ascii="Cambria" w:hAnsi="Cambria"/>
                <w:color w:val="1C2839"/>
                <w:sz w:val="16"/>
              </w:rPr>
              <w:t>3,42</w:t>
            </w:r>
          </w:p>
        </w:tc>
      </w:tr>
      <w:tr w14:paraId="1B99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570" w:type="pct"/>
            <w:shd w:val="clear" w:color="auto" w:fill="F0F5F9"/>
            <w:vAlign w:val="center"/>
          </w:tcPr>
          <w:p w14:paraId="602B797F">
            <w:pPr>
              <w:spacing w:after="0" w:line="240" w:lineRule="auto"/>
              <w:ind w:firstLine="0"/>
              <w:jc w:val="center"/>
              <w:rPr>
                <w:rFonts w:ascii="Cambria" w:hAnsi="Cambria"/>
              </w:rPr>
            </w:pPr>
            <w:r>
              <w:rPr>
                <w:rFonts w:ascii="Cambria" w:hAnsi="Cambria"/>
                <w:color w:val="1C2839"/>
                <w:sz w:val="16"/>
              </w:rPr>
              <w:t>85%</w:t>
            </w:r>
          </w:p>
        </w:tc>
        <w:tc>
          <w:tcPr>
            <w:tcW w:w="1231" w:type="pct"/>
            <w:shd w:val="clear" w:color="auto" w:fill="F0F5F9"/>
            <w:vAlign w:val="center"/>
          </w:tcPr>
          <w:p w14:paraId="7EE0F565">
            <w:pPr>
              <w:spacing w:after="0" w:line="240" w:lineRule="auto"/>
              <w:ind w:firstLine="0"/>
              <w:jc w:val="center"/>
              <w:rPr>
                <w:rFonts w:ascii="Cambria" w:hAnsi="Cambria"/>
              </w:rPr>
            </w:pPr>
            <w:r>
              <w:rPr>
                <w:rFonts w:ascii="Cambria" w:hAnsi="Cambria"/>
                <w:color w:val="1C2839"/>
                <w:sz w:val="16"/>
              </w:rPr>
              <w:t>34,89</w:t>
            </w:r>
          </w:p>
        </w:tc>
        <w:tc>
          <w:tcPr>
            <w:tcW w:w="1998" w:type="pct"/>
            <w:shd w:val="clear" w:color="auto" w:fill="F0F5F9"/>
            <w:vAlign w:val="center"/>
          </w:tcPr>
          <w:p w14:paraId="173311FD">
            <w:pPr>
              <w:spacing w:after="0" w:line="240" w:lineRule="auto"/>
              <w:ind w:firstLine="0"/>
              <w:jc w:val="center"/>
              <w:rPr>
                <w:rFonts w:ascii="Cambria" w:hAnsi="Cambria"/>
              </w:rPr>
            </w:pPr>
            <w:r>
              <w:rPr>
                <w:rFonts w:ascii="Cambria" w:hAnsi="Cambria"/>
                <w:color w:val="1C2839"/>
                <w:sz w:val="16"/>
              </w:rPr>
              <w:t>29,48</w:t>
            </w:r>
          </w:p>
        </w:tc>
        <w:tc>
          <w:tcPr>
            <w:tcW w:w="1202" w:type="pct"/>
            <w:shd w:val="clear" w:color="auto" w:fill="F0F5F9"/>
            <w:vAlign w:val="center"/>
          </w:tcPr>
          <w:p w14:paraId="1D45D8C6">
            <w:pPr>
              <w:spacing w:after="0" w:line="240" w:lineRule="auto"/>
              <w:ind w:firstLine="0"/>
              <w:jc w:val="center"/>
              <w:rPr>
                <w:rFonts w:ascii="Cambria" w:hAnsi="Cambria"/>
              </w:rPr>
            </w:pPr>
            <w:r>
              <w:rPr>
                <w:rFonts w:ascii="Cambria" w:hAnsi="Cambria"/>
                <w:color w:val="1C2839"/>
                <w:sz w:val="16"/>
              </w:rPr>
              <w:t>5,41</w:t>
            </w:r>
          </w:p>
        </w:tc>
      </w:tr>
      <w:tr w14:paraId="1513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570" w:type="pct"/>
            <w:vAlign w:val="center"/>
          </w:tcPr>
          <w:p w14:paraId="7BB7F69C">
            <w:pPr>
              <w:spacing w:after="0" w:line="240" w:lineRule="auto"/>
              <w:ind w:firstLine="0"/>
              <w:jc w:val="center"/>
              <w:rPr>
                <w:rFonts w:ascii="Cambria" w:hAnsi="Cambria"/>
              </w:rPr>
            </w:pPr>
            <w:r>
              <w:rPr>
                <w:rFonts w:ascii="Cambria" w:hAnsi="Cambria"/>
                <w:color w:val="1C2839"/>
                <w:sz w:val="16"/>
              </w:rPr>
              <w:t>100%</w:t>
            </w:r>
          </w:p>
        </w:tc>
        <w:tc>
          <w:tcPr>
            <w:tcW w:w="1231" w:type="pct"/>
            <w:vAlign w:val="center"/>
          </w:tcPr>
          <w:p w14:paraId="5B7CAE77">
            <w:pPr>
              <w:spacing w:after="0" w:line="240" w:lineRule="auto"/>
              <w:ind w:firstLine="0"/>
              <w:jc w:val="center"/>
              <w:rPr>
                <w:rFonts w:ascii="Cambria" w:hAnsi="Cambria"/>
              </w:rPr>
            </w:pPr>
            <w:r>
              <w:rPr>
                <w:rFonts w:ascii="Cambria" w:hAnsi="Cambria"/>
                <w:color w:val="1C2839"/>
                <w:sz w:val="16"/>
              </w:rPr>
              <w:t>41,05</w:t>
            </w:r>
          </w:p>
        </w:tc>
        <w:tc>
          <w:tcPr>
            <w:tcW w:w="1998" w:type="pct"/>
            <w:vAlign w:val="center"/>
          </w:tcPr>
          <w:p w14:paraId="593DE55E">
            <w:pPr>
              <w:spacing w:after="0" w:line="240" w:lineRule="auto"/>
              <w:ind w:firstLine="0"/>
              <w:jc w:val="center"/>
              <w:rPr>
                <w:rFonts w:ascii="Cambria" w:hAnsi="Cambria"/>
              </w:rPr>
            </w:pPr>
            <w:r>
              <w:rPr>
                <w:rFonts w:ascii="Cambria" w:hAnsi="Cambria"/>
                <w:color w:val="1C2839"/>
                <w:sz w:val="16"/>
              </w:rPr>
              <w:t>33,65</w:t>
            </w:r>
          </w:p>
        </w:tc>
        <w:tc>
          <w:tcPr>
            <w:tcW w:w="1202" w:type="pct"/>
            <w:vAlign w:val="center"/>
          </w:tcPr>
          <w:p w14:paraId="369534B2">
            <w:pPr>
              <w:spacing w:after="0" w:line="240" w:lineRule="auto"/>
              <w:ind w:firstLine="0"/>
              <w:jc w:val="center"/>
              <w:rPr>
                <w:rFonts w:ascii="Cambria" w:hAnsi="Cambria"/>
              </w:rPr>
            </w:pPr>
            <w:r>
              <w:rPr>
                <w:rFonts w:ascii="Cambria" w:hAnsi="Cambria"/>
                <w:color w:val="1C2839"/>
                <w:sz w:val="16"/>
              </w:rPr>
              <w:t>7,40</w:t>
            </w:r>
          </w:p>
        </w:tc>
      </w:tr>
    </w:tbl>
    <w:p w14:paraId="226005C4">
      <w:pPr>
        <w:spacing w:line="240" w:lineRule="auto"/>
        <w:rPr>
          <w:rFonts w:ascii="Cambria" w:hAnsi="Cambria"/>
          <w:lang w:val="ru-RU"/>
        </w:rPr>
      </w:pPr>
      <w:r>
        <w:rPr>
          <w:rFonts w:ascii="Cambria" w:hAnsi="Cambria"/>
          <w:lang w:val="ru-RU"/>
        </w:rPr>
        <w:t>Ірі қалалардан шалғай Байғанин ауданы үшін қуаттың төмен жүктелу сценарийі ерекше маңызды. ТББ-ның жекелеген түрлерінің салмағы мен жеткізу құны өнімді өткізу географиясын шектеуі мүмкін. Сондықтан перспективалы портфельге тауарлық дайын бетон енгізілмеген, ал басымдық қоймада сақтауға және партиялармен тасымалдауға болатын зауытта дайындалған бұйымдарға берілген. Болжамды операциялық айырма әр инвестор бойынша сатып алушыларға дейінгі қашықтық, теміржол тарифтері, қолжетімді тапсырыстар көлемі және цементтен басқа шикізат құнын ескере отырып тексерілуге тиіс.</w:t>
      </w:r>
    </w:p>
    <w:p w14:paraId="58C9EDDE">
      <w:pPr>
        <w:spacing w:line="240" w:lineRule="auto"/>
        <w:rPr>
          <w:rFonts w:ascii="Cambria" w:hAnsi="Cambria"/>
          <w:lang w:val="ru-RU"/>
        </w:rPr>
      </w:pPr>
      <w:r>
        <w:rPr>
          <w:rFonts w:ascii="Cambria" w:hAnsi="Cambria"/>
          <w:lang w:val="ru-RU"/>
        </w:rPr>
        <w:t>Қосымша экономикалық әсерлерге өнеркәсіптік торап ішінде цемент жеткізуге жұмсалатын логистикалық шығындардың бір бөлігін азайту, жаңадан құрылатын инфрақұрылымды толығырақ пайдалану, кейінгі өңдеу бұйымдарының номенклатурасын кеңейту және жергілікті мердігерлік қызметтерге сұраныс қалыптастыру жатуы мүмкін.</w:t>
      </w:r>
    </w:p>
    <w:p w14:paraId="55B74A4B">
      <w:pPr>
        <w:pStyle w:val="3"/>
        <w:spacing w:line="240" w:lineRule="auto"/>
        <w:rPr>
          <w:rFonts w:ascii="Cambria" w:hAnsi="Cambria"/>
          <w:lang w:val="ru-RU"/>
        </w:rPr>
      </w:pPr>
      <w:bookmarkStart w:id="42" w:name="__RefHeading___Toc9566_2617525462"/>
      <w:bookmarkEnd w:id="42"/>
      <w:r>
        <w:rPr>
          <w:rFonts w:ascii="Cambria" w:hAnsi="Cambria"/>
          <w:lang w:val="ru-RU"/>
        </w:rPr>
        <w:t>8.7. Жанама, сыртқы және өлшенбейтін әсерлерді бағалау</w:t>
      </w:r>
    </w:p>
    <w:p w14:paraId="73AA079E">
      <w:pPr>
        <w:spacing w:line="240" w:lineRule="auto"/>
        <w:rPr>
          <w:rFonts w:ascii="Cambria" w:hAnsi="Cambria"/>
          <w:lang w:val="ru-RU"/>
        </w:rPr>
      </w:pPr>
      <w:r>
        <w:rPr>
          <w:rFonts w:ascii="Cambria" w:hAnsi="Cambria"/>
          <w:lang w:val="ru-RU"/>
        </w:rPr>
        <w:t>Кәсіпорындарды іске қосудың тікелей көрсеткіштерінен бөлек, ИА құру Байғанин ауданының салалық байланыстары мен әлеуметтік-экономикалық дамуына жанама әсер етуі мүмкін. Мұндай салдарды бағалағанда резиденттердің тікелей әсері мен цемент зауытының әсерін ажырату, сатып алу тізбектерін екі рет есептемеу және өнеркәсіп қызметінің ықтимал теріс сыртқы салдарларын да ескеру қажет.</w:t>
      </w:r>
    </w:p>
    <w:p w14:paraId="5CF33993">
      <w:pPr>
        <w:pStyle w:val="75"/>
        <w:keepNext/>
        <w:spacing w:line="240" w:lineRule="auto"/>
        <w:rPr>
          <w:rFonts w:ascii="Cambria" w:hAnsi="Cambria"/>
          <w:lang w:val="ru-RU"/>
        </w:rPr>
      </w:pPr>
      <w:r>
        <w:rPr>
          <w:rFonts w:ascii="Cambria" w:hAnsi="Cambria"/>
          <w:lang w:val="ru-RU"/>
        </w:rPr>
        <w:t>8.11-кесте – Негізгі қосымша әсерлер және оларды тексеру тәсілдері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95" w:type="dxa"/>
          <w:bottom w:w="85" w:type="dxa"/>
          <w:right w:w="95" w:type="dxa"/>
        </w:tblCellMar>
      </w:tblPr>
      <w:tblGrid>
        <w:gridCol w:w="1581"/>
        <w:gridCol w:w="3965"/>
        <w:gridCol w:w="3943"/>
      </w:tblGrid>
      <w:tr w14:paraId="051C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tblHeader/>
          <w:jc w:val="center"/>
        </w:trPr>
        <w:tc>
          <w:tcPr>
            <w:tcW w:w="0" w:type="auto"/>
            <w:shd w:val="clear" w:color="auto" w:fill="23486F"/>
            <w:vAlign w:val="center"/>
          </w:tcPr>
          <w:p w14:paraId="79F49BEF">
            <w:pPr>
              <w:spacing w:after="0" w:line="240" w:lineRule="auto"/>
              <w:ind w:firstLine="0"/>
              <w:jc w:val="center"/>
              <w:rPr>
                <w:rFonts w:ascii="Cambria" w:hAnsi="Cambria"/>
              </w:rPr>
            </w:pPr>
            <w:r>
              <w:rPr>
                <w:rFonts w:ascii="Cambria" w:hAnsi="Cambria"/>
                <w:b/>
                <w:color w:val="FFFFFF"/>
                <w:sz w:val="15"/>
              </w:rPr>
              <w:t>Әсер тобы</w:t>
            </w:r>
          </w:p>
        </w:tc>
        <w:tc>
          <w:tcPr>
            <w:tcW w:w="0" w:type="auto"/>
            <w:shd w:val="clear" w:color="auto" w:fill="23486F"/>
            <w:vAlign w:val="center"/>
          </w:tcPr>
          <w:p w14:paraId="380F105E">
            <w:pPr>
              <w:spacing w:after="0" w:line="240" w:lineRule="auto"/>
              <w:ind w:firstLine="0"/>
              <w:jc w:val="center"/>
              <w:rPr>
                <w:rFonts w:ascii="Cambria" w:hAnsi="Cambria"/>
              </w:rPr>
            </w:pPr>
            <w:r>
              <w:rPr>
                <w:rFonts w:ascii="Cambria" w:hAnsi="Cambria"/>
                <w:b/>
                <w:color w:val="FFFFFF"/>
                <w:sz w:val="15"/>
              </w:rPr>
              <w:t>Болжанатын көрінісі</w:t>
            </w:r>
          </w:p>
        </w:tc>
        <w:tc>
          <w:tcPr>
            <w:tcW w:w="0" w:type="auto"/>
            <w:shd w:val="clear" w:color="auto" w:fill="23486F"/>
            <w:vAlign w:val="center"/>
          </w:tcPr>
          <w:p w14:paraId="34F3B965">
            <w:pPr>
              <w:spacing w:after="0" w:line="240" w:lineRule="auto"/>
              <w:ind w:firstLine="0"/>
              <w:jc w:val="center"/>
              <w:rPr>
                <w:rFonts w:ascii="Cambria" w:hAnsi="Cambria"/>
              </w:rPr>
            </w:pPr>
            <w:r>
              <w:rPr>
                <w:rFonts w:ascii="Cambria" w:hAnsi="Cambria"/>
                <w:b/>
                <w:color w:val="FFFFFF"/>
                <w:sz w:val="15"/>
              </w:rPr>
              <w:t>Растау тәсілі</w:t>
            </w:r>
          </w:p>
        </w:tc>
      </w:tr>
      <w:tr w14:paraId="3BD1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2482AD24">
            <w:pPr>
              <w:spacing w:after="0" w:line="240" w:lineRule="auto"/>
              <w:ind w:firstLine="0"/>
              <w:jc w:val="left"/>
              <w:rPr>
                <w:rFonts w:ascii="Cambria" w:hAnsi="Cambria"/>
              </w:rPr>
            </w:pPr>
            <w:r>
              <w:rPr>
                <w:rFonts w:ascii="Cambria" w:hAnsi="Cambria"/>
                <w:color w:val="1C2839"/>
                <w:sz w:val="16"/>
              </w:rPr>
              <w:t>Жанама экономикалық пайда</w:t>
            </w:r>
          </w:p>
        </w:tc>
        <w:tc>
          <w:tcPr>
            <w:tcW w:w="0" w:type="auto"/>
            <w:vAlign w:val="center"/>
          </w:tcPr>
          <w:p w14:paraId="443911B3">
            <w:pPr>
              <w:spacing w:after="0" w:line="240" w:lineRule="auto"/>
              <w:ind w:firstLine="0"/>
              <w:jc w:val="left"/>
              <w:rPr>
                <w:rFonts w:ascii="Cambria" w:hAnsi="Cambria"/>
                <w:lang w:val="ru-RU"/>
              </w:rPr>
            </w:pPr>
            <w:r>
              <w:rPr>
                <w:rFonts w:ascii="Cambria" w:hAnsi="Cambria"/>
                <w:color w:val="1C2839"/>
                <w:sz w:val="16"/>
                <w:lang w:val="ru-RU"/>
              </w:rPr>
              <w:t>Құрылыс, көлік және қамтамасыз ету қызметтеріне, мердігерлер мен жергілікті жеткізушілердің өнімдеріне сұраныстың артуы.</w:t>
            </w:r>
          </w:p>
        </w:tc>
        <w:tc>
          <w:tcPr>
            <w:tcW w:w="0" w:type="auto"/>
            <w:vAlign w:val="center"/>
          </w:tcPr>
          <w:p w14:paraId="5C68CEC7">
            <w:pPr>
              <w:spacing w:after="0" w:line="240" w:lineRule="auto"/>
              <w:ind w:firstLine="0"/>
              <w:jc w:val="left"/>
              <w:rPr>
                <w:rFonts w:ascii="Cambria" w:hAnsi="Cambria"/>
                <w:lang w:val="ru-RU"/>
              </w:rPr>
            </w:pPr>
            <w:r>
              <w:rPr>
                <w:rFonts w:ascii="Cambria" w:hAnsi="Cambria"/>
                <w:color w:val="1C2839"/>
                <w:sz w:val="16"/>
                <w:lang w:val="ru-RU"/>
              </w:rPr>
              <w:t>Резиденттердің шарттары, нақты сатып алу құрылымы және орындаушыларды жергіліктендіру.</w:t>
            </w:r>
          </w:p>
        </w:tc>
      </w:tr>
      <w:tr w14:paraId="0232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6EED4A5C">
            <w:pPr>
              <w:spacing w:after="0" w:line="240" w:lineRule="auto"/>
              <w:ind w:firstLine="0"/>
              <w:jc w:val="left"/>
              <w:rPr>
                <w:rFonts w:ascii="Cambria" w:hAnsi="Cambria"/>
              </w:rPr>
            </w:pPr>
            <w:r>
              <w:rPr>
                <w:rFonts w:ascii="Cambria" w:hAnsi="Cambria"/>
                <w:color w:val="1C2839"/>
                <w:sz w:val="16"/>
              </w:rPr>
              <w:t>Қосымша өнеркәсіптік әсер</w:t>
            </w:r>
          </w:p>
        </w:tc>
        <w:tc>
          <w:tcPr>
            <w:tcW w:w="0" w:type="auto"/>
            <w:shd w:val="clear" w:color="auto" w:fill="F0F5F9"/>
            <w:vAlign w:val="center"/>
          </w:tcPr>
          <w:p w14:paraId="204A8EEE">
            <w:pPr>
              <w:spacing w:after="0" w:line="240" w:lineRule="auto"/>
              <w:ind w:firstLine="0"/>
              <w:jc w:val="left"/>
              <w:rPr>
                <w:rFonts w:ascii="Cambria" w:hAnsi="Cambria"/>
                <w:lang w:val="ru-RU"/>
              </w:rPr>
            </w:pPr>
            <w:r>
              <w:rPr>
                <w:rFonts w:ascii="Cambria" w:hAnsi="Cambria"/>
                <w:color w:val="1C2839"/>
                <w:sz w:val="16"/>
                <w:lang w:val="ru-RU"/>
              </w:rPr>
              <w:t>Бастапқы цементті ғана өткізудің орнына цемент қосылған дайын бұйымдар өндірісін кеңейту.</w:t>
            </w:r>
          </w:p>
        </w:tc>
        <w:tc>
          <w:tcPr>
            <w:tcW w:w="0" w:type="auto"/>
            <w:shd w:val="clear" w:color="auto" w:fill="F0F5F9"/>
            <w:vAlign w:val="center"/>
          </w:tcPr>
          <w:p w14:paraId="6759FC54">
            <w:pPr>
              <w:spacing w:after="0" w:line="240" w:lineRule="auto"/>
              <w:ind w:firstLine="0"/>
              <w:jc w:val="left"/>
              <w:rPr>
                <w:rFonts w:ascii="Cambria" w:hAnsi="Cambria"/>
                <w:lang w:val="ru-RU"/>
              </w:rPr>
            </w:pPr>
            <w:r>
              <w:rPr>
                <w:rFonts w:ascii="Cambria" w:hAnsi="Cambria"/>
                <w:color w:val="1C2839"/>
                <w:sz w:val="16"/>
                <w:lang w:val="ru-RU"/>
              </w:rPr>
              <w:t>«ИА бар» / «ИА жоқ» сценарийлеріндегі өнім шығаруды, цемент тұтынуды, өнім түрлері мен өткізу шарттарын салыстыру.</w:t>
            </w:r>
          </w:p>
        </w:tc>
      </w:tr>
      <w:tr w14:paraId="0816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536B9811">
            <w:pPr>
              <w:spacing w:after="0" w:line="240" w:lineRule="auto"/>
              <w:ind w:firstLine="0"/>
              <w:jc w:val="left"/>
              <w:rPr>
                <w:rFonts w:ascii="Cambria" w:hAnsi="Cambria"/>
              </w:rPr>
            </w:pPr>
            <w:r>
              <w:rPr>
                <w:rFonts w:ascii="Cambria" w:hAnsi="Cambria"/>
                <w:color w:val="1C2839"/>
                <w:sz w:val="16"/>
              </w:rPr>
              <w:t>Әлеуметтік пайда</w:t>
            </w:r>
          </w:p>
        </w:tc>
        <w:tc>
          <w:tcPr>
            <w:tcW w:w="0" w:type="auto"/>
            <w:vAlign w:val="center"/>
          </w:tcPr>
          <w:p w14:paraId="61B59600">
            <w:pPr>
              <w:spacing w:after="0" w:line="240" w:lineRule="auto"/>
              <w:ind w:firstLine="0"/>
              <w:jc w:val="left"/>
              <w:rPr>
                <w:rFonts w:ascii="Cambria" w:hAnsi="Cambria"/>
                <w:lang w:val="ru-RU"/>
              </w:rPr>
            </w:pPr>
            <w:r>
              <w:rPr>
                <w:rFonts w:ascii="Cambria" w:hAnsi="Cambria"/>
                <w:color w:val="1C2839"/>
                <w:sz w:val="16"/>
                <w:lang w:val="ru-RU"/>
              </w:rPr>
              <w:t>Жұмыспен қамту, технологиялық құзыреттерді игеру, жұмыскерлер табысының артуы.</w:t>
            </w:r>
          </w:p>
        </w:tc>
        <w:tc>
          <w:tcPr>
            <w:tcW w:w="0" w:type="auto"/>
            <w:vAlign w:val="center"/>
          </w:tcPr>
          <w:p w14:paraId="0E4855F8">
            <w:pPr>
              <w:spacing w:after="0" w:line="240" w:lineRule="auto"/>
              <w:ind w:firstLine="0"/>
              <w:jc w:val="left"/>
              <w:rPr>
                <w:rFonts w:ascii="Cambria" w:hAnsi="Cambria"/>
                <w:lang w:val="ru-RU"/>
              </w:rPr>
            </w:pPr>
            <w:r>
              <w:rPr>
                <w:rFonts w:ascii="Cambria" w:hAnsi="Cambria"/>
                <w:color w:val="1C2839"/>
                <w:sz w:val="16"/>
                <w:lang w:val="ru-RU"/>
              </w:rPr>
              <w:t>Кәсіпорындардың жұмыс орындары, еңбекақы қоры, оқыту және жұмыспен қамтуды сақтау жөніндегі есептілігі.</w:t>
            </w:r>
          </w:p>
        </w:tc>
      </w:tr>
      <w:tr w14:paraId="6FFF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6D03E86A">
            <w:pPr>
              <w:spacing w:after="0" w:line="240" w:lineRule="auto"/>
              <w:ind w:firstLine="0"/>
              <w:jc w:val="left"/>
              <w:rPr>
                <w:rFonts w:ascii="Cambria" w:hAnsi="Cambria"/>
              </w:rPr>
            </w:pPr>
            <w:r>
              <w:rPr>
                <w:rFonts w:ascii="Cambria" w:hAnsi="Cambria"/>
                <w:color w:val="1C2839"/>
                <w:sz w:val="16"/>
              </w:rPr>
              <w:t>Аумақтық және институционалдық пайда</w:t>
            </w:r>
          </w:p>
        </w:tc>
        <w:tc>
          <w:tcPr>
            <w:tcW w:w="0" w:type="auto"/>
            <w:shd w:val="clear" w:color="auto" w:fill="F0F5F9"/>
            <w:vAlign w:val="center"/>
          </w:tcPr>
          <w:p w14:paraId="49F815BB">
            <w:pPr>
              <w:spacing w:after="0" w:line="240" w:lineRule="auto"/>
              <w:ind w:firstLine="0"/>
              <w:jc w:val="left"/>
              <w:rPr>
                <w:rFonts w:ascii="Cambria" w:hAnsi="Cambria"/>
                <w:lang w:val="ru-RU"/>
              </w:rPr>
            </w:pPr>
            <w:r>
              <w:rPr>
                <w:rFonts w:ascii="Cambria" w:hAnsi="Cambria"/>
                <w:color w:val="1C2839"/>
                <w:sz w:val="16"/>
                <w:lang w:val="ru-RU"/>
              </w:rPr>
              <w:t>Басқарылатын өнеркәсіптік алаңды дамыту, коммуникацияларға қолжетімділікті реттеу, аумақтың тартымдылығын арттыру.</w:t>
            </w:r>
          </w:p>
        </w:tc>
        <w:tc>
          <w:tcPr>
            <w:tcW w:w="0" w:type="auto"/>
            <w:shd w:val="clear" w:color="auto" w:fill="F0F5F9"/>
            <w:vAlign w:val="center"/>
          </w:tcPr>
          <w:p w14:paraId="4D667E13">
            <w:pPr>
              <w:spacing w:after="0" w:line="240" w:lineRule="auto"/>
              <w:ind w:firstLine="0"/>
              <w:jc w:val="left"/>
              <w:rPr>
                <w:rFonts w:ascii="Cambria" w:hAnsi="Cambria"/>
                <w:lang w:val="ru-RU"/>
              </w:rPr>
            </w:pPr>
            <w:r>
              <w:rPr>
                <w:rFonts w:ascii="Cambria" w:hAnsi="Cambria"/>
                <w:color w:val="1C2839"/>
                <w:sz w:val="16"/>
                <w:lang w:val="ru-RU"/>
              </w:rPr>
              <w:t>Жерді нақты игеру, қосылу параметрлері және инвесторлардың өтініштері.</w:t>
            </w:r>
          </w:p>
        </w:tc>
      </w:tr>
      <w:tr w14:paraId="584B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vAlign w:val="center"/>
          </w:tcPr>
          <w:p w14:paraId="3834F246">
            <w:pPr>
              <w:spacing w:after="0" w:line="240" w:lineRule="auto"/>
              <w:ind w:firstLine="0"/>
              <w:jc w:val="left"/>
              <w:rPr>
                <w:rFonts w:ascii="Cambria" w:hAnsi="Cambria"/>
              </w:rPr>
            </w:pPr>
            <w:r>
              <w:rPr>
                <w:rFonts w:ascii="Cambria" w:hAnsi="Cambria"/>
                <w:color w:val="1C2839"/>
                <w:sz w:val="16"/>
              </w:rPr>
              <w:t>Теріс сыртқы әсерлер</w:t>
            </w:r>
          </w:p>
        </w:tc>
        <w:tc>
          <w:tcPr>
            <w:tcW w:w="0" w:type="auto"/>
            <w:vAlign w:val="center"/>
          </w:tcPr>
          <w:p w14:paraId="623F283E">
            <w:pPr>
              <w:spacing w:after="0" w:line="240" w:lineRule="auto"/>
              <w:ind w:firstLine="0"/>
              <w:jc w:val="left"/>
              <w:rPr>
                <w:rFonts w:ascii="Cambria" w:hAnsi="Cambria"/>
                <w:lang w:val="ru-RU"/>
              </w:rPr>
            </w:pPr>
            <w:r>
              <w:rPr>
                <w:rFonts w:ascii="Cambria" w:hAnsi="Cambria"/>
                <w:color w:val="1C2839"/>
                <w:sz w:val="16"/>
                <w:lang w:val="ru-RU"/>
              </w:rPr>
              <w:t>Шаңдану, шу, көлік жүктемесі, суды пайдалану, жерді ауыл шаруашылығы мақсатында пайдаланудың өзгеруі.</w:t>
            </w:r>
          </w:p>
        </w:tc>
        <w:tc>
          <w:tcPr>
            <w:tcW w:w="0" w:type="auto"/>
            <w:vAlign w:val="center"/>
          </w:tcPr>
          <w:p w14:paraId="2BF7B0EF">
            <w:pPr>
              <w:spacing w:after="0" w:line="240" w:lineRule="auto"/>
              <w:ind w:firstLine="0"/>
              <w:jc w:val="left"/>
              <w:rPr>
                <w:rFonts w:ascii="Cambria" w:hAnsi="Cambria"/>
                <w:lang w:val="ru-RU"/>
              </w:rPr>
            </w:pPr>
            <w:r>
              <w:rPr>
                <w:rFonts w:ascii="Cambria" w:hAnsi="Cambria"/>
                <w:color w:val="1C2839"/>
                <w:sz w:val="16"/>
                <w:lang w:val="ru-RU"/>
              </w:rPr>
              <w:t>Экологиялық рәсімдер, мониторинг, көлік және жерге орналастыру есептері.</w:t>
            </w:r>
          </w:p>
        </w:tc>
      </w:tr>
      <w:tr w14:paraId="78CE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95" w:type="dxa"/>
            <w:bottom w:w="85" w:type="dxa"/>
            <w:right w:w="95" w:type="dxa"/>
          </w:tblCellMar>
        </w:tblPrEx>
        <w:trPr>
          <w:cantSplit/>
          <w:jc w:val="center"/>
        </w:trPr>
        <w:tc>
          <w:tcPr>
            <w:tcW w:w="0" w:type="auto"/>
            <w:shd w:val="clear" w:color="auto" w:fill="F0F5F9"/>
            <w:vAlign w:val="center"/>
          </w:tcPr>
          <w:p w14:paraId="66B5C639">
            <w:pPr>
              <w:spacing w:after="0" w:line="240" w:lineRule="auto"/>
              <w:ind w:firstLine="0"/>
              <w:jc w:val="left"/>
              <w:rPr>
                <w:rFonts w:ascii="Cambria" w:hAnsi="Cambria"/>
              </w:rPr>
            </w:pPr>
            <w:r>
              <w:rPr>
                <w:rFonts w:ascii="Cambria" w:hAnsi="Cambria"/>
                <w:color w:val="1C2839"/>
                <w:sz w:val="16"/>
              </w:rPr>
              <w:t>Өңіраралық және халықаралық әсерлер</w:t>
            </w:r>
          </w:p>
        </w:tc>
        <w:tc>
          <w:tcPr>
            <w:tcW w:w="0" w:type="auto"/>
            <w:shd w:val="clear" w:color="auto" w:fill="F0F5F9"/>
            <w:vAlign w:val="center"/>
          </w:tcPr>
          <w:p w14:paraId="66825DC9">
            <w:pPr>
              <w:spacing w:after="0" w:line="240" w:lineRule="auto"/>
              <w:ind w:firstLine="0"/>
              <w:jc w:val="left"/>
              <w:rPr>
                <w:rFonts w:ascii="Cambria" w:hAnsi="Cambria"/>
                <w:lang w:val="ru-RU"/>
              </w:rPr>
            </w:pPr>
            <w:r>
              <w:rPr>
                <w:rFonts w:ascii="Cambria" w:hAnsi="Cambria"/>
                <w:color w:val="1C2839"/>
                <w:sz w:val="16"/>
                <w:lang w:val="ru-RU"/>
              </w:rPr>
              <w:t>Өнімді аудан мен облыстан тыс жеткізу; экономикалық тиімді болған жағдайда импортты алмастыру және экспорт әлеуеті.</w:t>
            </w:r>
          </w:p>
        </w:tc>
        <w:tc>
          <w:tcPr>
            <w:tcW w:w="0" w:type="auto"/>
            <w:shd w:val="clear" w:color="auto" w:fill="F0F5F9"/>
            <w:vAlign w:val="center"/>
          </w:tcPr>
          <w:p w14:paraId="3254C322">
            <w:pPr>
              <w:spacing w:after="0" w:line="240" w:lineRule="auto"/>
              <w:ind w:firstLine="0"/>
              <w:jc w:val="left"/>
              <w:rPr>
                <w:rFonts w:ascii="Cambria" w:hAnsi="Cambria"/>
                <w:lang w:val="ru-RU"/>
              </w:rPr>
            </w:pPr>
            <w:r>
              <w:rPr>
                <w:rFonts w:ascii="Cambria" w:hAnsi="Cambria"/>
                <w:color w:val="1C2839"/>
                <w:sz w:val="16"/>
                <w:lang w:val="ru-RU"/>
              </w:rPr>
              <w:t>Расталған шарттар, маршруттар, тасымал көлемдері; коммерциялық негіз болмаса, экспорт болжанбайды.</w:t>
            </w:r>
          </w:p>
        </w:tc>
      </w:tr>
    </w:tbl>
    <w:p w14:paraId="59AE387E">
      <w:pPr>
        <w:spacing w:line="240" w:lineRule="auto"/>
        <w:rPr>
          <w:rFonts w:ascii="Cambria" w:hAnsi="Cambria"/>
          <w:lang w:val="ru-RU"/>
        </w:rPr>
      </w:pPr>
      <w:r>
        <w:rPr>
          <w:rFonts w:ascii="Cambria" w:hAnsi="Cambria"/>
          <w:lang w:val="ru-RU"/>
        </w:rPr>
        <w:t>Оң әсерлер өздігінен қалыптаспайды, олар бірнеше өзара байланысты шарт орындалғанда ғана туындайды: екі алаңды заңды түрде рәсімдеу, цемент зауыты инфрақұрылымына техникалық тұрғыдан расталған қосылу, ауыр және құрғақ құрылыс материалдарына сұраныстың болуы, жеке инвесторлардың жеті кәсіпорынды қаржыландыруға дайындығы және табиғатты қорғау шараларын іске асыру.</w:t>
      </w:r>
    </w:p>
    <w:p w14:paraId="1EA788C4">
      <w:pPr>
        <w:spacing w:line="240" w:lineRule="auto"/>
        <w:rPr>
          <w:rFonts w:ascii="Cambria" w:hAnsi="Cambria"/>
          <w:lang w:val="ru-RU"/>
        </w:rPr>
      </w:pPr>
      <w:r>
        <w:rPr>
          <w:rFonts w:ascii="Cambria" w:hAnsi="Cambria"/>
          <w:lang w:val="ru-RU"/>
        </w:rPr>
        <w:t>Қабылданған базалық нұсқа бойынша Тұжырымдаманы іске асырудың жиынтық есептік нәтижесі – ауданы 200 га, жалпы құны 38,7 млрд теңге болатын жеті өндірістік жобасы бар ИА қалыптастыру, инфрақұрылым компонентіне 12,0 млрд теңге жұмсау, 605 тұрақты жұмыс орнын құру және толық жүктеме кезінде жылына 41,05 млрд теңге ықтимал түсім әкелетін өнім шығару. Шығындар мен әсерлер алдын ала сипатта болады.</w:t>
      </w:r>
    </w:p>
    <w:p w14:paraId="74127417">
      <w:pPr>
        <w:spacing w:line="240" w:lineRule="auto"/>
        <w:rPr>
          <w:rFonts w:ascii="Cambria" w:hAnsi="Cambria"/>
          <w:lang w:val="ru-RU"/>
        </w:rPr>
      </w:pPr>
    </w:p>
    <w:p w14:paraId="2DE219C3">
      <w:pPr>
        <w:spacing w:line="240" w:lineRule="auto"/>
        <w:rPr>
          <w:rFonts w:ascii="Cambria" w:hAnsi="Cambria"/>
          <w:lang w:val="ru-RU"/>
        </w:rPr>
      </w:pPr>
    </w:p>
    <w:p w14:paraId="560322E2">
      <w:pPr>
        <w:pStyle w:val="2"/>
        <w:pageBreakBefore/>
        <w:spacing w:before="0" w:line="240" w:lineRule="auto"/>
        <w:rPr>
          <w:rFonts w:ascii="Cambria" w:hAnsi="Cambria"/>
          <w:lang w:val="ru-RU"/>
        </w:rPr>
      </w:pPr>
      <w:bookmarkStart w:id="43" w:name="__RefHeading___Toc9568_2617525462"/>
      <w:bookmarkEnd w:id="43"/>
      <w:r>
        <w:rPr>
          <w:rFonts w:ascii="Cambria" w:hAnsi="Cambria"/>
          <w:lang w:val="ru-RU"/>
        </w:rPr>
        <w:t>9. ИНДУСТРИЯЛЫҚ АЙМАҚТЫ ЖӘНЕ ОНЫҢ ИНФРАҚҰРЫЛЫМЫН ДАМЫТУ ЖОСПАРЫНЫҢ ЖОБАСЫ</w:t>
      </w:r>
    </w:p>
    <w:p w14:paraId="515E1829">
      <w:pPr>
        <w:spacing w:line="240" w:lineRule="auto"/>
        <w:rPr>
          <w:rFonts w:ascii="Cambria" w:hAnsi="Cambria"/>
          <w:lang w:val="ru-RU"/>
        </w:rPr>
      </w:pPr>
      <w:r>
        <w:rPr>
          <w:rFonts w:ascii="Cambria" w:hAnsi="Cambria"/>
          <w:lang w:val="ru-RU"/>
        </w:rPr>
        <w:t>Ақтөбе облысының Байғанин ауданындағы «Байғанин» индустриялық аймағын дамыту жоспарының жобасы жалпы ауданы 200 га болатын екі алаңды игерудің техникалық схемасын, аумақ пен инфрақұрылымды дайындау кезектілігін, жеті әлеуетті өндірісті орналастыру мерзімдерін, сондай-ақ техникалық және ұйымдастырушылық тәуекелдерді басқару шарттарын айқындайды.</w:t>
      </w:r>
    </w:p>
    <w:p w14:paraId="21D1B17E">
      <w:pPr>
        <w:spacing w:line="240" w:lineRule="auto"/>
        <w:rPr>
          <w:rFonts w:ascii="Cambria" w:hAnsi="Cambria"/>
          <w:lang w:val="ru-RU"/>
        </w:rPr>
      </w:pPr>
      <w:r>
        <w:rPr>
          <w:rFonts w:ascii="Cambria" w:hAnsi="Cambria"/>
          <w:lang w:val="ru-RU"/>
        </w:rPr>
        <w:t>Базалық сценарий «QazCement Industries» ЖШС салып жатқан цемент зауытының екі жағында ауданы 122 және 78 га болатын екі өндірістік алаң құруды көздейді. № 1 алаң инфрақұрылымдық және тұрғын үй құрылысына арналған темірбетон бұйымдарын өндіретін төрт кәсіпорынға, ал № 2 алаң құрғақ құрылыс қоспаларын, фиброцемент панельдері мен абаттандыру бұйымдарын өндіретін үш кәсіпорынға бөлінеді. Екі алаңның бос аумағы өңдеу өнеркәсібінің өзге жобаларына арналған; ортақ жолдар мен инженерлік дәліздер жерге орналастыру және жобалау барысында заңды түрде қамтамасыз етілуге тиіс.</w:t>
      </w:r>
    </w:p>
    <w:p w14:paraId="0492E507">
      <w:pPr>
        <w:spacing w:line="240" w:lineRule="auto"/>
        <w:rPr>
          <w:rFonts w:ascii="Cambria" w:hAnsi="Cambria"/>
          <w:lang w:val="ru-RU"/>
        </w:rPr>
      </w:pPr>
      <w:r>
        <w:rPr>
          <w:rFonts w:ascii="Cambria" w:hAnsi="Cambria"/>
          <w:lang w:val="ru-RU"/>
        </w:rPr>
        <w:t>Жоспардың есептік кезеңі – 2027–2032 жылдар. Күрделі салымдардың жалпы қажеттілігі 50,7 млрд теңгені, оның ішінде инфрақұрылымға 12,0 млрд теңгені және ықтимал жеке инвестицияларға 38,7 млрд теңгені құрайды. Цемент зауытының экономикалық көрсеткіштері, соның ішінде оған салынатын инвестициялар мен сыртқы магистральдық объектілердің құрылысы, ИА құрамында қайталап есепке алынбайды. Осы бөлімнің негізгі техникалық және күнтізбелік параметрлері алдын ала сипатта және жер-құқықтық дайындық аяқталып, бастапқы деректер алынғаннан әрі инвестициялық ниеттер расталғаннан кейін нақтыланады.</w:t>
      </w:r>
    </w:p>
    <w:p w14:paraId="1268DE24">
      <w:pPr>
        <w:pStyle w:val="3"/>
        <w:spacing w:line="240" w:lineRule="auto"/>
        <w:rPr>
          <w:rFonts w:ascii="Cambria" w:hAnsi="Cambria"/>
          <w:lang w:val="ru-RU"/>
        </w:rPr>
      </w:pPr>
      <w:bookmarkStart w:id="44" w:name="__RefHeading___Toc9570_2617525462"/>
      <w:bookmarkEnd w:id="44"/>
      <w:r>
        <w:rPr>
          <w:rFonts w:ascii="Cambria" w:hAnsi="Cambria"/>
          <w:lang w:val="ru-RU"/>
        </w:rPr>
        <w:t>9.1. Балама технологиялық және инфрақұрылымдық шешімдерді талдау</w:t>
      </w:r>
    </w:p>
    <w:p w14:paraId="5C1EBF14">
      <w:pPr>
        <w:spacing w:line="240" w:lineRule="auto"/>
        <w:rPr>
          <w:rFonts w:ascii="Cambria" w:hAnsi="Cambria"/>
          <w:lang w:val="ru-RU"/>
        </w:rPr>
      </w:pPr>
      <w:r>
        <w:rPr>
          <w:rFonts w:ascii="Cambria" w:hAnsi="Cambria"/>
          <w:lang w:val="ru-RU"/>
        </w:rPr>
        <w:t>ИА құру нұсқасын таңдауда аумақтың ірі елді мекендерден шалғайлығы, темірбетон өнімдерінің салмағы, теміржолмен жөнелту қажеттігі және ірі цемент өндірісіне тікелей жақын орналасуы шешуші мәнге ие. Мұндай жағдайда сыртқы коммуникациялардың капиталды көп қажет етуі инвесторларды орналастыру құнына технологиялық жабдық шығындарымен шамалас әсер етуі мүмкін. Сондықтан басым міндет – қатарлас магистральдық желілер салу емес, цемент зауытының жаңадан құрылатын инфрақұрылымын ұтымды пайдалану.</w:t>
      </w:r>
    </w:p>
    <w:p w14:paraId="22953E5B">
      <w:pPr>
        <w:spacing w:line="240" w:lineRule="auto"/>
        <w:rPr>
          <w:rFonts w:ascii="Cambria" w:hAnsi="Cambria"/>
          <w:lang w:val="ru-RU"/>
        </w:rPr>
      </w:pPr>
      <w:r>
        <w:rPr>
          <w:rFonts w:ascii="Cambria" w:hAnsi="Cambria"/>
          <w:lang w:val="ru-RU"/>
        </w:rPr>
        <w:t>Алдын ала техникалық-экономикалық салыстыру мақсатында ірілендірілген үш сценарий қарастырылды. Олар электрмен және сумен жабдықтау, көлікке қолжетімділік тәсілдерімен, іске қосу мерзімдерімен және цемент зауыты инфрақұрылымының әзірлігіне тәуелділігімен ерекшеленеді.</w:t>
      </w:r>
    </w:p>
    <w:p w14:paraId="5285E59A">
      <w:pPr>
        <w:pStyle w:val="75"/>
        <w:keepNext/>
        <w:spacing w:line="240" w:lineRule="auto"/>
        <w:rPr>
          <w:rFonts w:ascii="Cambria" w:hAnsi="Cambria"/>
          <w:lang w:val="ru-RU"/>
        </w:rPr>
      </w:pPr>
      <w:r>
        <w:rPr>
          <w:rFonts w:ascii="Cambria" w:hAnsi="Cambria"/>
          <w:lang w:val="ru-RU"/>
        </w:rPr>
        <w:t>9.1-кесте – ИА-ны инфрақұрылыммен қамтамасыз ету нұсқаларын салыстыру</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1761"/>
        <w:gridCol w:w="2371"/>
        <w:gridCol w:w="2776"/>
        <w:gridCol w:w="2567"/>
      </w:tblGrid>
      <w:tr w14:paraId="543E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75C615CA">
            <w:pPr>
              <w:spacing w:after="0" w:line="240" w:lineRule="auto"/>
              <w:ind w:firstLine="0"/>
              <w:jc w:val="center"/>
              <w:rPr>
                <w:rFonts w:ascii="Cambria" w:hAnsi="Cambria"/>
              </w:rPr>
            </w:pPr>
            <w:r>
              <w:rPr>
                <w:rFonts w:ascii="Cambria" w:hAnsi="Cambria"/>
                <w:b/>
                <w:color w:val="FFFFFF"/>
                <w:sz w:val="15"/>
              </w:rPr>
              <w:t>Нұсқа</w:t>
            </w:r>
          </w:p>
        </w:tc>
        <w:tc>
          <w:tcPr>
            <w:tcW w:w="0" w:type="auto"/>
            <w:shd w:val="clear" w:color="auto" w:fill="23486F"/>
            <w:vAlign w:val="center"/>
          </w:tcPr>
          <w:p w14:paraId="4B3EE636">
            <w:pPr>
              <w:spacing w:after="0" w:line="240" w:lineRule="auto"/>
              <w:ind w:firstLine="0"/>
              <w:jc w:val="center"/>
              <w:rPr>
                <w:rFonts w:ascii="Cambria" w:hAnsi="Cambria"/>
              </w:rPr>
            </w:pPr>
            <w:r>
              <w:rPr>
                <w:rFonts w:ascii="Cambria" w:hAnsi="Cambria"/>
                <w:b/>
                <w:color w:val="FFFFFF"/>
                <w:sz w:val="15"/>
              </w:rPr>
              <w:t>Техникалық схема</w:t>
            </w:r>
          </w:p>
        </w:tc>
        <w:tc>
          <w:tcPr>
            <w:tcW w:w="0" w:type="auto"/>
            <w:shd w:val="clear" w:color="auto" w:fill="23486F"/>
            <w:vAlign w:val="center"/>
          </w:tcPr>
          <w:p w14:paraId="47127AF6">
            <w:pPr>
              <w:spacing w:after="0" w:line="240" w:lineRule="auto"/>
              <w:ind w:firstLine="0"/>
              <w:jc w:val="center"/>
              <w:rPr>
                <w:rFonts w:ascii="Cambria" w:hAnsi="Cambria"/>
              </w:rPr>
            </w:pPr>
            <w:r>
              <w:rPr>
                <w:rFonts w:ascii="Cambria" w:hAnsi="Cambria"/>
                <w:b/>
                <w:color w:val="FFFFFF"/>
                <w:sz w:val="15"/>
              </w:rPr>
              <w:t>Артықшылықтары</w:t>
            </w:r>
          </w:p>
        </w:tc>
        <w:tc>
          <w:tcPr>
            <w:tcW w:w="0" w:type="auto"/>
            <w:shd w:val="clear" w:color="auto" w:fill="23486F"/>
            <w:vAlign w:val="center"/>
          </w:tcPr>
          <w:p w14:paraId="2B0404F0">
            <w:pPr>
              <w:spacing w:after="0" w:line="240" w:lineRule="auto"/>
              <w:ind w:firstLine="0"/>
              <w:jc w:val="center"/>
              <w:rPr>
                <w:rFonts w:ascii="Cambria" w:hAnsi="Cambria"/>
              </w:rPr>
            </w:pPr>
            <w:r>
              <w:rPr>
                <w:rFonts w:ascii="Cambria" w:hAnsi="Cambria"/>
                <w:b/>
                <w:color w:val="FFFFFF"/>
                <w:sz w:val="15"/>
              </w:rPr>
              <w:t>Негізгі шектеулері</w:t>
            </w:r>
          </w:p>
        </w:tc>
      </w:tr>
      <w:tr w14:paraId="31E3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0A954B7">
            <w:pPr>
              <w:spacing w:after="0" w:line="240" w:lineRule="auto"/>
              <w:ind w:firstLine="0"/>
              <w:jc w:val="left"/>
              <w:rPr>
                <w:rFonts w:ascii="Cambria" w:hAnsi="Cambria"/>
              </w:rPr>
            </w:pPr>
            <w:r>
              <w:rPr>
                <w:rFonts w:ascii="Cambria" w:hAnsi="Cambria"/>
                <w:color w:val="1C2839"/>
                <w:sz w:val="16"/>
              </w:rPr>
              <w:t>А. Автономды инфрақұрылым</w:t>
            </w:r>
          </w:p>
        </w:tc>
        <w:tc>
          <w:tcPr>
            <w:tcW w:w="0" w:type="auto"/>
            <w:vAlign w:val="center"/>
          </w:tcPr>
          <w:p w14:paraId="2B23F614">
            <w:pPr>
              <w:spacing w:after="0" w:line="240" w:lineRule="auto"/>
              <w:ind w:firstLine="0"/>
              <w:jc w:val="left"/>
              <w:rPr>
                <w:rFonts w:ascii="Cambria" w:hAnsi="Cambria"/>
                <w:lang w:val="ru-RU"/>
              </w:rPr>
            </w:pPr>
            <w:r>
              <w:rPr>
                <w:rFonts w:ascii="Cambria" w:hAnsi="Cambria"/>
                <w:color w:val="1C2839"/>
                <w:sz w:val="16"/>
                <w:lang w:val="ru-RU"/>
              </w:rPr>
              <w:t>Электр және сумен жабдықтаудың бөлек сыртқы желілері, жеке теміржол түйісуі және сыртқы кірме жолдар кешені.</w:t>
            </w:r>
          </w:p>
        </w:tc>
        <w:tc>
          <w:tcPr>
            <w:tcW w:w="0" w:type="auto"/>
            <w:vAlign w:val="center"/>
          </w:tcPr>
          <w:p w14:paraId="1DA43203">
            <w:pPr>
              <w:spacing w:after="0" w:line="240" w:lineRule="auto"/>
              <w:ind w:firstLine="0"/>
              <w:jc w:val="left"/>
              <w:rPr>
                <w:rFonts w:ascii="Cambria" w:hAnsi="Cambria"/>
                <w:lang w:val="ru-RU"/>
              </w:rPr>
            </w:pPr>
            <w:r>
              <w:rPr>
                <w:rFonts w:ascii="Cambria" w:hAnsi="Cambria"/>
                <w:color w:val="1C2839"/>
                <w:sz w:val="16"/>
                <w:lang w:val="ru-RU"/>
              </w:rPr>
              <w:t>Жеке қосылу нүктелері болғанда зауыт желілерін пайдалану режиміне тәуелсіздік.</w:t>
            </w:r>
          </w:p>
        </w:tc>
        <w:tc>
          <w:tcPr>
            <w:tcW w:w="0" w:type="auto"/>
            <w:vAlign w:val="center"/>
          </w:tcPr>
          <w:p w14:paraId="3F1F6146">
            <w:pPr>
              <w:spacing w:after="0" w:line="240" w:lineRule="auto"/>
              <w:ind w:firstLine="0"/>
              <w:jc w:val="left"/>
              <w:rPr>
                <w:rFonts w:ascii="Cambria" w:hAnsi="Cambria"/>
                <w:lang w:val="ru-RU"/>
              </w:rPr>
            </w:pPr>
            <w:r>
              <w:rPr>
                <w:rFonts w:ascii="Cambria" w:hAnsi="Cambria"/>
                <w:color w:val="1C2839"/>
                <w:sz w:val="16"/>
                <w:lang w:val="ru-RU"/>
              </w:rPr>
              <w:t>Сыртқы желілерге жоғары инвестиция, ұзақ келісу рәсімдері, салынып жатқан объектілерді қайталау тәуекелі; осы кезеңде құны айқындалмаған.</w:t>
            </w:r>
          </w:p>
        </w:tc>
      </w:tr>
      <w:tr w14:paraId="65C0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046B1958">
            <w:pPr>
              <w:spacing w:after="0" w:line="240" w:lineRule="auto"/>
              <w:ind w:firstLine="0"/>
              <w:jc w:val="left"/>
              <w:rPr>
                <w:rFonts w:ascii="Cambria" w:hAnsi="Cambria"/>
                <w:lang w:val="ru-RU"/>
              </w:rPr>
            </w:pPr>
            <w:r>
              <w:rPr>
                <w:rFonts w:ascii="Cambria" w:hAnsi="Cambria"/>
                <w:color w:val="1C2839"/>
                <w:sz w:val="16"/>
                <w:lang w:val="ru-RU"/>
              </w:rPr>
              <w:t>Б. Цемент зауыты инфрақұрылымына қосылу (базалық нұсқа)</w:t>
            </w:r>
          </w:p>
        </w:tc>
        <w:tc>
          <w:tcPr>
            <w:tcW w:w="0" w:type="auto"/>
            <w:shd w:val="clear" w:color="auto" w:fill="F0F5F9"/>
            <w:vAlign w:val="center"/>
          </w:tcPr>
          <w:p w14:paraId="1BB7F3A7">
            <w:pPr>
              <w:spacing w:after="0" w:line="240" w:lineRule="auto"/>
              <w:ind w:firstLine="0"/>
              <w:jc w:val="left"/>
              <w:rPr>
                <w:rFonts w:ascii="Cambria" w:hAnsi="Cambria"/>
                <w:lang w:val="ru-RU"/>
              </w:rPr>
            </w:pPr>
            <w:r>
              <w:rPr>
                <w:rFonts w:ascii="Cambria" w:hAnsi="Cambria"/>
                <w:color w:val="1C2839"/>
                <w:sz w:val="16"/>
                <w:lang w:val="ru-RU"/>
              </w:rPr>
              <w:t>Қосалқы тұтынушылар ретінде электрмен жабдықтауға қол жеткізу; сумен жабдықтау нүктелерін, көлік және теміржол инфрақұрылымын келісіп пайдалану.</w:t>
            </w:r>
          </w:p>
        </w:tc>
        <w:tc>
          <w:tcPr>
            <w:tcW w:w="0" w:type="auto"/>
            <w:shd w:val="clear" w:color="auto" w:fill="F0F5F9"/>
            <w:vAlign w:val="center"/>
          </w:tcPr>
          <w:p w14:paraId="7B0B075C">
            <w:pPr>
              <w:spacing w:after="0" w:line="240" w:lineRule="auto"/>
              <w:ind w:firstLine="0"/>
              <w:jc w:val="left"/>
              <w:rPr>
                <w:rFonts w:ascii="Cambria" w:hAnsi="Cambria"/>
                <w:lang w:val="ru-RU"/>
              </w:rPr>
            </w:pPr>
            <w:r>
              <w:rPr>
                <w:rFonts w:ascii="Cambria" w:hAnsi="Cambria"/>
                <w:color w:val="1C2839"/>
                <w:sz w:val="16"/>
                <w:lang w:val="ru-RU"/>
              </w:rPr>
              <w:t>Жаңа сыртқы объектілер көлемін азайту, жұмыстарды үйлестіру және цементті бастапқы жеткізу мүмкіндігі, екі алаңды дамытудың ықшам схемасы.</w:t>
            </w:r>
          </w:p>
        </w:tc>
        <w:tc>
          <w:tcPr>
            <w:tcW w:w="0" w:type="auto"/>
            <w:shd w:val="clear" w:color="auto" w:fill="F0F5F9"/>
            <w:vAlign w:val="center"/>
          </w:tcPr>
          <w:p w14:paraId="71264F60">
            <w:pPr>
              <w:spacing w:after="0" w:line="240" w:lineRule="auto"/>
              <w:ind w:firstLine="0"/>
              <w:jc w:val="left"/>
              <w:rPr>
                <w:rFonts w:ascii="Cambria" w:hAnsi="Cambria"/>
                <w:lang w:val="ru-RU"/>
              </w:rPr>
            </w:pPr>
            <w:r>
              <w:rPr>
                <w:rFonts w:ascii="Cambria" w:hAnsi="Cambria"/>
                <w:color w:val="1C2839"/>
                <w:sz w:val="16"/>
                <w:lang w:val="ru-RU"/>
              </w:rPr>
              <w:t>Бос қуат резервінің, желі иелерінің келісімдерінің, техникалық шарттардың және пайдалану жауапкершілігін бөлудің қажеттігі.</w:t>
            </w:r>
          </w:p>
        </w:tc>
      </w:tr>
      <w:tr w14:paraId="7BCD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15890A1A">
            <w:pPr>
              <w:spacing w:after="0" w:line="240" w:lineRule="auto"/>
              <w:ind w:firstLine="0"/>
              <w:jc w:val="left"/>
              <w:rPr>
                <w:rFonts w:ascii="Cambria" w:hAnsi="Cambria"/>
              </w:rPr>
            </w:pPr>
            <w:r>
              <w:rPr>
                <w:rFonts w:ascii="Cambria" w:hAnsi="Cambria"/>
                <w:color w:val="1C2839"/>
                <w:sz w:val="16"/>
              </w:rPr>
              <w:t>В. Оңайлатылған кезеңдік қосылу</w:t>
            </w:r>
          </w:p>
        </w:tc>
        <w:tc>
          <w:tcPr>
            <w:tcW w:w="0" w:type="auto"/>
            <w:vAlign w:val="center"/>
          </w:tcPr>
          <w:p w14:paraId="45553E4B">
            <w:pPr>
              <w:spacing w:after="0" w:line="240" w:lineRule="auto"/>
              <w:ind w:firstLine="0"/>
              <w:jc w:val="left"/>
              <w:rPr>
                <w:rFonts w:ascii="Cambria" w:hAnsi="Cambria"/>
                <w:lang w:val="ru-RU"/>
              </w:rPr>
            </w:pPr>
            <w:r>
              <w:rPr>
                <w:rFonts w:ascii="Cambria" w:hAnsi="Cambria"/>
                <w:color w:val="1C2839"/>
                <w:sz w:val="16"/>
                <w:lang w:val="ru-RU"/>
              </w:rPr>
              <w:t>Бірінші кезеңде зауыт торабы арқылы электр, су және автомобиль кірме жолдары беріледі; теміржолмен жөнелту кейін іске қосылады.</w:t>
            </w:r>
          </w:p>
        </w:tc>
        <w:tc>
          <w:tcPr>
            <w:tcW w:w="0" w:type="auto"/>
            <w:vAlign w:val="center"/>
          </w:tcPr>
          <w:p w14:paraId="72439B95">
            <w:pPr>
              <w:spacing w:after="0" w:line="240" w:lineRule="auto"/>
              <w:ind w:firstLine="0"/>
              <w:jc w:val="left"/>
              <w:rPr>
                <w:rFonts w:ascii="Cambria" w:hAnsi="Cambria"/>
                <w:lang w:val="ru-RU"/>
              </w:rPr>
            </w:pPr>
            <w:r>
              <w:rPr>
                <w:rFonts w:ascii="Cambria" w:hAnsi="Cambria"/>
                <w:color w:val="1C2839"/>
                <w:sz w:val="16"/>
                <w:lang w:val="ru-RU"/>
              </w:rPr>
              <w:t>Ауырлығы төмен өндірістердің бір бөлігін ықтимал жедел іске қосу.</w:t>
            </w:r>
          </w:p>
        </w:tc>
        <w:tc>
          <w:tcPr>
            <w:tcW w:w="0" w:type="auto"/>
            <w:vAlign w:val="center"/>
          </w:tcPr>
          <w:p w14:paraId="26B4A941">
            <w:pPr>
              <w:spacing w:after="0" w:line="240" w:lineRule="auto"/>
              <w:ind w:firstLine="0"/>
              <w:jc w:val="left"/>
              <w:rPr>
                <w:rFonts w:ascii="Cambria" w:hAnsi="Cambria"/>
                <w:lang w:val="ru-RU"/>
              </w:rPr>
            </w:pPr>
            <w:r>
              <w:rPr>
                <w:rFonts w:ascii="Cambria" w:hAnsi="Cambria"/>
                <w:color w:val="1C2839"/>
                <w:sz w:val="16"/>
                <w:lang w:val="ru-RU"/>
              </w:rPr>
              <w:t>Көлемді әрі ауыр ТББ үшін көлік тиімділігінің жеткіліксіздігі; тасымалдау шығындарының өсуі мен негізгі өндірістік портфельдің кешігу тәуекелі.</w:t>
            </w:r>
          </w:p>
        </w:tc>
      </w:tr>
    </w:tbl>
    <w:p w14:paraId="2369F8B8">
      <w:pPr>
        <w:spacing w:line="240" w:lineRule="auto"/>
        <w:rPr>
          <w:rFonts w:ascii="Cambria" w:hAnsi="Cambria"/>
          <w:lang w:val="ru-RU"/>
        </w:rPr>
      </w:pPr>
      <w:r>
        <w:rPr>
          <w:rFonts w:ascii="Cambria" w:hAnsi="Cambria"/>
          <w:lang w:val="ru-RU"/>
        </w:rPr>
        <w:t>ИА-ның аумақтық тұжырымдамасына және инфрақұрылымның 12,0 млрд теңге көлеміндегі ірілендірілген бюджетіне барынша сәйкес келетін Б нұсқасы басым нұсқа ретінде қабылданды. В нұсқасын базалық нұсқа аясында жекелеген объектілерді уақытша кезең-кезеңімен іске қосу үшін пайдалануға болады, алайда оны ауыр ТББ кәсіпорындары үшін теміржол инфрақұрылымын толық алмастыратын шешім ретінде қарастыруға болмайды.</w:t>
      </w:r>
    </w:p>
    <w:p w14:paraId="33776836">
      <w:pPr>
        <w:spacing w:line="240" w:lineRule="auto"/>
        <w:rPr>
          <w:rFonts w:ascii="Cambria" w:hAnsi="Cambria"/>
          <w:lang w:val="ru-RU"/>
        </w:rPr>
      </w:pPr>
      <w:r>
        <w:rPr>
          <w:rFonts w:ascii="Cambria" w:hAnsi="Cambria"/>
          <w:lang w:val="ru-RU"/>
        </w:rPr>
        <w:t>Өнеркәсіп өндірісін ұйымдастыруда жекелеген кәсіпорындар қалыптау, араластыру, жылумен-ылғалмен өңдеу, қаптау және дайын бұйымдарды сақтау желілері бар дербес технологиялық кешен ретінде қарастырылады. Резиденттер арасында бірыңғай технологиялық кешен құрылмайды. Кооперация ең алдымен цементпен жабдықтау, қолжетімді сыртқы коммуникацияларды бірлесіп пайдалану және жүк логистикасын үйлестіру арқылы қалыптасады. Бұл әртүрлі жеті өндірістің бизнес-процестерін бір өндірістік желіге жасанды түрде біріктіру қажеттігін болдырмайды.</w:t>
      </w:r>
    </w:p>
    <w:p w14:paraId="06E5B065">
      <w:pPr>
        <w:pStyle w:val="3"/>
        <w:spacing w:line="240" w:lineRule="auto"/>
        <w:rPr>
          <w:rFonts w:ascii="Cambria" w:hAnsi="Cambria"/>
          <w:lang w:val="ru-RU"/>
        </w:rPr>
      </w:pPr>
      <w:bookmarkStart w:id="45" w:name="__RefHeading___Toc9572_2617525462"/>
      <w:bookmarkEnd w:id="45"/>
      <w:r>
        <w:rPr>
          <w:rFonts w:ascii="Cambria" w:hAnsi="Cambria"/>
          <w:lang w:val="ru-RU"/>
        </w:rPr>
        <w:t>9.2. Индустриялық аймақты дамытудың таңдалған нұсқасын негіздеу</w:t>
      </w:r>
    </w:p>
    <w:p w14:paraId="34ACBED3">
      <w:pPr>
        <w:spacing w:line="240" w:lineRule="auto"/>
        <w:rPr>
          <w:rFonts w:ascii="Cambria" w:hAnsi="Cambria"/>
          <w:lang w:val="ru-RU"/>
        </w:rPr>
      </w:pPr>
      <w:r>
        <w:rPr>
          <w:rFonts w:ascii="Cambria" w:hAnsi="Cambria"/>
          <w:lang w:val="ru-RU"/>
        </w:rPr>
        <w:t>Базалық нұсқа ИА-ны инвестициялық және пайдалану жауапкершілігін бөле отырып құруды көздейді. Инфрақұрылым компоненті алаңдар мен ресурстарға қолжетімділік жағдайларын қалыптастырады, ал жеке қатысушылар өндірістік ғимараттарды, жабдықтарды, алаңішілік технологиялық жолдарды, мамандандырылған сақтау алаңдары мен тікелей өздерінің технологиялық процестеріне қызмет көрсететін желілерді қаржыландырады. Басқарушы компания берілген өкілеттіктер шегінде резиденттермен, инфрақұрылым иелерімен және мемлекеттік органдармен өзара іс-қимылды ұйымдастырып үйлестіреді.</w:t>
      </w:r>
    </w:p>
    <w:p w14:paraId="62217DF7">
      <w:pPr>
        <w:spacing w:line="240" w:lineRule="auto"/>
        <w:rPr>
          <w:rFonts w:ascii="Cambria" w:hAnsi="Cambria"/>
          <w:lang w:val="ru-RU"/>
        </w:rPr>
      </w:pPr>
      <w:r>
        <w:rPr>
          <w:rFonts w:ascii="Cambria" w:hAnsi="Cambria"/>
          <w:lang w:val="ru-RU"/>
        </w:rPr>
        <w:t>Энергетика бөлігінде Тұжырымдама мақсаттары үшін цемент зауытында болашақ ИА тұтынушыларына арналған кемінде 10 МВт бос электр қуатының резерві бар деп болжанады. Есептік бөлу – әр алаңға 5 МВт-тан. Қосылу схемасы дербес коммерциялық есепке алу, баланстық тиесілікті, пайдалану жауапкершілігін, техникалық қызмет көрсету тәртібі мен электрмен жабдықтау сапасын шектеу шартымен қосалқы тұтынушылар ретінде қарастырылады. Сыртқы желінің кернеу класы мен электр қуатын беру нүктелері цемент зауытының техникалық құжаттамасымен айқындалуға тиіс.</w:t>
      </w:r>
    </w:p>
    <w:p w14:paraId="39EA5A5A">
      <w:pPr>
        <w:spacing w:line="240" w:lineRule="auto"/>
        <w:rPr>
          <w:rFonts w:ascii="Cambria" w:hAnsi="Cambria"/>
          <w:lang w:val="ru-RU"/>
        </w:rPr>
      </w:pPr>
      <w:r>
        <w:rPr>
          <w:rFonts w:ascii="Cambria" w:hAnsi="Cambria"/>
          <w:lang w:val="ru-RU"/>
        </w:rPr>
        <w:t>Сумен жабдықтау, автомобиль кірме жолдары мен теміржол қатынасы үшін жаңадан құрылып жатқан коммуникацияларды пайдалану қағидаты қолданылады. Алайда теміржол жолдарын пайдалану және тасымалдау қызметі дербес техникалық және шарттық шешімдермен рәсімделуге тиіс. Жеке тиеу фронттары мен кәсіпорындардың технологиялық алаңдарына қажеттілік бұйымдар номенклатурасы мен жөнелтудің күтілетін көлеміне қарай айқындалады.</w:t>
      </w:r>
    </w:p>
    <w:p w14:paraId="6E98FE91">
      <w:pPr>
        <w:spacing w:line="240" w:lineRule="auto"/>
        <w:rPr>
          <w:rFonts w:ascii="Cambria" w:hAnsi="Cambria"/>
          <w:lang w:val="ru-RU"/>
        </w:rPr>
      </w:pPr>
      <w:r>
        <w:rPr>
          <w:rFonts w:ascii="Cambria" w:hAnsi="Cambria"/>
          <w:lang w:val="ru-RU"/>
        </w:rPr>
        <w:t>Іске асырудың жеке шарты – бастапқы ауданы 2 204 га, кадастрлық нөмірі 02-023-020-238 болатын «Қосбол» шаруа қожалығының жер массивінен екі алаң бөліп алу, қолданыстағы жер пайдалану құқықтарын заңды түрде реттеу және белгіленген тәртіппен жер санаты мен нысаналы мақсатын өзгерту. Инвесторларға учаскелер берілгенге және аумаққа рәсімделген құқықтарды қажет ететін жұмыстар басталғанға дейін жер-құқықтық рәсімдер аяқталуға тиіс.</w:t>
      </w:r>
    </w:p>
    <w:p w14:paraId="7E6AF2A3">
      <w:pPr>
        <w:pStyle w:val="75"/>
        <w:keepNext/>
        <w:spacing w:line="240" w:lineRule="auto"/>
        <w:rPr>
          <w:rFonts w:ascii="Cambria" w:hAnsi="Cambria"/>
          <w:lang w:val="ru-RU"/>
        </w:rPr>
      </w:pPr>
      <w:r>
        <w:rPr>
          <w:rFonts w:ascii="Cambria" w:hAnsi="Cambria"/>
          <w:lang w:val="ru-RU"/>
        </w:rPr>
        <w:t>9.2-кесте – ИА-ны практикалық іске асыруға көшудің негізгі шарттары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1452"/>
        <w:gridCol w:w="4307"/>
        <w:gridCol w:w="3716"/>
      </w:tblGrid>
      <w:tr w14:paraId="0DDD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67EB620E">
            <w:pPr>
              <w:spacing w:after="0" w:line="240" w:lineRule="auto"/>
              <w:ind w:firstLine="0"/>
              <w:jc w:val="center"/>
              <w:rPr>
                <w:rFonts w:ascii="Cambria" w:hAnsi="Cambria"/>
              </w:rPr>
            </w:pPr>
            <w:r>
              <w:rPr>
                <w:rFonts w:ascii="Cambria" w:hAnsi="Cambria"/>
                <w:b/>
                <w:color w:val="FFFFFF"/>
                <w:sz w:val="15"/>
              </w:rPr>
              <w:t>Бақылау блогы</w:t>
            </w:r>
          </w:p>
        </w:tc>
        <w:tc>
          <w:tcPr>
            <w:tcW w:w="0" w:type="auto"/>
            <w:shd w:val="clear" w:color="auto" w:fill="23486F"/>
            <w:vAlign w:val="center"/>
          </w:tcPr>
          <w:p w14:paraId="4C1DA341">
            <w:pPr>
              <w:spacing w:after="0" w:line="240" w:lineRule="auto"/>
              <w:ind w:firstLine="0"/>
              <w:jc w:val="center"/>
              <w:rPr>
                <w:rFonts w:ascii="Cambria" w:hAnsi="Cambria"/>
              </w:rPr>
            </w:pPr>
            <w:r>
              <w:rPr>
                <w:rFonts w:ascii="Cambria" w:hAnsi="Cambria"/>
                <w:b/>
                <w:color w:val="FFFFFF"/>
                <w:sz w:val="15"/>
              </w:rPr>
              <w:t>Қажетті растау / нәтиже</w:t>
            </w:r>
          </w:p>
        </w:tc>
        <w:tc>
          <w:tcPr>
            <w:tcW w:w="0" w:type="auto"/>
            <w:shd w:val="clear" w:color="auto" w:fill="23486F"/>
            <w:vAlign w:val="center"/>
          </w:tcPr>
          <w:p w14:paraId="280CCB3B">
            <w:pPr>
              <w:spacing w:after="0" w:line="240" w:lineRule="auto"/>
              <w:ind w:firstLine="0"/>
              <w:jc w:val="center"/>
              <w:rPr>
                <w:rFonts w:ascii="Cambria" w:hAnsi="Cambria"/>
              </w:rPr>
            </w:pPr>
            <w:r>
              <w:rPr>
                <w:rFonts w:ascii="Cambria" w:hAnsi="Cambria"/>
                <w:b/>
                <w:color w:val="FFFFFF"/>
                <w:sz w:val="15"/>
              </w:rPr>
              <w:t>Пысықтауға жауапты негізгі қатысушы</w:t>
            </w:r>
          </w:p>
        </w:tc>
      </w:tr>
      <w:tr w14:paraId="767F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030680A8">
            <w:pPr>
              <w:spacing w:after="0" w:line="240" w:lineRule="auto"/>
              <w:ind w:firstLine="0"/>
              <w:jc w:val="left"/>
              <w:rPr>
                <w:rFonts w:ascii="Cambria" w:hAnsi="Cambria"/>
              </w:rPr>
            </w:pPr>
            <w:r>
              <w:rPr>
                <w:rFonts w:ascii="Cambria" w:hAnsi="Cambria"/>
                <w:color w:val="1C2839"/>
                <w:sz w:val="16"/>
              </w:rPr>
              <w:t>Жер</w:t>
            </w:r>
          </w:p>
        </w:tc>
        <w:tc>
          <w:tcPr>
            <w:tcW w:w="0" w:type="auto"/>
            <w:vAlign w:val="center"/>
          </w:tcPr>
          <w:p w14:paraId="2B826B26">
            <w:pPr>
              <w:spacing w:after="0" w:line="240" w:lineRule="auto"/>
              <w:ind w:firstLine="0"/>
              <w:jc w:val="left"/>
              <w:rPr>
                <w:rFonts w:ascii="Cambria" w:hAnsi="Cambria"/>
                <w:lang w:val="ru-RU"/>
              </w:rPr>
            </w:pPr>
            <w:r>
              <w:rPr>
                <w:rFonts w:ascii="Cambria" w:hAnsi="Cambria"/>
                <w:color w:val="1C2839"/>
                <w:sz w:val="16"/>
                <w:lang w:val="ru-RU"/>
              </w:rPr>
              <w:t>Ауданы 122 және 78 га екі учаскені бөлудің құқықтық негізі, белгіленген шекаралар, құқықтар және рұқсат етілген нысаналы пайдалану.</w:t>
            </w:r>
          </w:p>
        </w:tc>
        <w:tc>
          <w:tcPr>
            <w:tcW w:w="0" w:type="auto"/>
            <w:vAlign w:val="center"/>
          </w:tcPr>
          <w:p w14:paraId="45555A89">
            <w:pPr>
              <w:spacing w:after="0" w:line="240" w:lineRule="auto"/>
              <w:ind w:firstLine="0"/>
              <w:jc w:val="left"/>
              <w:rPr>
                <w:rFonts w:ascii="Cambria" w:hAnsi="Cambria"/>
                <w:lang w:val="ru-RU"/>
              </w:rPr>
            </w:pPr>
            <w:r>
              <w:rPr>
                <w:rFonts w:ascii="Cambria" w:hAnsi="Cambria"/>
                <w:color w:val="1C2839"/>
                <w:sz w:val="16"/>
                <w:lang w:val="ru-RU"/>
              </w:rPr>
              <w:t>Байғанин ауданының әкімдігі, Ақтөбе облысының әкімдігі, жер органдары, жер пайдаланушы.</w:t>
            </w:r>
          </w:p>
        </w:tc>
      </w:tr>
      <w:tr w14:paraId="3C2D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060BA33C">
            <w:pPr>
              <w:spacing w:after="0" w:line="240" w:lineRule="auto"/>
              <w:ind w:firstLine="0"/>
              <w:jc w:val="left"/>
              <w:rPr>
                <w:rFonts w:ascii="Cambria" w:hAnsi="Cambria"/>
              </w:rPr>
            </w:pPr>
            <w:r>
              <w:rPr>
                <w:rFonts w:ascii="Cambria" w:hAnsi="Cambria"/>
                <w:color w:val="1C2839"/>
                <w:sz w:val="16"/>
              </w:rPr>
              <w:t>Электр энергиясы</w:t>
            </w:r>
          </w:p>
        </w:tc>
        <w:tc>
          <w:tcPr>
            <w:tcW w:w="0" w:type="auto"/>
            <w:shd w:val="clear" w:color="auto" w:fill="F0F5F9"/>
            <w:vAlign w:val="center"/>
          </w:tcPr>
          <w:p w14:paraId="0781D9BE">
            <w:pPr>
              <w:spacing w:after="0" w:line="240" w:lineRule="auto"/>
              <w:ind w:firstLine="0"/>
              <w:jc w:val="left"/>
              <w:rPr>
                <w:rFonts w:ascii="Cambria" w:hAnsi="Cambria"/>
                <w:lang w:val="ru-RU"/>
              </w:rPr>
            </w:pPr>
            <w:r>
              <w:rPr>
                <w:rFonts w:ascii="Cambria" w:hAnsi="Cambria"/>
                <w:color w:val="1C2839"/>
                <w:sz w:val="16"/>
                <w:lang w:val="ru-RU"/>
              </w:rPr>
              <w:t>10 МВт қолжетімді резервтің расталуы, қосалқы тұтынушылардың техникалық схемасы, есепке алу және пайдалану шекаралары.</w:t>
            </w:r>
          </w:p>
        </w:tc>
        <w:tc>
          <w:tcPr>
            <w:tcW w:w="0" w:type="auto"/>
            <w:shd w:val="clear" w:color="auto" w:fill="F0F5F9"/>
            <w:vAlign w:val="center"/>
          </w:tcPr>
          <w:p w14:paraId="1B8AF031">
            <w:pPr>
              <w:spacing w:after="0" w:line="240" w:lineRule="auto"/>
              <w:ind w:firstLine="0"/>
              <w:jc w:val="left"/>
              <w:rPr>
                <w:rFonts w:ascii="Cambria" w:hAnsi="Cambria"/>
                <w:lang w:val="ru-RU"/>
              </w:rPr>
            </w:pPr>
            <w:r>
              <w:rPr>
                <w:rFonts w:ascii="Cambria" w:hAnsi="Cambria"/>
                <w:color w:val="1C2839"/>
                <w:sz w:val="16"/>
                <w:lang w:val="ru-RU"/>
              </w:rPr>
              <w:t>Зауыт инфрақұрылымының иесі, энергия беруші ұйым, басқарушы компания.</w:t>
            </w:r>
          </w:p>
        </w:tc>
      </w:tr>
      <w:tr w14:paraId="22DF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330AADA2">
            <w:pPr>
              <w:spacing w:after="0" w:line="240" w:lineRule="auto"/>
              <w:ind w:firstLine="0"/>
              <w:jc w:val="left"/>
              <w:rPr>
                <w:rFonts w:ascii="Cambria" w:hAnsi="Cambria"/>
              </w:rPr>
            </w:pPr>
            <w:r>
              <w:rPr>
                <w:rFonts w:ascii="Cambria" w:hAnsi="Cambria"/>
                <w:color w:val="1C2839"/>
                <w:sz w:val="16"/>
              </w:rPr>
              <w:t>Теміржол</w:t>
            </w:r>
          </w:p>
        </w:tc>
        <w:tc>
          <w:tcPr>
            <w:tcW w:w="0" w:type="auto"/>
            <w:vAlign w:val="center"/>
          </w:tcPr>
          <w:p w14:paraId="3BB3E443">
            <w:pPr>
              <w:spacing w:after="0" w:line="240" w:lineRule="auto"/>
              <w:ind w:firstLine="0"/>
              <w:jc w:val="left"/>
              <w:rPr>
                <w:rFonts w:ascii="Cambria" w:hAnsi="Cambria"/>
                <w:lang w:val="ru-RU"/>
              </w:rPr>
            </w:pPr>
            <w:r>
              <w:rPr>
                <w:rFonts w:ascii="Cambria" w:hAnsi="Cambria"/>
                <w:color w:val="1C2839"/>
                <w:sz w:val="16"/>
                <w:lang w:val="ru-RU"/>
              </w:rPr>
              <w:t>Кірме жол мен жолдарды пайдалану құқығы; вагондарды өңдеу және ауыр ТББ-ны жөнелту схемасының келісілген болуы.</w:t>
            </w:r>
          </w:p>
        </w:tc>
        <w:tc>
          <w:tcPr>
            <w:tcW w:w="0" w:type="auto"/>
            <w:vAlign w:val="center"/>
          </w:tcPr>
          <w:p w14:paraId="7F48B1F5">
            <w:pPr>
              <w:spacing w:after="0" w:line="240" w:lineRule="auto"/>
              <w:ind w:firstLine="0"/>
              <w:jc w:val="left"/>
              <w:rPr>
                <w:rFonts w:ascii="Cambria" w:hAnsi="Cambria"/>
                <w:lang w:val="ru-RU"/>
              </w:rPr>
            </w:pPr>
            <w:r>
              <w:rPr>
                <w:rFonts w:ascii="Cambria" w:hAnsi="Cambria"/>
                <w:color w:val="1C2839"/>
                <w:sz w:val="16"/>
                <w:lang w:val="ru-RU"/>
              </w:rPr>
              <w:t>Жол иесі, тасымалдаушы/оператор, уәкілетті ұйымдар.</w:t>
            </w:r>
          </w:p>
        </w:tc>
      </w:tr>
      <w:tr w14:paraId="0258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0564CA25">
            <w:pPr>
              <w:spacing w:after="0" w:line="240" w:lineRule="auto"/>
              <w:ind w:firstLine="0"/>
              <w:jc w:val="left"/>
              <w:rPr>
                <w:rFonts w:ascii="Cambria" w:hAnsi="Cambria"/>
              </w:rPr>
            </w:pPr>
            <w:r>
              <w:rPr>
                <w:rFonts w:ascii="Cambria" w:hAnsi="Cambria"/>
                <w:color w:val="1C2839"/>
                <w:sz w:val="16"/>
              </w:rPr>
              <w:t>Автомобиль жолдары және өту</w:t>
            </w:r>
          </w:p>
        </w:tc>
        <w:tc>
          <w:tcPr>
            <w:tcW w:w="0" w:type="auto"/>
            <w:shd w:val="clear" w:color="auto" w:fill="F0F5F9"/>
            <w:vAlign w:val="center"/>
          </w:tcPr>
          <w:p w14:paraId="06ABA38B">
            <w:pPr>
              <w:spacing w:after="0" w:line="240" w:lineRule="auto"/>
              <w:ind w:firstLine="0"/>
              <w:jc w:val="left"/>
              <w:rPr>
                <w:rFonts w:ascii="Cambria" w:hAnsi="Cambria"/>
                <w:lang w:val="ru-RU"/>
              </w:rPr>
            </w:pPr>
            <w:r>
              <w:rPr>
                <w:rFonts w:ascii="Cambria" w:hAnsi="Cambria"/>
                <w:color w:val="1C2839"/>
                <w:sz w:val="16"/>
                <w:lang w:val="ru-RU"/>
              </w:rPr>
              <w:t>Техникалық талаптарға сай кірме жолдар, өту режимінің заңдылығы, ауыр жүк көлігінің қозғалу мүмкіндігі.</w:t>
            </w:r>
          </w:p>
        </w:tc>
        <w:tc>
          <w:tcPr>
            <w:tcW w:w="0" w:type="auto"/>
            <w:shd w:val="clear" w:color="auto" w:fill="F0F5F9"/>
            <w:vAlign w:val="center"/>
          </w:tcPr>
          <w:p w14:paraId="01ADC485">
            <w:pPr>
              <w:spacing w:after="0" w:line="240" w:lineRule="auto"/>
              <w:ind w:firstLine="0"/>
              <w:jc w:val="left"/>
              <w:rPr>
                <w:rFonts w:ascii="Cambria" w:hAnsi="Cambria"/>
              </w:rPr>
            </w:pPr>
            <w:r>
              <w:rPr>
                <w:rFonts w:ascii="Cambria" w:hAnsi="Cambria"/>
                <w:color w:val="1C2839"/>
                <w:sz w:val="16"/>
              </w:rPr>
              <w:t>Жол иесі, әкімдік, жобалаушылар.</w:t>
            </w:r>
          </w:p>
        </w:tc>
      </w:tr>
      <w:tr w14:paraId="2ECE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265EEF4B">
            <w:pPr>
              <w:spacing w:after="0" w:line="240" w:lineRule="auto"/>
              <w:ind w:firstLine="0"/>
              <w:jc w:val="left"/>
              <w:rPr>
                <w:rFonts w:ascii="Cambria" w:hAnsi="Cambria"/>
              </w:rPr>
            </w:pPr>
            <w:r>
              <w:rPr>
                <w:rFonts w:ascii="Cambria" w:hAnsi="Cambria"/>
                <w:color w:val="1C2839"/>
                <w:sz w:val="16"/>
              </w:rPr>
              <w:t>Су және су бұру</w:t>
            </w:r>
          </w:p>
        </w:tc>
        <w:tc>
          <w:tcPr>
            <w:tcW w:w="0" w:type="auto"/>
            <w:vAlign w:val="center"/>
          </w:tcPr>
          <w:p w14:paraId="230EC478">
            <w:pPr>
              <w:spacing w:after="0" w:line="240" w:lineRule="auto"/>
              <w:ind w:firstLine="0"/>
              <w:jc w:val="left"/>
              <w:rPr>
                <w:rFonts w:ascii="Cambria" w:hAnsi="Cambria"/>
                <w:lang w:val="ru-RU"/>
              </w:rPr>
            </w:pPr>
            <w:r>
              <w:rPr>
                <w:rFonts w:ascii="Cambria" w:hAnsi="Cambria"/>
                <w:color w:val="1C2839"/>
                <w:sz w:val="16"/>
                <w:lang w:val="ru-RU"/>
              </w:rPr>
              <w:t>Расталған лимиттер мен қосылу шарттары; айналымды су мен ағынды су жөніндегі шешім.</w:t>
            </w:r>
          </w:p>
        </w:tc>
        <w:tc>
          <w:tcPr>
            <w:tcW w:w="0" w:type="auto"/>
            <w:vAlign w:val="center"/>
          </w:tcPr>
          <w:p w14:paraId="0893F295">
            <w:pPr>
              <w:spacing w:after="0" w:line="240" w:lineRule="auto"/>
              <w:ind w:firstLine="0"/>
              <w:jc w:val="left"/>
              <w:rPr>
                <w:rFonts w:ascii="Cambria" w:hAnsi="Cambria"/>
              </w:rPr>
            </w:pPr>
            <w:r>
              <w:rPr>
                <w:rFonts w:ascii="Cambria" w:hAnsi="Cambria"/>
                <w:color w:val="1C2839"/>
                <w:sz w:val="16"/>
              </w:rPr>
              <w:t>Жүйе иесі, резиденттер, жобалаушылар.</w:t>
            </w:r>
          </w:p>
        </w:tc>
      </w:tr>
      <w:tr w14:paraId="5BF2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FF3BF60">
            <w:pPr>
              <w:spacing w:after="0" w:line="240" w:lineRule="auto"/>
              <w:ind w:firstLine="0"/>
              <w:jc w:val="left"/>
              <w:rPr>
                <w:rFonts w:ascii="Cambria" w:hAnsi="Cambria"/>
              </w:rPr>
            </w:pPr>
            <w:r>
              <w:rPr>
                <w:rFonts w:ascii="Cambria" w:hAnsi="Cambria"/>
                <w:color w:val="1C2839"/>
                <w:sz w:val="16"/>
              </w:rPr>
              <w:t>Резиденттер және өткізу</w:t>
            </w:r>
          </w:p>
        </w:tc>
        <w:tc>
          <w:tcPr>
            <w:tcW w:w="0" w:type="auto"/>
            <w:shd w:val="clear" w:color="auto" w:fill="F0F5F9"/>
            <w:vAlign w:val="center"/>
          </w:tcPr>
          <w:p w14:paraId="350194ED">
            <w:pPr>
              <w:spacing w:after="0" w:line="240" w:lineRule="auto"/>
              <w:ind w:firstLine="0"/>
              <w:jc w:val="left"/>
              <w:rPr>
                <w:rFonts w:ascii="Cambria" w:hAnsi="Cambria"/>
                <w:lang w:val="ru-RU"/>
              </w:rPr>
            </w:pPr>
            <w:r>
              <w:rPr>
                <w:rFonts w:ascii="Cambria" w:hAnsi="Cambria"/>
                <w:color w:val="1C2839"/>
                <w:sz w:val="16"/>
                <w:lang w:val="ru-RU"/>
              </w:rPr>
              <w:t>Инвестордың, технологиялық желі параметрлерінің, цемент сатып алу және дайын өнімді өткізу арналарының расталуы.</w:t>
            </w:r>
          </w:p>
        </w:tc>
        <w:tc>
          <w:tcPr>
            <w:tcW w:w="0" w:type="auto"/>
            <w:shd w:val="clear" w:color="auto" w:fill="F0F5F9"/>
            <w:vAlign w:val="center"/>
          </w:tcPr>
          <w:p w14:paraId="18BB13C7">
            <w:pPr>
              <w:spacing w:after="0" w:line="240" w:lineRule="auto"/>
              <w:ind w:firstLine="0"/>
              <w:jc w:val="left"/>
              <w:rPr>
                <w:rFonts w:ascii="Cambria" w:hAnsi="Cambria"/>
              </w:rPr>
            </w:pPr>
            <w:r>
              <w:rPr>
                <w:rFonts w:ascii="Cambria" w:hAnsi="Cambria"/>
                <w:color w:val="1C2839"/>
                <w:sz w:val="16"/>
              </w:rPr>
              <w:t>Әлеуетті инвесторлар, басқарушы компания.</w:t>
            </w:r>
          </w:p>
        </w:tc>
      </w:tr>
      <w:tr w14:paraId="3D27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00E434FB">
            <w:pPr>
              <w:spacing w:after="0" w:line="240" w:lineRule="auto"/>
              <w:ind w:firstLine="0"/>
              <w:jc w:val="left"/>
              <w:rPr>
                <w:rFonts w:ascii="Cambria" w:hAnsi="Cambria"/>
              </w:rPr>
            </w:pPr>
            <w:r>
              <w:rPr>
                <w:rFonts w:ascii="Cambria" w:hAnsi="Cambria"/>
                <w:color w:val="1C2839"/>
                <w:sz w:val="16"/>
              </w:rPr>
              <w:t>Экология және қауіпсіздік</w:t>
            </w:r>
          </w:p>
        </w:tc>
        <w:tc>
          <w:tcPr>
            <w:tcW w:w="0" w:type="auto"/>
            <w:vAlign w:val="center"/>
          </w:tcPr>
          <w:p w14:paraId="4DD12EF7">
            <w:pPr>
              <w:spacing w:after="0" w:line="240" w:lineRule="auto"/>
              <w:ind w:firstLine="0"/>
              <w:jc w:val="left"/>
              <w:rPr>
                <w:rFonts w:ascii="Cambria" w:hAnsi="Cambria"/>
                <w:lang w:val="ru-RU"/>
              </w:rPr>
            </w:pPr>
            <w:r>
              <w:rPr>
                <w:rFonts w:ascii="Cambria" w:hAnsi="Cambria"/>
                <w:color w:val="1C2839"/>
                <w:sz w:val="16"/>
                <w:lang w:val="ru-RU"/>
              </w:rPr>
              <w:t>Қолданылатын экологиялық рәсімдерді, санитариялық шектеулер мен өрт қауіпсіздігі талаптарын айқындау.</w:t>
            </w:r>
          </w:p>
        </w:tc>
        <w:tc>
          <w:tcPr>
            <w:tcW w:w="0" w:type="auto"/>
            <w:vAlign w:val="center"/>
          </w:tcPr>
          <w:p w14:paraId="6D0392E5">
            <w:pPr>
              <w:spacing w:after="0" w:line="240" w:lineRule="auto"/>
              <w:ind w:firstLine="0"/>
              <w:jc w:val="left"/>
              <w:rPr>
                <w:rFonts w:ascii="Cambria" w:hAnsi="Cambria"/>
              </w:rPr>
            </w:pPr>
            <w:r>
              <w:rPr>
                <w:rFonts w:ascii="Cambria" w:hAnsi="Cambria"/>
                <w:color w:val="1C2839"/>
                <w:sz w:val="16"/>
              </w:rPr>
              <w:t>Резиденттер, жобалаушылар, бейінді органдар.</w:t>
            </w:r>
          </w:p>
        </w:tc>
      </w:tr>
    </w:tbl>
    <w:p w14:paraId="064B64A5">
      <w:pPr>
        <w:pStyle w:val="3"/>
        <w:spacing w:line="240" w:lineRule="auto"/>
        <w:rPr>
          <w:rFonts w:ascii="Cambria" w:hAnsi="Cambria"/>
          <w:lang w:val="ru-RU"/>
        </w:rPr>
      </w:pPr>
      <w:bookmarkStart w:id="46" w:name="__RefHeading___Toc9574_2617525462"/>
      <w:bookmarkEnd w:id="46"/>
      <w:r>
        <w:rPr>
          <w:rFonts w:ascii="Cambria" w:hAnsi="Cambria"/>
          <w:lang w:val="ru-RU"/>
        </w:rPr>
        <w:t>9.3. Индустриялық аймақтың ауқымы және өндірістік қуаттарды игеру серпіні</w:t>
      </w:r>
    </w:p>
    <w:p w14:paraId="1560B761">
      <w:pPr>
        <w:spacing w:line="240" w:lineRule="auto"/>
        <w:rPr>
          <w:rFonts w:ascii="Cambria" w:hAnsi="Cambria"/>
          <w:lang w:val="ru-RU"/>
        </w:rPr>
      </w:pPr>
      <w:r>
        <w:rPr>
          <w:rFonts w:ascii="Cambria" w:hAnsi="Cambria"/>
          <w:lang w:val="ru-RU"/>
        </w:rPr>
        <w:t>ИА-ның есептік ауқымы әрқайсысында ауданы 122 және 78 га болатын, өзара байланысты төрт бағыттағы жеті өндірісті орналастыру жоспарланған екі алаңмен айқындалған. Қабылданған кеңістіктік құрылым ауыр темірбетон бұйымдарын № 1 алаңда, ал құрғақ құрылыс қоспаларын, фиброцемент және шағын бетон бұйымдарын № 2 алаңда шоғырландыруға мүмкіндік береді. Кәсіпорындардың жер учаскелеріне технологиялық объектілер, темірбетон өнімдерінің бір бөлігін күтіп-баптау мен сақтауға арналған ашық алаңдар, жеке тиеу аймақтары және алаңішілік қозғалыс жолдары кіреді.</w:t>
      </w:r>
    </w:p>
    <w:p w14:paraId="3A67C8E0">
      <w:pPr>
        <w:spacing w:line="240" w:lineRule="auto"/>
        <w:rPr>
          <w:rFonts w:ascii="Cambria" w:hAnsi="Cambria"/>
          <w:lang w:val="ru-RU"/>
        </w:rPr>
      </w:pPr>
      <w:r>
        <w:rPr>
          <w:rFonts w:ascii="Cambria" w:hAnsi="Cambria"/>
          <w:lang w:val="ru-RU"/>
        </w:rPr>
        <w:t>Әр жоба бойынша өндірістік қуат әлеуетті инвестор ұсына алатын бағдарлық параметр ретінде белгіленген. Кезектілікті жоспарлау кезінде инвестициялық кестелер ескерілді: жекелеген өндірістерге күрделі салымдар дайындық жұмыстары басталғаннан кейін де жалғасады, ал толық жобалық қуатқа шығу құрылыс, сынақтар аяқталып, өткізу нарығы расталғаннан кейін ғана мүмкін болады.</w:t>
      </w:r>
    </w:p>
    <w:p w14:paraId="3A91FB8A">
      <w:pPr>
        <w:pStyle w:val="75"/>
        <w:keepNext/>
        <w:spacing w:line="240" w:lineRule="auto"/>
        <w:rPr>
          <w:rFonts w:ascii="Cambria" w:hAnsi="Cambria"/>
          <w:lang w:val="ru-RU"/>
        </w:rPr>
      </w:pPr>
      <w:r>
        <w:rPr>
          <w:rFonts w:ascii="Cambria" w:hAnsi="Cambria"/>
          <w:lang w:val="ru-RU"/>
        </w:rPr>
        <w:t>9.3-кесте – Аумақтық құрылым және өндірістерді пайдалануға беру мерзімдерінің бағдарлары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791"/>
        <w:gridCol w:w="3570"/>
        <w:gridCol w:w="878"/>
        <w:gridCol w:w="1137"/>
        <w:gridCol w:w="3099"/>
      </w:tblGrid>
      <w:tr w14:paraId="75AC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0D6B9F86">
            <w:pPr>
              <w:spacing w:after="0" w:line="240" w:lineRule="auto"/>
              <w:ind w:firstLine="0"/>
              <w:jc w:val="center"/>
              <w:rPr>
                <w:rFonts w:ascii="Cambria" w:hAnsi="Cambria"/>
              </w:rPr>
            </w:pPr>
            <w:r>
              <w:rPr>
                <w:rFonts w:ascii="Cambria" w:hAnsi="Cambria"/>
                <w:b/>
                <w:color w:val="FFFFFF"/>
                <w:sz w:val="15"/>
              </w:rPr>
              <w:t>№ / алаң</w:t>
            </w:r>
          </w:p>
        </w:tc>
        <w:tc>
          <w:tcPr>
            <w:tcW w:w="0" w:type="auto"/>
            <w:shd w:val="clear" w:color="auto" w:fill="23486F"/>
            <w:vAlign w:val="center"/>
          </w:tcPr>
          <w:p w14:paraId="74D3889B">
            <w:pPr>
              <w:spacing w:after="0" w:line="240" w:lineRule="auto"/>
              <w:ind w:firstLine="0"/>
              <w:jc w:val="center"/>
              <w:rPr>
                <w:rFonts w:ascii="Cambria" w:hAnsi="Cambria"/>
              </w:rPr>
            </w:pPr>
            <w:r>
              <w:rPr>
                <w:rFonts w:ascii="Cambria" w:hAnsi="Cambria"/>
                <w:b/>
                <w:color w:val="FFFFFF"/>
                <w:sz w:val="15"/>
              </w:rPr>
              <w:t>Жоба</w:t>
            </w:r>
          </w:p>
        </w:tc>
        <w:tc>
          <w:tcPr>
            <w:tcW w:w="0" w:type="auto"/>
            <w:shd w:val="clear" w:color="auto" w:fill="23486F"/>
            <w:vAlign w:val="center"/>
          </w:tcPr>
          <w:p w14:paraId="722C9399">
            <w:pPr>
              <w:spacing w:after="0" w:line="240" w:lineRule="auto"/>
              <w:ind w:firstLine="0"/>
              <w:jc w:val="center"/>
              <w:rPr>
                <w:rFonts w:ascii="Cambria" w:hAnsi="Cambria"/>
              </w:rPr>
            </w:pPr>
            <w:r>
              <w:rPr>
                <w:rFonts w:ascii="Cambria" w:hAnsi="Cambria"/>
                <w:b/>
                <w:color w:val="FFFFFF"/>
                <w:sz w:val="15"/>
              </w:rPr>
              <w:t>Учаске, га</w:t>
            </w:r>
          </w:p>
        </w:tc>
        <w:tc>
          <w:tcPr>
            <w:tcW w:w="0" w:type="auto"/>
            <w:shd w:val="clear" w:color="auto" w:fill="23486F"/>
            <w:vAlign w:val="center"/>
          </w:tcPr>
          <w:p w14:paraId="33274700">
            <w:pPr>
              <w:spacing w:after="0" w:line="240" w:lineRule="auto"/>
              <w:ind w:firstLine="0"/>
              <w:jc w:val="center"/>
              <w:rPr>
                <w:rFonts w:ascii="Cambria" w:hAnsi="Cambria"/>
              </w:rPr>
            </w:pPr>
            <w:r>
              <w:rPr>
                <w:rFonts w:ascii="Cambria" w:hAnsi="Cambria"/>
                <w:b/>
                <w:color w:val="FFFFFF"/>
                <w:sz w:val="15"/>
              </w:rPr>
              <w:t>Жылдық қуат</w:t>
            </w:r>
          </w:p>
        </w:tc>
        <w:tc>
          <w:tcPr>
            <w:tcW w:w="0" w:type="auto"/>
            <w:shd w:val="clear" w:color="auto" w:fill="23486F"/>
            <w:vAlign w:val="center"/>
          </w:tcPr>
          <w:p w14:paraId="04DB8C91">
            <w:pPr>
              <w:spacing w:after="0" w:line="240" w:lineRule="auto"/>
              <w:ind w:firstLine="0"/>
              <w:jc w:val="center"/>
              <w:rPr>
                <w:rFonts w:ascii="Cambria" w:hAnsi="Cambria"/>
                <w:lang w:val="ru-RU"/>
              </w:rPr>
            </w:pPr>
            <w:r>
              <w:rPr>
                <w:rFonts w:ascii="Cambria" w:hAnsi="Cambria"/>
                <w:b/>
                <w:color w:val="FFFFFF"/>
                <w:sz w:val="15"/>
                <w:lang w:val="ru-RU"/>
              </w:rPr>
              <w:t>Негізгі кезекті аяқтаудың жоспарлы жылы</w:t>
            </w:r>
          </w:p>
        </w:tc>
      </w:tr>
      <w:tr w14:paraId="6C69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6D46B01B">
            <w:pPr>
              <w:spacing w:after="0" w:line="240" w:lineRule="auto"/>
              <w:ind w:firstLine="0"/>
              <w:jc w:val="center"/>
              <w:rPr>
                <w:rFonts w:ascii="Cambria" w:hAnsi="Cambria"/>
              </w:rPr>
            </w:pPr>
            <w:r>
              <w:rPr>
                <w:rFonts w:ascii="Cambria" w:hAnsi="Cambria"/>
                <w:color w:val="1C2839"/>
                <w:sz w:val="15"/>
              </w:rPr>
              <w:t>1 / № 1</w:t>
            </w:r>
          </w:p>
        </w:tc>
        <w:tc>
          <w:tcPr>
            <w:tcW w:w="0" w:type="auto"/>
            <w:vAlign w:val="center"/>
          </w:tcPr>
          <w:p w14:paraId="4BDEEA2D">
            <w:pPr>
              <w:spacing w:after="0" w:line="240" w:lineRule="auto"/>
              <w:ind w:firstLine="0"/>
              <w:jc w:val="left"/>
              <w:rPr>
                <w:rFonts w:ascii="Cambria" w:hAnsi="Cambria"/>
                <w:lang w:val="ru-RU"/>
              </w:rPr>
            </w:pPr>
            <w:r>
              <w:rPr>
                <w:rFonts w:ascii="Cambria" w:hAnsi="Cambria"/>
                <w:color w:val="1C2839"/>
                <w:sz w:val="15"/>
                <w:lang w:val="ru-RU"/>
              </w:rPr>
              <w:t>Жол және инфрақұрылым құрылысына арналған ТББ</w:t>
            </w:r>
          </w:p>
        </w:tc>
        <w:tc>
          <w:tcPr>
            <w:tcW w:w="0" w:type="auto"/>
            <w:vAlign w:val="center"/>
          </w:tcPr>
          <w:p w14:paraId="41CAAF9E">
            <w:pPr>
              <w:spacing w:after="0" w:line="240" w:lineRule="auto"/>
              <w:ind w:firstLine="0"/>
              <w:jc w:val="center"/>
              <w:rPr>
                <w:rFonts w:ascii="Cambria" w:hAnsi="Cambria"/>
              </w:rPr>
            </w:pPr>
            <w:r>
              <w:rPr>
                <w:rFonts w:ascii="Cambria" w:hAnsi="Cambria"/>
                <w:color w:val="1C2839"/>
                <w:sz w:val="15"/>
              </w:rPr>
              <w:t>8</w:t>
            </w:r>
          </w:p>
        </w:tc>
        <w:tc>
          <w:tcPr>
            <w:tcW w:w="0" w:type="auto"/>
            <w:vAlign w:val="center"/>
          </w:tcPr>
          <w:p w14:paraId="17C01020">
            <w:pPr>
              <w:spacing w:after="0" w:line="240" w:lineRule="auto"/>
              <w:ind w:firstLine="0"/>
              <w:jc w:val="center"/>
              <w:rPr>
                <w:rFonts w:ascii="Cambria" w:hAnsi="Cambria"/>
              </w:rPr>
            </w:pPr>
            <w:r>
              <w:rPr>
                <w:rFonts w:ascii="Cambria" w:hAnsi="Cambria"/>
                <w:color w:val="1C2839"/>
                <w:sz w:val="15"/>
              </w:rPr>
              <w:t>35 мың м³</w:t>
            </w:r>
          </w:p>
        </w:tc>
        <w:tc>
          <w:tcPr>
            <w:tcW w:w="0" w:type="auto"/>
            <w:vAlign w:val="center"/>
          </w:tcPr>
          <w:p w14:paraId="3E37594B">
            <w:pPr>
              <w:spacing w:after="0" w:line="240" w:lineRule="auto"/>
              <w:ind w:firstLine="0"/>
              <w:jc w:val="center"/>
              <w:rPr>
                <w:rFonts w:ascii="Cambria" w:hAnsi="Cambria"/>
              </w:rPr>
            </w:pPr>
            <w:r>
              <w:rPr>
                <w:rFonts w:ascii="Cambria" w:hAnsi="Cambria"/>
                <w:color w:val="1C2839"/>
                <w:sz w:val="15"/>
              </w:rPr>
              <w:t>2030</w:t>
            </w:r>
          </w:p>
        </w:tc>
      </w:tr>
      <w:tr w14:paraId="23D7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0761B6C">
            <w:pPr>
              <w:spacing w:after="0" w:line="240" w:lineRule="auto"/>
              <w:ind w:firstLine="0"/>
              <w:jc w:val="center"/>
              <w:rPr>
                <w:rFonts w:ascii="Cambria" w:hAnsi="Cambria"/>
              </w:rPr>
            </w:pPr>
            <w:r>
              <w:rPr>
                <w:rFonts w:ascii="Cambria" w:hAnsi="Cambria"/>
                <w:color w:val="1C2839"/>
                <w:sz w:val="15"/>
              </w:rPr>
              <w:t>2 / № 1</w:t>
            </w:r>
          </w:p>
        </w:tc>
        <w:tc>
          <w:tcPr>
            <w:tcW w:w="0" w:type="auto"/>
            <w:shd w:val="clear" w:color="auto" w:fill="F0F5F9"/>
            <w:vAlign w:val="center"/>
          </w:tcPr>
          <w:p w14:paraId="6E06B2C2">
            <w:pPr>
              <w:spacing w:after="0" w:line="240" w:lineRule="auto"/>
              <w:ind w:firstLine="0"/>
              <w:jc w:val="left"/>
              <w:rPr>
                <w:rFonts w:ascii="Cambria" w:hAnsi="Cambria"/>
              </w:rPr>
            </w:pPr>
            <w:r>
              <w:rPr>
                <w:rFonts w:ascii="Cambria" w:hAnsi="Cambria"/>
                <w:color w:val="1C2839"/>
                <w:sz w:val="15"/>
              </w:rPr>
              <w:t>Темірбетон шпалдар</w:t>
            </w:r>
          </w:p>
        </w:tc>
        <w:tc>
          <w:tcPr>
            <w:tcW w:w="0" w:type="auto"/>
            <w:shd w:val="clear" w:color="auto" w:fill="F0F5F9"/>
            <w:vAlign w:val="center"/>
          </w:tcPr>
          <w:p w14:paraId="1204A2FB">
            <w:pPr>
              <w:spacing w:after="0" w:line="240" w:lineRule="auto"/>
              <w:ind w:firstLine="0"/>
              <w:jc w:val="center"/>
              <w:rPr>
                <w:rFonts w:ascii="Cambria" w:hAnsi="Cambria"/>
              </w:rPr>
            </w:pPr>
            <w:r>
              <w:rPr>
                <w:rFonts w:ascii="Cambria" w:hAnsi="Cambria"/>
                <w:color w:val="1C2839"/>
                <w:sz w:val="15"/>
              </w:rPr>
              <w:t>5</w:t>
            </w:r>
          </w:p>
        </w:tc>
        <w:tc>
          <w:tcPr>
            <w:tcW w:w="0" w:type="auto"/>
            <w:shd w:val="clear" w:color="auto" w:fill="F0F5F9"/>
            <w:vAlign w:val="center"/>
          </w:tcPr>
          <w:p w14:paraId="56ED3D3E">
            <w:pPr>
              <w:spacing w:after="0" w:line="240" w:lineRule="auto"/>
              <w:ind w:firstLine="0"/>
              <w:jc w:val="center"/>
              <w:rPr>
                <w:rFonts w:ascii="Cambria" w:hAnsi="Cambria"/>
              </w:rPr>
            </w:pPr>
            <w:r>
              <w:rPr>
                <w:rFonts w:ascii="Cambria" w:hAnsi="Cambria"/>
                <w:color w:val="1C2839"/>
                <w:sz w:val="15"/>
              </w:rPr>
              <w:t>200 мың дана</w:t>
            </w:r>
          </w:p>
        </w:tc>
        <w:tc>
          <w:tcPr>
            <w:tcW w:w="0" w:type="auto"/>
            <w:shd w:val="clear" w:color="auto" w:fill="F0F5F9"/>
            <w:vAlign w:val="center"/>
          </w:tcPr>
          <w:p w14:paraId="665346FE">
            <w:pPr>
              <w:spacing w:after="0" w:line="240" w:lineRule="auto"/>
              <w:ind w:firstLine="0"/>
              <w:jc w:val="center"/>
              <w:rPr>
                <w:rFonts w:ascii="Cambria" w:hAnsi="Cambria"/>
              </w:rPr>
            </w:pPr>
            <w:r>
              <w:rPr>
                <w:rFonts w:ascii="Cambria" w:hAnsi="Cambria"/>
                <w:color w:val="1C2839"/>
                <w:sz w:val="15"/>
              </w:rPr>
              <w:t>2030</w:t>
            </w:r>
          </w:p>
        </w:tc>
      </w:tr>
      <w:tr w14:paraId="777D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195BCB31">
            <w:pPr>
              <w:spacing w:after="0" w:line="240" w:lineRule="auto"/>
              <w:ind w:firstLine="0"/>
              <w:jc w:val="center"/>
              <w:rPr>
                <w:rFonts w:ascii="Cambria" w:hAnsi="Cambria"/>
              </w:rPr>
            </w:pPr>
            <w:r>
              <w:rPr>
                <w:rFonts w:ascii="Cambria" w:hAnsi="Cambria"/>
                <w:color w:val="1C2839"/>
                <w:sz w:val="15"/>
              </w:rPr>
              <w:t>3 / № 1</w:t>
            </w:r>
          </w:p>
        </w:tc>
        <w:tc>
          <w:tcPr>
            <w:tcW w:w="0" w:type="auto"/>
            <w:vAlign w:val="center"/>
          </w:tcPr>
          <w:p w14:paraId="718EC52E">
            <w:pPr>
              <w:spacing w:after="0" w:line="240" w:lineRule="auto"/>
              <w:ind w:firstLine="0"/>
              <w:jc w:val="left"/>
              <w:rPr>
                <w:rFonts w:ascii="Cambria" w:hAnsi="Cambria"/>
              </w:rPr>
            </w:pPr>
            <w:r>
              <w:rPr>
                <w:rFonts w:ascii="Cambria" w:hAnsi="Cambria"/>
                <w:color w:val="1C2839"/>
                <w:sz w:val="15"/>
              </w:rPr>
              <w:t>Электр беру желілерінің темірбетон тіректері</w:t>
            </w:r>
          </w:p>
        </w:tc>
        <w:tc>
          <w:tcPr>
            <w:tcW w:w="0" w:type="auto"/>
            <w:vAlign w:val="center"/>
          </w:tcPr>
          <w:p w14:paraId="0D2F6043">
            <w:pPr>
              <w:spacing w:after="0" w:line="240" w:lineRule="auto"/>
              <w:ind w:firstLine="0"/>
              <w:jc w:val="center"/>
              <w:rPr>
                <w:rFonts w:ascii="Cambria" w:hAnsi="Cambria"/>
              </w:rPr>
            </w:pPr>
            <w:r>
              <w:rPr>
                <w:rFonts w:ascii="Cambria" w:hAnsi="Cambria"/>
                <w:color w:val="1C2839"/>
                <w:sz w:val="15"/>
              </w:rPr>
              <w:t>4</w:t>
            </w:r>
          </w:p>
        </w:tc>
        <w:tc>
          <w:tcPr>
            <w:tcW w:w="0" w:type="auto"/>
            <w:vAlign w:val="center"/>
          </w:tcPr>
          <w:p w14:paraId="6D8CA934">
            <w:pPr>
              <w:spacing w:after="0" w:line="240" w:lineRule="auto"/>
              <w:ind w:firstLine="0"/>
              <w:jc w:val="center"/>
              <w:rPr>
                <w:rFonts w:ascii="Cambria" w:hAnsi="Cambria"/>
              </w:rPr>
            </w:pPr>
            <w:r>
              <w:rPr>
                <w:rFonts w:ascii="Cambria" w:hAnsi="Cambria"/>
                <w:color w:val="1C2839"/>
                <w:sz w:val="15"/>
              </w:rPr>
              <w:t>25 мың дана</w:t>
            </w:r>
          </w:p>
        </w:tc>
        <w:tc>
          <w:tcPr>
            <w:tcW w:w="0" w:type="auto"/>
            <w:vAlign w:val="center"/>
          </w:tcPr>
          <w:p w14:paraId="484418F1">
            <w:pPr>
              <w:spacing w:after="0" w:line="240" w:lineRule="auto"/>
              <w:ind w:firstLine="0"/>
              <w:jc w:val="center"/>
              <w:rPr>
                <w:rFonts w:ascii="Cambria" w:hAnsi="Cambria"/>
              </w:rPr>
            </w:pPr>
            <w:r>
              <w:rPr>
                <w:rFonts w:ascii="Cambria" w:hAnsi="Cambria"/>
                <w:color w:val="1C2839"/>
                <w:sz w:val="15"/>
              </w:rPr>
              <w:t>2031</w:t>
            </w:r>
          </w:p>
        </w:tc>
      </w:tr>
      <w:tr w14:paraId="1FD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0" w:type="auto"/>
            <w:shd w:val="clear" w:color="auto" w:fill="F0F5F9"/>
            <w:vAlign w:val="center"/>
          </w:tcPr>
          <w:p w14:paraId="29CFF73F">
            <w:pPr>
              <w:spacing w:after="0" w:line="240" w:lineRule="auto"/>
              <w:ind w:firstLine="0"/>
              <w:jc w:val="center"/>
              <w:rPr>
                <w:rFonts w:ascii="Cambria" w:hAnsi="Cambria"/>
              </w:rPr>
            </w:pPr>
            <w:r>
              <w:rPr>
                <w:rFonts w:ascii="Cambria" w:hAnsi="Cambria"/>
                <w:color w:val="1C2839"/>
                <w:sz w:val="15"/>
              </w:rPr>
              <w:t>4 / № 1</w:t>
            </w:r>
          </w:p>
        </w:tc>
        <w:tc>
          <w:tcPr>
            <w:tcW w:w="0" w:type="auto"/>
            <w:shd w:val="clear" w:color="auto" w:fill="F0F5F9"/>
            <w:vAlign w:val="center"/>
          </w:tcPr>
          <w:p w14:paraId="2A4CF159">
            <w:pPr>
              <w:spacing w:after="0" w:line="240" w:lineRule="auto"/>
              <w:ind w:firstLine="0"/>
              <w:jc w:val="left"/>
              <w:rPr>
                <w:rFonts w:ascii="Cambria" w:hAnsi="Cambria"/>
              </w:rPr>
            </w:pPr>
            <w:r>
              <w:rPr>
                <w:rFonts w:ascii="Cambria" w:hAnsi="Cambria"/>
                <w:color w:val="1C2839"/>
                <w:sz w:val="15"/>
              </w:rPr>
              <w:t>Тұрғын үй құрылысына арналған ТББ</w:t>
            </w:r>
          </w:p>
        </w:tc>
        <w:tc>
          <w:tcPr>
            <w:tcW w:w="0" w:type="auto"/>
            <w:shd w:val="clear" w:color="auto" w:fill="F0F5F9"/>
            <w:vAlign w:val="center"/>
          </w:tcPr>
          <w:p w14:paraId="64D3A56B">
            <w:pPr>
              <w:spacing w:after="0" w:line="240" w:lineRule="auto"/>
              <w:ind w:firstLine="0"/>
              <w:jc w:val="center"/>
              <w:rPr>
                <w:rFonts w:ascii="Cambria" w:hAnsi="Cambria"/>
              </w:rPr>
            </w:pPr>
            <w:r>
              <w:rPr>
                <w:rFonts w:ascii="Cambria" w:hAnsi="Cambria"/>
                <w:color w:val="1C2839"/>
                <w:sz w:val="15"/>
              </w:rPr>
              <w:t>8</w:t>
            </w:r>
          </w:p>
        </w:tc>
        <w:tc>
          <w:tcPr>
            <w:tcW w:w="0" w:type="auto"/>
            <w:shd w:val="clear" w:color="auto" w:fill="F0F5F9"/>
            <w:vAlign w:val="center"/>
          </w:tcPr>
          <w:p w14:paraId="267DDBA8">
            <w:pPr>
              <w:spacing w:after="0" w:line="240" w:lineRule="auto"/>
              <w:ind w:firstLine="0"/>
              <w:jc w:val="center"/>
              <w:rPr>
                <w:rFonts w:ascii="Cambria" w:hAnsi="Cambria"/>
              </w:rPr>
            </w:pPr>
            <w:r>
              <w:rPr>
                <w:rFonts w:ascii="Cambria" w:hAnsi="Cambria"/>
                <w:color w:val="1C2839"/>
                <w:sz w:val="15"/>
              </w:rPr>
              <w:t>45 мың м³</w:t>
            </w:r>
          </w:p>
        </w:tc>
        <w:tc>
          <w:tcPr>
            <w:tcW w:w="0" w:type="auto"/>
            <w:shd w:val="clear" w:color="auto" w:fill="F0F5F9"/>
            <w:vAlign w:val="center"/>
          </w:tcPr>
          <w:p w14:paraId="45607115">
            <w:pPr>
              <w:spacing w:after="0" w:line="240" w:lineRule="auto"/>
              <w:ind w:firstLine="0"/>
              <w:jc w:val="center"/>
              <w:rPr>
                <w:rFonts w:ascii="Cambria" w:hAnsi="Cambria"/>
              </w:rPr>
            </w:pPr>
            <w:r>
              <w:rPr>
                <w:rFonts w:ascii="Cambria" w:hAnsi="Cambria"/>
                <w:color w:val="1C2839"/>
                <w:sz w:val="15"/>
              </w:rPr>
              <w:t>2031</w:t>
            </w:r>
          </w:p>
        </w:tc>
      </w:tr>
      <w:tr w14:paraId="088E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48A3C3A6">
            <w:pPr>
              <w:spacing w:after="0" w:line="240" w:lineRule="auto"/>
              <w:ind w:firstLine="0"/>
              <w:jc w:val="center"/>
              <w:rPr>
                <w:rFonts w:ascii="Cambria" w:hAnsi="Cambria"/>
              </w:rPr>
            </w:pPr>
            <w:r>
              <w:rPr>
                <w:rFonts w:ascii="Cambria" w:hAnsi="Cambria"/>
                <w:color w:val="1C2839"/>
                <w:sz w:val="15"/>
              </w:rPr>
              <w:t>5 / № 2</w:t>
            </w:r>
          </w:p>
        </w:tc>
        <w:tc>
          <w:tcPr>
            <w:tcW w:w="0" w:type="auto"/>
            <w:vAlign w:val="center"/>
          </w:tcPr>
          <w:p w14:paraId="4D958D66">
            <w:pPr>
              <w:spacing w:after="0" w:line="240" w:lineRule="auto"/>
              <w:ind w:firstLine="0"/>
              <w:jc w:val="left"/>
              <w:rPr>
                <w:rFonts w:ascii="Cambria" w:hAnsi="Cambria"/>
              </w:rPr>
            </w:pPr>
            <w:r>
              <w:rPr>
                <w:rFonts w:ascii="Cambria" w:hAnsi="Cambria"/>
                <w:color w:val="1C2839"/>
                <w:sz w:val="15"/>
              </w:rPr>
              <w:t>Құрғақ құрылыс қоспалары</w:t>
            </w:r>
          </w:p>
        </w:tc>
        <w:tc>
          <w:tcPr>
            <w:tcW w:w="0" w:type="auto"/>
            <w:vAlign w:val="center"/>
          </w:tcPr>
          <w:p w14:paraId="7D5E5093">
            <w:pPr>
              <w:spacing w:after="0" w:line="240" w:lineRule="auto"/>
              <w:ind w:firstLine="0"/>
              <w:jc w:val="center"/>
              <w:rPr>
                <w:rFonts w:ascii="Cambria" w:hAnsi="Cambria"/>
              </w:rPr>
            </w:pPr>
            <w:r>
              <w:rPr>
                <w:rFonts w:ascii="Cambria" w:hAnsi="Cambria"/>
                <w:color w:val="1C2839"/>
                <w:sz w:val="15"/>
              </w:rPr>
              <w:t>9</w:t>
            </w:r>
          </w:p>
        </w:tc>
        <w:tc>
          <w:tcPr>
            <w:tcW w:w="0" w:type="auto"/>
            <w:vAlign w:val="center"/>
          </w:tcPr>
          <w:p w14:paraId="26462565">
            <w:pPr>
              <w:spacing w:after="0" w:line="240" w:lineRule="auto"/>
              <w:ind w:firstLine="0"/>
              <w:jc w:val="center"/>
              <w:rPr>
                <w:rFonts w:ascii="Cambria" w:hAnsi="Cambria"/>
              </w:rPr>
            </w:pPr>
            <w:r>
              <w:rPr>
                <w:rFonts w:ascii="Cambria" w:hAnsi="Cambria"/>
                <w:color w:val="1C2839"/>
                <w:sz w:val="15"/>
              </w:rPr>
              <w:t>100 мың тонна</w:t>
            </w:r>
          </w:p>
        </w:tc>
        <w:tc>
          <w:tcPr>
            <w:tcW w:w="0" w:type="auto"/>
            <w:vAlign w:val="center"/>
          </w:tcPr>
          <w:p w14:paraId="6C154F42">
            <w:pPr>
              <w:spacing w:after="0" w:line="240" w:lineRule="auto"/>
              <w:ind w:firstLine="0"/>
              <w:jc w:val="center"/>
              <w:rPr>
                <w:rFonts w:ascii="Cambria" w:hAnsi="Cambria"/>
              </w:rPr>
            </w:pPr>
            <w:r>
              <w:rPr>
                <w:rFonts w:ascii="Cambria" w:hAnsi="Cambria"/>
                <w:color w:val="1C2839"/>
                <w:sz w:val="15"/>
              </w:rPr>
              <w:t>2030</w:t>
            </w:r>
          </w:p>
        </w:tc>
      </w:tr>
      <w:tr w14:paraId="7C8E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5DDDD8FA">
            <w:pPr>
              <w:spacing w:after="0" w:line="240" w:lineRule="auto"/>
              <w:ind w:firstLine="0"/>
              <w:jc w:val="center"/>
              <w:rPr>
                <w:rFonts w:ascii="Cambria" w:hAnsi="Cambria"/>
              </w:rPr>
            </w:pPr>
            <w:r>
              <w:rPr>
                <w:rFonts w:ascii="Cambria" w:hAnsi="Cambria"/>
                <w:color w:val="1C2839"/>
                <w:sz w:val="15"/>
              </w:rPr>
              <w:t>6 / № 2</w:t>
            </w:r>
          </w:p>
        </w:tc>
        <w:tc>
          <w:tcPr>
            <w:tcW w:w="0" w:type="auto"/>
            <w:shd w:val="clear" w:color="auto" w:fill="F0F5F9"/>
            <w:vAlign w:val="center"/>
          </w:tcPr>
          <w:p w14:paraId="22D9CD15">
            <w:pPr>
              <w:spacing w:after="0" w:line="240" w:lineRule="auto"/>
              <w:ind w:firstLine="0"/>
              <w:jc w:val="left"/>
              <w:rPr>
                <w:rFonts w:ascii="Cambria" w:hAnsi="Cambria"/>
              </w:rPr>
            </w:pPr>
            <w:r>
              <w:rPr>
                <w:rFonts w:ascii="Cambria" w:hAnsi="Cambria"/>
                <w:color w:val="1C2839"/>
                <w:sz w:val="15"/>
              </w:rPr>
              <w:t>Фиброцемент панельдері</w:t>
            </w:r>
          </w:p>
        </w:tc>
        <w:tc>
          <w:tcPr>
            <w:tcW w:w="0" w:type="auto"/>
            <w:shd w:val="clear" w:color="auto" w:fill="F0F5F9"/>
            <w:vAlign w:val="center"/>
          </w:tcPr>
          <w:p w14:paraId="189D6570">
            <w:pPr>
              <w:spacing w:after="0" w:line="240" w:lineRule="auto"/>
              <w:ind w:firstLine="0"/>
              <w:jc w:val="center"/>
              <w:rPr>
                <w:rFonts w:ascii="Cambria" w:hAnsi="Cambria"/>
              </w:rPr>
            </w:pPr>
            <w:r>
              <w:rPr>
                <w:rFonts w:ascii="Cambria" w:hAnsi="Cambria"/>
                <w:color w:val="1C2839"/>
                <w:sz w:val="15"/>
              </w:rPr>
              <w:t>11</w:t>
            </w:r>
          </w:p>
        </w:tc>
        <w:tc>
          <w:tcPr>
            <w:tcW w:w="0" w:type="auto"/>
            <w:shd w:val="clear" w:color="auto" w:fill="F0F5F9"/>
            <w:vAlign w:val="center"/>
          </w:tcPr>
          <w:p w14:paraId="6949461D">
            <w:pPr>
              <w:spacing w:after="0" w:line="240" w:lineRule="auto"/>
              <w:ind w:firstLine="0"/>
              <w:jc w:val="center"/>
              <w:rPr>
                <w:rFonts w:ascii="Cambria" w:hAnsi="Cambria"/>
              </w:rPr>
            </w:pPr>
            <w:r>
              <w:rPr>
                <w:rFonts w:ascii="Cambria" w:hAnsi="Cambria"/>
                <w:color w:val="1C2839"/>
                <w:sz w:val="15"/>
              </w:rPr>
              <w:t>2 млн м²</w:t>
            </w:r>
          </w:p>
        </w:tc>
        <w:tc>
          <w:tcPr>
            <w:tcW w:w="0" w:type="auto"/>
            <w:shd w:val="clear" w:color="auto" w:fill="F0F5F9"/>
            <w:vAlign w:val="center"/>
          </w:tcPr>
          <w:p w14:paraId="3B13AADD">
            <w:pPr>
              <w:spacing w:after="0" w:line="240" w:lineRule="auto"/>
              <w:ind w:firstLine="0"/>
              <w:jc w:val="center"/>
              <w:rPr>
                <w:rFonts w:ascii="Cambria" w:hAnsi="Cambria"/>
              </w:rPr>
            </w:pPr>
            <w:r>
              <w:rPr>
                <w:rFonts w:ascii="Cambria" w:hAnsi="Cambria"/>
                <w:color w:val="1C2839"/>
                <w:sz w:val="15"/>
              </w:rPr>
              <w:t>2032</w:t>
            </w:r>
          </w:p>
        </w:tc>
      </w:tr>
      <w:tr w14:paraId="643D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0BC640F2">
            <w:pPr>
              <w:spacing w:after="0" w:line="240" w:lineRule="auto"/>
              <w:ind w:firstLine="0"/>
              <w:jc w:val="center"/>
              <w:rPr>
                <w:rFonts w:ascii="Cambria" w:hAnsi="Cambria"/>
              </w:rPr>
            </w:pPr>
            <w:r>
              <w:rPr>
                <w:rFonts w:ascii="Cambria" w:hAnsi="Cambria"/>
                <w:color w:val="1C2839"/>
                <w:sz w:val="15"/>
              </w:rPr>
              <w:t>7 / № 2</w:t>
            </w:r>
          </w:p>
        </w:tc>
        <w:tc>
          <w:tcPr>
            <w:tcW w:w="0" w:type="auto"/>
            <w:vAlign w:val="center"/>
          </w:tcPr>
          <w:p w14:paraId="4FB639F0">
            <w:pPr>
              <w:spacing w:after="0" w:line="240" w:lineRule="auto"/>
              <w:ind w:firstLine="0"/>
              <w:jc w:val="left"/>
              <w:rPr>
                <w:rFonts w:ascii="Cambria" w:hAnsi="Cambria"/>
              </w:rPr>
            </w:pPr>
            <w:r>
              <w:rPr>
                <w:rFonts w:ascii="Cambria" w:hAnsi="Cambria"/>
                <w:color w:val="1C2839"/>
                <w:sz w:val="15"/>
              </w:rPr>
              <w:t>Абаттандыруға арналған бетон бұйымдары</w:t>
            </w:r>
          </w:p>
        </w:tc>
        <w:tc>
          <w:tcPr>
            <w:tcW w:w="0" w:type="auto"/>
            <w:vAlign w:val="center"/>
          </w:tcPr>
          <w:p w14:paraId="1CD9849B">
            <w:pPr>
              <w:spacing w:after="0" w:line="240" w:lineRule="auto"/>
              <w:ind w:firstLine="0"/>
              <w:jc w:val="center"/>
              <w:rPr>
                <w:rFonts w:ascii="Cambria" w:hAnsi="Cambria"/>
              </w:rPr>
            </w:pPr>
            <w:r>
              <w:rPr>
                <w:rFonts w:ascii="Cambria" w:hAnsi="Cambria"/>
                <w:color w:val="1C2839"/>
                <w:sz w:val="15"/>
              </w:rPr>
              <w:t>8</w:t>
            </w:r>
          </w:p>
        </w:tc>
        <w:tc>
          <w:tcPr>
            <w:tcW w:w="0" w:type="auto"/>
            <w:vAlign w:val="center"/>
          </w:tcPr>
          <w:p w14:paraId="5FC0EEAC">
            <w:pPr>
              <w:spacing w:after="0" w:line="240" w:lineRule="auto"/>
              <w:ind w:firstLine="0"/>
              <w:jc w:val="center"/>
              <w:rPr>
                <w:rFonts w:ascii="Cambria" w:hAnsi="Cambria"/>
              </w:rPr>
            </w:pPr>
            <w:r>
              <w:rPr>
                <w:rFonts w:ascii="Cambria" w:hAnsi="Cambria"/>
                <w:color w:val="1C2839"/>
                <w:sz w:val="15"/>
              </w:rPr>
              <w:t>400 мың м²</w:t>
            </w:r>
          </w:p>
        </w:tc>
        <w:tc>
          <w:tcPr>
            <w:tcW w:w="0" w:type="auto"/>
            <w:vAlign w:val="center"/>
          </w:tcPr>
          <w:p w14:paraId="07911773">
            <w:pPr>
              <w:spacing w:after="0" w:line="240" w:lineRule="auto"/>
              <w:ind w:firstLine="0"/>
              <w:jc w:val="center"/>
              <w:rPr>
                <w:rFonts w:ascii="Cambria" w:hAnsi="Cambria"/>
              </w:rPr>
            </w:pPr>
            <w:r>
              <w:rPr>
                <w:rFonts w:ascii="Cambria" w:hAnsi="Cambria"/>
                <w:color w:val="1C2839"/>
                <w:sz w:val="15"/>
              </w:rPr>
              <w:t>2031</w:t>
            </w:r>
          </w:p>
        </w:tc>
      </w:tr>
      <w:tr w14:paraId="1925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DBE8F2"/>
            <w:vAlign w:val="center"/>
          </w:tcPr>
          <w:p w14:paraId="21478F67">
            <w:pPr>
              <w:spacing w:after="0" w:line="240" w:lineRule="auto"/>
              <w:ind w:firstLine="0"/>
              <w:jc w:val="left"/>
              <w:rPr>
                <w:rFonts w:ascii="Cambria" w:hAnsi="Cambria"/>
                <w:sz w:val="16"/>
                <w:szCs w:val="16"/>
              </w:rPr>
            </w:pPr>
          </w:p>
        </w:tc>
        <w:tc>
          <w:tcPr>
            <w:tcW w:w="0" w:type="auto"/>
            <w:shd w:val="clear" w:color="auto" w:fill="DBE8F2"/>
            <w:vAlign w:val="center"/>
          </w:tcPr>
          <w:p w14:paraId="51553643">
            <w:pPr>
              <w:spacing w:after="0" w:line="240" w:lineRule="auto"/>
              <w:ind w:firstLine="0"/>
              <w:jc w:val="left"/>
              <w:rPr>
                <w:rFonts w:ascii="Cambria" w:hAnsi="Cambria"/>
                <w:sz w:val="16"/>
                <w:szCs w:val="16"/>
                <w:lang w:val="ru-RU"/>
              </w:rPr>
            </w:pPr>
            <w:r>
              <w:rPr>
                <w:rFonts w:ascii="Cambria" w:hAnsi="Cambria"/>
                <w:b/>
                <w:color w:val="1C2839"/>
                <w:sz w:val="16"/>
                <w:szCs w:val="16"/>
              </w:rPr>
              <w:t>Жиыны</w:t>
            </w:r>
          </w:p>
        </w:tc>
        <w:tc>
          <w:tcPr>
            <w:tcW w:w="0" w:type="auto"/>
            <w:shd w:val="clear" w:color="auto" w:fill="DBE8F2"/>
            <w:vAlign w:val="center"/>
          </w:tcPr>
          <w:p w14:paraId="4D0F8BFE">
            <w:pPr>
              <w:spacing w:after="0" w:line="240" w:lineRule="auto"/>
              <w:ind w:firstLine="0"/>
              <w:jc w:val="center"/>
              <w:rPr>
                <w:rFonts w:ascii="Cambria" w:hAnsi="Cambria"/>
                <w:sz w:val="16"/>
                <w:szCs w:val="16"/>
              </w:rPr>
            </w:pPr>
            <w:r>
              <w:rPr>
                <w:rFonts w:ascii="Cambria" w:hAnsi="Cambria"/>
                <w:b/>
                <w:color w:val="1C2839"/>
                <w:sz w:val="16"/>
                <w:szCs w:val="16"/>
              </w:rPr>
              <w:t>53</w:t>
            </w:r>
          </w:p>
        </w:tc>
        <w:tc>
          <w:tcPr>
            <w:tcW w:w="0" w:type="auto"/>
            <w:shd w:val="clear" w:color="auto" w:fill="DBE8F2"/>
            <w:vAlign w:val="center"/>
          </w:tcPr>
          <w:p w14:paraId="687A7F70">
            <w:pPr>
              <w:spacing w:after="0" w:line="240" w:lineRule="auto"/>
              <w:ind w:firstLine="0"/>
              <w:jc w:val="center"/>
              <w:rPr>
                <w:rFonts w:ascii="Cambria" w:hAnsi="Cambria"/>
                <w:sz w:val="16"/>
                <w:szCs w:val="16"/>
              </w:rPr>
            </w:pPr>
          </w:p>
        </w:tc>
        <w:tc>
          <w:tcPr>
            <w:tcW w:w="0" w:type="auto"/>
            <w:shd w:val="clear" w:color="auto" w:fill="DBE8F2"/>
            <w:vAlign w:val="center"/>
          </w:tcPr>
          <w:p w14:paraId="3E77E8AB">
            <w:pPr>
              <w:spacing w:after="0" w:line="240" w:lineRule="auto"/>
              <w:ind w:firstLine="0"/>
              <w:jc w:val="center"/>
              <w:rPr>
                <w:rFonts w:ascii="Cambria" w:hAnsi="Cambria"/>
                <w:sz w:val="16"/>
                <w:szCs w:val="16"/>
              </w:rPr>
            </w:pPr>
            <w:r>
              <w:rPr>
                <w:rFonts w:ascii="Cambria" w:hAnsi="Cambria"/>
                <w:b/>
                <w:color w:val="1C2839"/>
                <w:sz w:val="16"/>
                <w:szCs w:val="16"/>
              </w:rPr>
              <w:t>2030–2032</w:t>
            </w:r>
          </w:p>
        </w:tc>
      </w:tr>
    </w:tbl>
    <w:p w14:paraId="586C4D97">
      <w:pPr>
        <w:spacing w:line="240" w:lineRule="auto"/>
        <w:rPr>
          <w:rFonts w:ascii="Cambria" w:hAnsi="Cambria"/>
          <w:lang w:val="ru-RU"/>
        </w:rPr>
      </w:pPr>
      <w:r>
        <w:rPr>
          <w:rFonts w:ascii="Cambria" w:hAnsi="Cambria"/>
          <w:lang w:val="ru-RU"/>
        </w:rPr>
        <w:t>Дамыту кезең-кезеңімен жүзеге асырылады. Бірінші кезеңде (2027–2029 жылдары) жерді дайындауға және екі алаңды инфрақұрылыммен қамтамасыз етуге баса назар аударылады; сонымен қатар әзірлігі жоғары жобаларға инвестиция салына бастайды. Желілер ішінара дайын болып, жабдықтау шарттары расталған жағдайда жекелеген кәсіпорындар 2029 жылдан бастап сынақ өнімін шығара алады. Екінші кезеңде (2030–2031 жылдары) екі алаңдағы жобалардың негізгі бөлігін аяқтау жоспарланған. Үшінші кезеңде (2032 жылы) капиталды көбірек қажет ететін фиброцемент панельдері өндірісін аяқтау және аумақты толық жобалық құрылымға жеткізу көзделеді.</w:t>
      </w:r>
    </w:p>
    <w:p w14:paraId="4DE97E55">
      <w:pPr>
        <w:spacing w:line="240" w:lineRule="auto"/>
        <w:rPr>
          <w:rFonts w:ascii="Cambria" w:hAnsi="Cambria"/>
          <w:lang w:val="ru-RU"/>
        </w:rPr>
      </w:pPr>
      <w:r>
        <w:rPr>
          <w:rFonts w:ascii="Cambria" w:hAnsi="Cambria"/>
          <w:lang w:val="ru-RU"/>
        </w:rPr>
        <w:t>Аумақтың игерілуін бағалау үшін кәсіпорындарды нақты пайдалануға беруді олардың толық жылдық қуатына жетуінен ажырату қажет. Соңғы көрсеткіштер іске қосу-баптау жұмыстарына, өнімді сертификаттауға, тапсырыстармен қамтамасыз етілуге, цемент жеткізудің үздіксіздігіне және көлік қуаттарының болуына байланысты. Сондықтан есептік өнім көлеміне жекелеген кәсіпорынның құрылысы аяқталған жылдан кейінірек қол жеткізілуі мүмкін.</w:t>
      </w:r>
    </w:p>
    <w:p w14:paraId="11A072FA">
      <w:pPr>
        <w:pStyle w:val="75"/>
        <w:keepNext/>
        <w:spacing w:line="240" w:lineRule="auto"/>
        <w:rPr>
          <w:rFonts w:ascii="Cambria" w:hAnsi="Cambria"/>
          <w:lang w:val="ru-RU"/>
        </w:rPr>
      </w:pPr>
      <w:r>
        <w:rPr>
          <w:rFonts w:ascii="Cambria" w:hAnsi="Cambria"/>
          <w:lang w:val="ru-RU"/>
        </w:rPr>
        <w:t>9.4-кесте – ИА аумағын игеру кезеңдерінің жоспарлы нәтижесі (пайдалануға берілген объектілердің әлеуеті)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603"/>
        <w:gridCol w:w="3096"/>
        <w:gridCol w:w="1401"/>
        <w:gridCol w:w="2041"/>
        <w:gridCol w:w="2334"/>
      </w:tblGrid>
      <w:tr w14:paraId="467C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53678A1B">
            <w:pPr>
              <w:spacing w:after="0" w:line="240" w:lineRule="auto"/>
              <w:ind w:firstLine="0"/>
              <w:jc w:val="center"/>
              <w:rPr>
                <w:rFonts w:ascii="Cambria" w:hAnsi="Cambria"/>
              </w:rPr>
            </w:pPr>
            <w:r>
              <w:rPr>
                <w:rFonts w:ascii="Cambria" w:hAnsi="Cambria"/>
                <w:b/>
                <w:color w:val="FFFFFF"/>
                <w:sz w:val="15"/>
              </w:rPr>
              <w:t>Кезең</w:t>
            </w:r>
          </w:p>
        </w:tc>
        <w:tc>
          <w:tcPr>
            <w:tcW w:w="0" w:type="auto"/>
            <w:shd w:val="clear" w:color="auto" w:fill="23486F"/>
            <w:vAlign w:val="center"/>
          </w:tcPr>
          <w:p w14:paraId="462A0ADF">
            <w:pPr>
              <w:spacing w:after="0" w:line="240" w:lineRule="auto"/>
              <w:ind w:firstLine="0"/>
              <w:jc w:val="center"/>
              <w:rPr>
                <w:rFonts w:ascii="Cambria" w:hAnsi="Cambria"/>
              </w:rPr>
            </w:pPr>
            <w:r>
              <w:rPr>
                <w:rFonts w:ascii="Cambria" w:hAnsi="Cambria"/>
                <w:b/>
                <w:color w:val="FFFFFF"/>
                <w:sz w:val="15"/>
              </w:rPr>
              <w:t>Аяқталған әлеуетті жобалар саны (жиынтық)</w:t>
            </w:r>
          </w:p>
        </w:tc>
        <w:tc>
          <w:tcPr>
            <w:tcW w:w="0" w:type="auto"/>
            <w:shd w:val="clear" w:color="auto" w:fill="23486F"/>
            <w:vAlign w:val="center"/>
          </w:tcPr>
          <w:p w14:paraId="55EFD76A">
            <w:pPr>
              <w:spacing w:after="0" w:line="240" w:lineRule="auto"/>
              <w:ind w:firstLine="0"/>
              <w:jc w:val="center"/>
              <w:rPr>
                <w:rFonts w:ascii="Cambria" w:hAnsi="Cambria"/>
              </w:rPr>
            </w:pPr>
            <w:r>
              <w:rPr>
                <w:rFonts w:ascii="Cambria" w:hAnsi="Cambria"/>
                <w:b/>
                <w:color w:val="FFFFFF"/>
                <w:sz w:val="15"/>
              </w:rPr>
              <w:t>Аяқталған жобалардың ауданы, га</w:t>
            </w:r>
          </w:p>
        </w:tc>
        <w:tc>
          <w:tcPr>
            <w:tcW w:w="0" w:type="auto"/>
            <w:shd w:val="clear" w:color="auto" w:fill="23486F"/>
            <w:vAlign w:val="center"/>
          </w:tcPr>
          <w:p w14:paraId="6D27E581">
            <w:pPr>
              <w:spacing w:after="0" w:line="240" w:lineRule="auto"/>
              <w:ind w:firstLine="0"/>
              <w:jc w:val="center"/>
              <w:rPr>
                <w:rFonts w:ascii="Cambria" w:hAnsi="Cambria"/>
                <w:lang w:val="ru-RU"/>
              </w:rPr>
            </w:pPr>
            <w:r>
              <w:rPr>
                <w:rFonts w:ascii="Cambria" w:hAnsi="Cambria"/>
                <w:b/>
                <w:color w:val="FFFFFF"/>
                <w:sz w:val="15"/>
                <w:lang w:val="ru-RU"/>
              </w:rPr>
              <w:t>Пайдалануға берілген объектілердегі жұмыс орындары</w:t>
            </w:r>
          </w:p>
        </w:tc>
        <w:tc>
          <w:tcPr>
            <w:tcW w:w="0" w:type="auto"/>
            <w:shd w:val="clear" w:color="auto" w:fill="23486F"/>
            <w:vAlign w:val="center"/>
          </w:tcPr>
          <w:p w14:paraId="2E9C8A90">
            <w:pPr>
              <w:spacing w:after="0" w:line="240" w:lineRule="auto"/>
              <w:ind w:firstLine="0"/>
              <w:jc w:val="center"/>
              <w:rPr>
                <w:rFonts w:ascii="Cambria" w:hAnsi="Cambria"/>
                <w:lang w:val="ru-RU"/>
              </w:rPr>
            </w:pPr>
            <w:r>
              <w:rPr>
                <w:rFonts w:ascii="Cambria" w:hAnsi="Cambria"/>
                <w:b/>
                <w:color w:val="FFFFFF"/>
                <w:sz w:val="15"/>
                <w:lang w:val="ru-RU"/>
              </w:rPr>
              <w:t>Толық жүктеме кезіндегі олардың жылдық түсімі, млрд тг</w:t>
            </w:r>
          </w:p>
        </w:tc>
      </w:tr>
      <w:tr w14:paraId="4E67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31E70E88">
            <w:pPr>
              <w:spacing w:after="0" w:line="240" w:lineRule="auto"/>
              <w:ind w:firstLine="0"/>
              <w:jc w:val="left"/>
              <w:rPr>
                <w:rFonts w:ascii="Cambria" w:hAnsi="Cambria"/>
              </w:rPr>
            </w:pPr>
            <w:r>
              <w:rPr>
                <w:rFonts w:ascii="Cambria" w:hAnsi="Cambria"/>
                <w:color w:val="1C2839"/>
                <w:sz w:val="15"/>
              </w:rPr>
              <w:t>2029</w:t>
            </w:r>
          </w:p>
        </w:tc>
        <w:tc>
          <w:tcPr>
            <w:tcW w:w="0" w:type="auto"/>
            <w:vAlign w:val="center"/>
          </w:tcPr>
          <w:p w14:paraId="082557FE">
            <w:pPr>
              <w:spacing w:after="0" w:line="240" w:lineRule="auto"/>
              <w:ind w:firstLine="0"/>
              <w:jc w:val="left"/>
              <w:rPr>
                <w:rFonts w:ascii="Cambria" w:hAnsi="Cambria"/>
                <w:lang w:val="ru-RU"/>
              </w:rPr>
            </w:pPr>
            <w:r>
              <w:rPr>
                <w:rFonts w:ascii="Cambria" w:hAnsi="Cambria"/>
                <w:color w:val="1C2839"/>
                <w:sz w:val="15"/>
                <w:lang w:val="ru-RU"/>
              </w:rPr>
              <w:t>Жекелеген желілерден сынақ өнімі шығуы мүмкін; кәсіпорындар толық аяқталған болып саналмайды.</w:t>
            </w:r>
          </w:p>
        </w:tc>
        <w:tc>
          <w:tcPr>
            <w:tcW w:w="0" w:type="auto"/>
            <w:vAlign w:val="center"/>
          </w:tcPr>
          <w:p w14:paraId="1BAD63EC">
            <w:pPr>
              <w:spacing w:after="0" w:line="240" w:lineRule="auto"/>
              <w:ind w:firstLine="0"/>
              <w:jc w:val="center"/>
              <w:rPr>
                <w:rFonts w:ascii="Cambria" w:hAnsi="Cambria"/>
              </w:rPr>
            </w:pPr>
            <w:r>
              <w:rPr>
                <w:rFonts w:ascii="Cambria" w:hAnsi="Cambria"/>
                <w:color w:val="1C2839"/>
                <w:sz w:val="15"/>
              </w:rPr>
              <w:t>—</w:t>
            </w:r>
          </w:p>
        </w:tc>
        <w:tc>
          <w:tcPr>
            <w:tcW w:w="0" w:type="auto"/>
            <w:vAlign w:val="center"/>
          </w:tcPr>
          <w:p w14:paraId="65DF147F">
            <w:pPr>
              <w:spacing w:after="0" w:line="240" w:lineRule="auto"/>
              <w:ind w:firstLine="0"/>
              <w:jc w:val="center"/>
              <w:rPr>
                <w:rFonts w:ascii="Cambria" w:hAnsi="Cambria"/>
              </w:rPr>
            </w:pPr>
            <w:r>
              <w:rPr>
                <w:rFonts w:ascii="Cambria" w:hAnsi="Cambria"/>
                <w:color w:val="1C2839"/>
                <w:sz w:val="15"/>
              </w:rPr>
              <w:t>—</w:t>
            </w:r>
          </w:p>
        </w:tc>
        <w:tc>
          <w:tcPr>
            <w:tcW w:w="0" w:type="auto"/>
            <w:vAlign w:val="center"/>
          </w:tcPr>
          <w:p w14:paraId="3A223C15">
            <w:pPr>
              <w:spacing w:after="0" w:line="240" w:lineRule="auto"/>
              <w:ind w:firstLine="0"/>
              <w:jc w:val="center"/>
              <w:rPr>
                <w:rFonts w:ascii="Cambria" w:hAnsi="Cambria"/>
              </w:rPr>
            </w:pPr>
            <w:r>
              <w:rPr>
                <w:rFonts w:ascii="Cambria" w:hAnsi="Cambria"/>
                <w:color w:val="1C2839"/>
                <w:sz w:val="15"/>
              </w:rPr>
              <w:t>Айқындалмаған</w:t>
            </w:r>
          </w:p>
        </w:tc>
      </w:tr>
      <w:tr w14:paraId="2018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B57F5E8">
            <w:pPr>
              <w:spacing w:after="0" w:line="240" w:lineRule="auto"/>
              <w:ind w:firstLine="0"/>
              <w:jc w:val="left"/>
              <w:rPr>
                <w:rFonts w:ascii="Cambria" w:hAnsi="Cambria"/>
              </w:rPr>
            </w:pPr>
            <w:r>
              <w:rPr>
                <w:rFonts w:ascii="Cambria" w:hAnsi="Cambria"/>
                <w:color w:val="1C2839"/>
                <w:sz w:val="15"/>
              </w:rPr>
              <w:t>2030</w:t>
            </w:r>
          </w:p>
        </w:tc>
        <w:tc>
          <w:tcPr>
            <w:tcW w:w="0" w:type="auto"/>
            <w:shd w:val="clear" w:color="auto" w:fill="F0F5F9"/>
            <w:vAlign w:val="center"/>
          </w:tcPr>
          <w:p w14:paraId="7881B54C">
            <w:pPr>
              <w:spacing w:after="0" w:line="240" w:lineRule="auto"/>
              <w:ind w:firstLine="0"/>
              <w:jc w:val="left"/>
              <w:rPr>
                <w:rFonts w:ascii="Cambria" w:hAnsi="Cambria"/>
              </w:rPr>
            </w:pPr>
            <w:r>
              <w:rPr>
                <w:rFonts w:ascii="Cambria" w:hAnsi="Cambria"/>
                <w:color w:val="1C2839"/>
                <w:sz w:val="15"/>
              </w:rPr>
              <w:t>3 жоба: № 1, 2, 5</w:t>
            </w:r>
          </w:p>
        </w:tc>
        <w:tc>
          <w:tcPr>
            <w:tcW w:w="0" w:type="auto"/>
            <w:shd w:val="clear" w:color="auto" w:fill="F0F5F9"/>
            <w:vAlign w:val="center"/>
          </w:tcPr>
          <w:p w14:paraId="231513BB">
            <w:pPr>
              <w:spacing w:after="0" w:line="240" w:lineRule="auto"/>
              <w:ind w:firstLine="0"/>
              <w:jc w:val="center"/>
              <w:rPr>
                <w:rFonts w:ascii="Cambria" w:hAnsi="Cambria"/>
              </w:rPr>
            </w:pPr>
            <w:r>
              <w:rPr>
                <w:rFonts w:ascii="Cambria" w:hAnsi="Cambria"/>
                <w:color w:val="1C2839"/>
                <w:sz w:val="15"/>
              </w:rPr>
              <w:t>22</w:t>
            </w:r>
          </w:p>
        </w:tc>
        <w:tc>
          <w:tcPr>
            <w:tcW w:w="0" w:type="auto"/>
            <w:shd w:val="clear" w:color="auto" w:fill="F0F5F9"/>
            <w:vAlign w:val="center"/>
          </w:tcPr>
          <w:p w14:paraId="7AA2AECB">
            <w:pPr>
              <w:spacing w:after="0" w:line="240" w:lineRule="auto"/>
              <w:ind w:firstLine="0"/>
              <w:jc w:val="center"/>
              <w:rPr>
                <w:rFonts w:ascii="Cambria" w:hAnsi="Cambria"/>
              </w:rPr>
            </w:pPr>
            <w:r>
              <w:rPr>
                <w:rFonts w:ascii="Cambria" w:hAnsi="Cambria"/>
                <w:color w:val="1C2839"/>
                <w:sz w:val="15"/>
              </w:rPr>
              <w:t>250</w:t>
            </w:r>
          </w:p>
        </w:tc>
        <w:tc>
          <w:tcPr>
            <w:tcW w:w="0" w:type="auto"/>
            <w:shd w:val="clear" w:color="auto" w:fill="F0F5F9"/>
            <w:vAlign w:val="center"/>
          </w:tcPr>
          <w:p w14:paraId="4E1894FC">
            <w:pPr>
              <w:spacing w:after="0" w:line="240" w:lineRule="auto"/>
              <w:ind w:firstLine="0"/>
              <w:jc w:val="center"/>
              <w:rPr>
                <w:rFonts w:ascii="Cambria" w:hAnsi="Cambria"/>
              </w:rPr>
            </w:pPr>
            <w:r>
              <w:rPr>
                <w:rFonts w:ascii="Cambria" w:hAnsi="Cambria"/>
                <w:color w:val="1C2839"/>
                <w:sz w:val="15"/>
              </w:rPr>
              <w:t>20,30</w:t>
            </w:r>
          </w:p>
        </w:tc>
      </w:tr>
      <w:tr w14:paraId="7D01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64794C52">
            <w:pPr>
              <w:spacing w:after="0" w:line="240" w:lineRule="auto"/>
              <w:ind w:firstLine="0"/>
              <w:jc w:val="left"/>
              <w:rPr>
                <w:rFonts w:ascii="Cambria" w:hAnsi="Cambria"/>
              </w:rPr>
            </w:pPr>
            <w:r>
              <w:rPr>
                <w:rFonts w:ascii="Cambria" w:hAnsi="Cambria"/>
                <w:color w:val="1C2839"/>
                <w:sz w:val="15"/>
              </w:rPr>
              <w:t>2031</w:t>
            </w:r>
          </w:p>
        </w:tc>
        <w:tc>
          <w:tcPr>
            <w:tcW w:w="0" w:type="auto"/>
            <w:vAlign w:val="center"/>
          </w:tcPr>
          <w:p w14:paraId="1C71DE0D">
            <w:pPr>
              <w:spacing w:after="0" w:line="240" w:lineRule="auto"/>
              <w:ind w:firstLine="0"/>
              <w:jc w:val="left"/>
              <w:rPr>
                <w:rFonts w:ascii="Cambria" w:hAnsi="Cambria"/>
              </w:rPr>
            </w:pPr>
            <w:r>
              <w:rPr>
                <w:rFonts w:ascii="Cambria" w:hAnsi="Cambria"/>
                <w:color w:val="1C2839"/>
                <w:sz w:val="15"/>
              </w:rPr>
              <w:t>6 жоба: № 1–5, 7</w:t>
            </w:r>
          </w:p>
        </w:tc>
        <w:tc>
          <w:tcPr>
            <w:tcW w:w="0" w:type="auto"/>
            <w:vAlign w:val="center"/>
          </w:tcPr>
          <w:p w14:paraId="576060A7">
            <w:pPr>
              <w:spacing w:after="0" w:line="240" w:lineRule="auto"/>
              <w:ind w:firstLine="0"/>
              <w:jc w:val="center"/>
              <w:rPr>
                <w:rFonts w:ascii="Cambria" w:hAnsi="Cambria"/>
              </w:rPr>
            </w:pPr>
            <w:r>
              <w:rPr>
                <w:rFonts w:ascii="Cambria" w:hAnsi="Cambria"/>
                <w:color w:val="1C2839"/>
                <w:sz w:val="15"/>
              </w:rPr>
              <w:t>42</w:t>
            </w:r>
          </w:p>
        </w:tc>
        <w:tc>
          <w:tcPr>
            <w:tcW w:w="0" w:type="auto"/>
            <w:vAlign w:val="center"/>
          </w:tcPr>
          <w:p w14:paraId="2768CEE5">
            <w:pPr>
              <w:spacing w:after="0" w:line="240" w:lineRule="auto"/>
              <w:ind w:firstLine="0"/>
              <w:jc w:val="center"/>
              <w:rPr>
                <w:rFonts w:ascii="Cambria" w:hAnsi="Cambria"/>
              </w:rPr>
            </w:pPr>
            <w:r>
              <w:rPr>
                <w:rFonts w:ascii="Cambria" w:hAnsi="Cambria"/>
                <w:color w:val="1C2839"/>
                <w:sz w:val="15"/>
              </w:rPr>
              <w:t>485</w:t>
            </w:r>
          </w:p>
        </w:tc>
        <w:tc>
          <w:tcPr>
            <w:tcW w:w="0" w:type="auto"/>
            <w:vAlign w:val="center"/>
          </w:tcPr>
          <w:p w14:paraId="7AD5F411">
            <w:pPr>
              <w:spacing w:after="0" w:line="240" w:lineRule="auto"/>
              <w:ind w:firstLine="0"/>
              <w:jc w:val="center"/>
              <w:rPr>
                <w:rFonts w:ascii="Cambria" w:hAnsi="Cambria"/>
              </w:rPr>
            </w:pPr>
            <w:r>
              <w:rPr>
                <w:rFonts w:ascii="Cambria" w:hAnsi="Cambria"/>
                <w:color w:val="1C2839"/>
                <w:sz w:val="15"/>
              </w:rPr>
              <w:t>34,05</w:t>
            </w:r>
          </w:p>
        </w:tc>
      </w:tr>
      <w:tr w14:paraId="593E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E00B526">
            <w:pPr>
              <w:spacing w:after="0" w:line="240" w:lineRule="auto"/>
              <w:ind w:firstLine="0"/>
              <w:jc w:val="left"/>
              <w:rPr>
                <w:rFonts w:ascii="Cambria" w:hAnsi="Cambria"/>
              </w:rPr>
            </w:pPr>
            <w:r>
              <w:rPr>
                <w:rFonts w:ascii="Cambria" w:hAnsi="Cambria"/>
                <w:color w:val="1C2839"/>
                <w:sz w:val="15"/>
              </w:rPr>
              <w:t>2032</w:t>
            </w:r>
          </w:p>
        </w:tc>
        <w:tc>
          <w:tcPr>
            <w:tcW w:w="0" w:type="auto"/>
            <w:shd w:val="clear" w:color="auto" w:fill="F0F5F9"/>
            <w:vAlign w:val="center"/>
          </w:tcPr>
          <w:p w14:paraId="6C322D9F">
            <w:pPr>
              <w:spacing w:after="0" w:line="240" w:lineRule="auto"/>
              <w:ind w:firstLine="0"/>
              <w:jc w:val="left"/>
              <w:rPr>
                <w:rFonts w:ascii="Cambria" w:hAnsi="Cambria"/>
              </w:rPr>
            </w:pPr>
            <w:r>
              <w:rPr>
                <w:rFonts w:ascii="Cambria" w:hAnsi="Cambria"/>
                <w:color w:val="1C2839"/>
                <w:sz w:val="15"/>
              </w:rPr>
              <w:t>7 жоба: № 1–7</w:t>
            </w:r>
          </w:p>
        </w:tc>
        <w:tc>
          <w:tcPr>
            <w:tcW w:w="0" w:type="auto"/>
            <w:shd w:val="clear" w:color="auto" w:fill="F0F5F9"/>
            <w:vAlign w:val="center"/>
          </w:tcPr>
          <w:p w14:paraId="5C0D1D27">
            <w:pPr>
              <w:spacing w:after="0" w:line="240" w:lineRule="auto"/>
              <w:ind w:firstLine="0"/>
              <w:jc w:val="center"/>
              <w:rPr>
                <w:rFonts w:ascii="Cambria" w:hAnsi="Cambria"/>
              </w:rPr>
            </w:pPr>
            <w:r>
              <w:rPr>
                <w:rFonts w:ascii="Cambria" w:hAnsi="Cambria"/>
                <w:color w:val="1C2839"/>
                <w:sz w:val="15"/>
              </w:rPr>
              <w:t>53</w:t>
            </w:r>
          </w:p>
        </w:tc>
        <w:tc>
          <w:tcPr>
            <w:tcW w:w="0" w:type="auto"/>
            <w:shd w:val="clear" w:color="auto" w:fill="F0F5F9"/>
            <w:vAlign w:val="center"/>
          </w:tcPr>
          <w:p w14:paraId="7E244CB0">
            <w:pPr>
              <w:spacing w:after="0" w:line="240" w:lineRule="auto"/>
              <w:ind w:firstLine="0"/>
              <w:jc w:val="center"/>
              <w:rPr>
                <w:rFonts w:ascii="Cambria" w:hAnsi="Cambria"/>
              </w:rPr>
            </w:pPr>
            <w:r>
              <w:rPr>
                <w:rFonts w:ascii="Cambria" w:hAnsi="Cambria"/>
                <w:color w:val="1C2839"/>
                <w:sz w:val="15"/>
              </w:rPr>
              <w:t>605</w:t>
            </w:r>
          </w:p>
        </w:tc>
        <w:tc>
          <w:tcPr>
            <w:tcW w:w="0" w:type="auto"/>
            <w:shd w:val="clear" w:color="auto" w:fill="F0F5F9"/>
            <w:vAlign w:val="center"/>
          </w:tcPr>
          <w:p w14:paraId="519EEEE0">
            <w:pPr>
              <w:spacing w:after="0" w:line="240" w:lineRule="auto"/>
              <w:ind w:firstLine="0"/>
              <w:jc w:val="center"/>
              <w:rPr>
                <w:rFonts w:ascii="Cambria" w:hAnsi="Cambria"/>
              </w:rPr>
            </w:pPr>
            <w:r>
              <w:rPr>
                <w:rFonts w:ascii="Cambria" w:hAnsi="Cambria"/>
                <w:color w:val="1C2839"/>
                <w:sz w:val="15"/>
              </w:rPr>
              <w:t>41,05</w:t>
            </w:r>
          </w:p>
        </w:tc>
      </w:tr>
    </w:tbl>
    <w:p w14:paraId="6001A23B">
      <w:pPr>
        <w:spacing w:line="240" w:lineRule="auto"/>
        <w:rPr>
          <w:rFonts w:ascii="Cambria" w:hAnsi="Cambria"/>
          <w:lang w:val="ru-RU"/>
        </w:rPr>
      </w:pPr>
      <w:r>
        <w:rPr>
          <w:rFonts w:ascii="Cambria" w:hAnsi="Cambria"/>
          <w:lang w:val="ru-RU"/>
        </w:rPr>
        <w:t>Кестедегі түсім көрсеткіші тиісті жылға дейін пайдалануға берілген жобалар жиынтығының 100% жүктеме кезіндегі жылдық әлеуетін білдіреді.</w:t>
      </w:r>
    </w:p>
    <w:p w14:paraId="39B9A832">
      <w:pPr>
        <w:pStyle w:val="3"/>
        <w:spacing w:line="240" w:lineRule="auto"/>
        <w:rPr>
          <w:rFonts w:ascii="Cambria" w:hAnsi="Cambria"/>
          <w:lang w:val="ru-RU"/>
        </w:rPr>
      </w:pPr>
      <w:bookmarkStart w:id="47" w:name="__RefHeading___Toc9576_2617525462"/>
      <w:bookmarkEnd w:id="47"/>
      <w:r>
        <w:rPr>
          <w:rFonts w:ascii="Cambria" w:hAnsi="Cambria"/>
          <w:lang w:val="ru-RU"/>
        </w:rPr>
        <w:t>9.4. Аумақтың инженерлік және көлік инфрақұрылымымен қамтамасыз етілуі</w:t>
      </w:r>
    </w:p>
    <w:p w14:paraId="22765C2F">
      <w:pPr>
        <w:spacing w:line="240" w:lineRule="auto"/>
        <w:rPr>
          <w:rFonts w:ascii="Cambria" w:hAnsi="Cambria"/>
          <w:lang w:val="ru-RU"/>
        </w:rPr>
      </w:pPr>
      <w:r>
        <w:rPr>
          <w:rFonts w:ascii="Cambria" w:hAnsi="Cambria"/>
          <w:lang w:val="ru-RU"/>
        </w:rPr>
        <w:t>Тұжырымдама әзірленген кезде екі алаңда өнеркәсіптік мақсатқа арналған, жеке расталған инженерлік коммуникациялар кешені болған жоқ. Инфрақұрылымға қолжетімділікті цемент зауытының құрылысына байланысты салынып жатқан объектілер желісі арқылы қамтамасыз ету болжанады. Сондықтан осы сипаттама жобалық жай-күй мен қосылу қағидатын көрсетеді.</w:t>
      </w:r>
    </w:p>
    <w:p w14:paraId="31BB3EA2">
      <w:pPr>
        <w:spacing w:line="240" w:lineRule="auto"/>
        <w:rPr>
          <w:rFonts w:ascii="Cambria" w:hAnsi="Cambria"/>
          <w:lang w:val="ru-RU"/>
        </w:rPr>
      </w:pPr>
      <w:r>
        <w:rPr>
          <w:rFonts w:ascii="Cambria" w:hAnsi="Cambria"/>
          <w:lang w:val="ru-RU"/>
        </w:rPr>
        <w:t>Жеті өндірістің электр энергиясына жиынтық есептік қажеттілігі бір мезгілдегі болжамды жүктеме мен даму резервін қоса алғанда, 10 МВт деңгейінде қабылданды. Алдын ала есеп бойынша кәсіпорындардың жеке жүктемелері мен алаңішілік тұтынушылардың жиынтығы бір мезгілдік коэффициентін қолданғанға дейін шамамен 8,5 МВт, оны есепке алғаннан кейін шамамен 7,2 МВт құрайды.</w:t>
      </w:r>
    </w:p>
    <w:p w14:paraId="775E923B">
      <w:pPr>
        <w:spacing w:line="240" w:lineRule="auto"/>
        <w:rPr>
          <w:rFonts w:ascii="Cambria" w:hAnsi="Cambria"/>
          <w:lang w:val="ru-RU"/>
        </w:rPr>
      </w:pPr>
      <w:r>
        <w:rPr>
          <w:rFonts w:ascii="Cambria" w:hAnsi="Cambria"/>
          <w:lang w:val="ru-RU"/>
        </w:rPr>
        <w:t>Сумен жабдықтау қажеттілігі бүкіл ИА үшін тәулігіне 300–500 м³ диапазонында алдын ала бағаланады. Бетон және фиброцемент өндірістерінде айналымды контурлар мен суды жергілікті дайындауды барынша қолдану көзделеді. Нақты тұтыну рецептураларға, қалыптау және қатайту технологияларына, жабдықты жуу режимдеріне, маусымдылық пен санитариялық-тұрмыстық қажеттіліктерге байланысты болады. Түпкілікті көлемдер резиденттердің жеке технологиялық теңгерімдерімен айқындалып, қолжетімді су көзімен келісілуге тиіс.</w:t>
      </w:r>
    </w:p>
    <w:p w14:paraId="021CE948">
      <w:pPr>
        <w:pStyle w:val="75"/>
        <w:keepNext/>
        <w:spacing w:line="240" w:lineRule="auto"/>
        <w:rPr>
          <w:rFonts w:ascii="Cambria" w:hAnsi="Cambria"/>
          <w:lang w:val="ru-RU"/>
        </w:rPr>
      </w:pPr>
      <w:r>
        <w:rPr>
          <w:rFonts w:ascii="Cambria" w:hAnsi="Cambria"/>
          <w:lang w:val="ru-RU"/>
        </w:rPr>
        <w:t>9.5-кесте – Инженерлік және көлікпен қамтамасыз етудің алдын ала схемасы</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1482"/>
        <w:gridCol w:w="4284"/>
        <w:gridCol w:w="3709"/>
      </w:tblGrid>
      <w:tr w14:paraId="7165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2A2E2EC6">
            <w:pPr>
              <w:spacing w:after="0" w:line="240" w:lineRule="auto"/>
              <w:ind w:firstLine="0"/>
              <w:jc w:val="center"/>
              <w:rPr>
                <w:rFonts w:ascii="Cambria" w:hAnsi="Cambria"/>
              </w:rPr>
            </w:pPr>
            <w:r>
              <w:rPr>
                <w:rFonts w:ascii="Cambria" w:hAnsi="Cambria"/>
                <w:b/>
                <w:color w:val="FFFFFF"/>
                <w:sz w:val="15"/>
              </w:rPr>
              <w:t>Инфрақұрылым түрі</w:t>
            </w:r>
          </w:p>
        </w:tc>
        <w:tc>
          <w:tcPr>
            <w:tcW w:w="0" w:type="auto"/>
            <w:shd w:val="clear" w:color="auto" w:fill="23486F"/>
            <w:vAlign w:val="center"/>
          </w:tcPr>
          <w:p w14:paraId="48C51D93">
            <w:pPr>
              <w:spacing w:after="0" w:line="240" w:lineRule="auto"/>
              <w:ind w:firstLine="0"/>
              <w:jc w:val="center"/>
              <w:rPr>
                <w:rFonts w:ascii="Cambria" w:hAnsi="Cambria"/>
              </w:rPr>
            </w:pPr>
            <w:r>
              <w:rPr>
                <w:rFonts w:ascii="Cambria" w:hAnsi="Cambria"/>
                <w:b/>
                <w:color w:val="FFFFFF"/>
                <w:sz w:val="15"/>
              </w:rPr>
              <w:t>Қабылданған шешім</w:t>
            </w:r>
          </w:p>
        </w:tc>
        <w:tc>
          <w:tcPr>
            <w:tcW w:w="0" w:type="auto"/>
            <w:shd w:val="clear" w:color="auto" w:fill="23486F"/>
            <w:vAlign w:val="center"/>
          </w:tcPr>
          <w:p w14:paraId="4D0C715C">
            <w:pPr>
              <w:spacing w:after="0" w:line="240" w:lineRule="auto"/>
              <w:ind w:firstLine="0"/>
              <w:jc w:val="center"/>
              <w:rPr>
                <w:rFonts w:ascii="Cambria" w:hAnsi="Cambria"/>
              </w:rPr>
            </w:pPr>
            <w:r>
              <w:rPr>
                <w:rFonts w:ascii="Cambria" w:hAnsi="Cambria"/>
                <w:b/>
                <w:color w:val="FFFFFF"/>
                <w:sz w:val="15"/>
              </w:rPr>
              <w:t>Іске асыру шарты / қажетті нақтылау</w:t>
            </w:r>
          </w:p>
        </w:tc>
      </w:tr>
      <w:tr w14:paraId="21F6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6567092A">
            <w:pPr>
              <w:spacing w:after="0" w:line="240" w:lineRule="auto"/>
              <w:ind w:firstLine="0"/>
              <w:jc w:val="left"/>
              <w:rPr>
                <w:rFonts w:ascii="Cambria" w:hAnsi="Cambria"/>
              </w:rPr>
            </w:pPr>
            <w:r>
              <w:rPr>
                <w:rFonts w:ascii="Cambria" w:hAnsi="Cambria"/>
                <w:color w:val="1C2839"/>
                <w:sz w:val="16"/>
              </w:rPr>
              <w:t>Электрмен жабдықтау</w:t>
            </w:r>
          </w:p>
        </w:tc>
        <w:tc>
          <w:tcPr>
            <w:tcW w:w="0" w:type="auto"/>
            <w:vAlign w:val="center"/>
          </w:tcPr>
          <w:p w14:paraId="3CD78213">
            <w:pPr>
              <w:spacing w:after="0" w:line="240" w:lineRule="auto"/>
              <w:ind w:firstLine="0"/>
              <w:jc w:val="left"/>
              <w:rPr>
                <w:rFonts w:ascii="Cambria" w:hAnsi="Cambria"/>
                <w:lang w:val="ru-RU"/>
              </w:rPr>
            </w:pPr>
            <w:r>
              <w:rPr>
                <w:rFonts w:ascii="Cambria" w:hAnsi="Cambria"/>
                <w:color w:val="1C2839"/>
                <w:sz w:val="16"/>
                <w:lang w:val="ru-RU"/>
              </w:rPr>
              <w:t>ИА үшін 10 МВт, әр алаңға шамамен 5 МВт; цемент зауыты желілері арқылы қосалқы тұтынушылар, жеке есепке алу және жергілікті бөлу.</w:t>
            </w:r>
          </w:p>
        </w:tc>
        <w:tc>
          <w:tcPr>
            <w:tcW w:w="0" w:type="auto"/>
            <w:vAlign w:val="center"/>
          </w:tcPr>
          <w:p w14:paraId="32A5E95F">
            <w:pPr>
              <w:spacing w:after="0" w:line="240" w:lineRule="auto"/>
              <w:ind w:firstLine="0"/>
              <w:jc w:val="left"/>
              <w:rPr>
                <w:rFonts w:ascii="Cambria" w:hAnsi="Cambria"/>
                <w:lang w:val="ru-RU"/>
              </w:rPr>
            </w:pPr>
            <w:r>
              <w:rPr>
                <w:rFonts w:ascii="Cambria" w:hAnsi="Cambria"/>
                <w:color w:val="1C2839"/>
                <w:sz w:val="16"/>
                <w:lang w:val="ru-RU"/>
              </w:rPr>
              <w:t>Бос қуатты, кернеу класын, қосылу нүктелерін, сенімділік санаттары мен шарт талаптарын растау.</w:t>
            </w:r>
          </w:p>
        </w:tc>
      </w:tr>
      <w:tr w14:paraId="07FD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0F4516FA">
            <w:pPr>
              <w:spacing w:after="0" w:line="240" w:lineRule="auto"/>
              <w:ind w:firstLine="0"/>
              <w:jc w:val="left"/>
              <w:rPr>
                <w:rFonts w:ascii="Cambria" w:hAnsi="Cambria"/>
              </w:rPr>
            </w:pPr>
            <w:r>
              <w:rPr>
                <w:rFonts w:ascii="Cambria" w:hAnsi="Cambria"/>
                <w:color w:val="1C2839"/>
                <w:sz w:val="16"/>
              </w:rPr>
              <w:t>Теміржол қатынасы</w:t>
            </w:r>
          </w:p>
        </w:tc>
        <w:tc>
          <w:tcPr>
            <w:tcW w:w="0" w:type="auto"/>
            <w:shd w:val="clear" w:color="auto" w:fill="F0F5F9"/>
            <w:vAlign w:val="center"/>
          </w:tcPr>
          <w:p w14:paraId="688F322F">
            <w:pPr>
              <w:spacing w:after="0" w:line="240" w:lineRule="auto"/>
              <w:ind w:firstLine="0"/>
              <w:jc w:val="left"/>
              <w:rPr>
                <w:rFonts w:ascii="Cambria" w:hAnsi="Cambria"/>
                <w:lang w:val="ru-RU"/>
              </w:rPr>
            </w:pPr>
            <w:r>
              <w:rPr>
                <w:rFonts w:ascii="Cambria" w:hAnsi="Cambria"/>
                <w:color w:val="1C2839"/>
                <w:sz w:val="16"/>
                <w:lang w:val="ru-RU"/>
              </w:rPr>
              <w:t>Зауыттың кірме теміржол инфрақұрылымына болжамды қолжетімділік, дайын бұйымдарды тиеудің технологиялық фронттары.</w:t>
            </w:r>
          </w:p>
        </w:tc>
        <w:tc>
          <w:tcPr>
            <w:tcW w:w="0" w:type="auto"/>
            <w:shd w:val="clear" w:color="auto" w:fill="F0F5F9"/>
            <w:vAlign w:val="center"/>
          </w:tcPr>
          <w:p w14:paraId="58852C36">
            <w:pPr>
              <w:spacing w:after="0" w:line="240" w:lineRule="auto"/>
              <w:ind w:firstLine="0"/>
              <w:jc w:val="left"/>
              <w:rPr>
                <w:rFonts w:ascii="Cambria" w:hAnsi="Cambria"/>
                <w:lang w:val="ru-RU"/>
              </w:rPr>
            </w:pPr>
            <w:r>
              <w:rPr>
                <w:rFonts w:ascii="Cambria" w:hAnsi="Cambria"/>
                <w:color w:val="1C2839"/>
                <w:sz w:val="16"/>
                <w:lang w:val="ru-RU"/>
              </w:rPr>
              <w:t>Жолдарды пайдалану құқығын, өткізу қабілетін, жүк габариттерін және вагондарды өңдеуді келісу.</w:t>
            </w:r>
          </w:p>
        </w:tc>
      </w:tr>
      <w:tr w14:paraId="28BA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3271BFDA">
            <w:pPr>
              <w:spacing w:after="0" w:line="240" w:lineRule="auto"/>
              <w:ind w:firstLine="0"/>
              <w:jc w:val="left"/>
              <w:rPr>
                <w:rFonts w:ascii="Cambria" w:hAnsi="Cambria"/>
              </w:rPr>
            </w:pPr>
            <w:r>
              <w:rPr>
                <w:rFonts w:ascii="Cambria" w:hAnsi="Cambria"/>
                <w:color w:val="1C2839"/>
                <w:sz w:val="16"/>
              </w:rPr>
              <w:t>Автомобиль жолдары</w:t>
            </w:r>
          </w:p>
        </w:tc>
        <w:tc>
          <w:tcPr>
            <w:tcW w:w="0" w:type="auto"/>
            <w:vAlign w:val="center"/>
          </w:tcPr>
          <w:p w14:paraId="50D9D574">
            <w:pPr>
              <w:spacing w:after="0" w:line="240" w:lineRule="auto"/>
              <w:ind w:firstLine="0"/>
              <w:jc w:val="left"/>
              <w:rPr>
                <w:rFonts w:ascii="Cambria" w:hAnsi="Cambria"/>
                <w:lang w:val="ru-RU"/>
              </w:rPr>
            </w:pPr>
            <w:r>
              <w:rPr>
                <w:rFonts w:ascii="Cambria" w:hAnsi="Cambria"/>
                <w:color w:val="1C2839"/>
                <w:sz w:val="16"/>
                <w:lang w:val="ru-RU"/>
              </w:rPr>
              <w:t>Екі алаңды қалыптастырылып жатқан автомобиль кірме жолына қосу, резиденттердің учаскелері ішіндегі технологиялық жолдар.</w:t>
            </w:r>
          </w:p>
        </w:tc>
        <w:tc>
          <w:tcPr>
            <w:tcW w:w="0" w:type="auto"/>
            <w:vAlign w:val="center"/>
          </w:tcPr>
          <w:p w14:paraId="4FDE9303">
            <w:pPr>
              <w:spacing w:after="0" w:line="240" w:lineRule="auto"/>
              <w:ind w:firstLine="0"/>
              <w:jc w:val="left"/>
              <w:rPr>
                <w:rFonts w:ascii="Cambria" w:hAnsi="Cambria"/>
                <w:lang w:val="ru-RU"/>
              </w:rPr>
            </w:pPr>
            <w:r>
              <w:rPr>
                <w:rFonts w:ascii="Cambria" w:hAnsi="Cambria"/>
                <w:color w:val="1C2839"/>
                <w:sz w:val="16"/>
                <w:lang w:val="ru-RU"/>
              </w:rPr>
              <w:t>Трассаны, рұқсат етілген жүктемелер мен жүру құқығын растау; арнайы көлік пен өрт сөндіру машиналарының кіреберісін қамтамасыз ету.</w:t>
            </w:r>
          </w:p>
        </w:tc>
      </w:tr>
      <w:tr w14:paraId="1A34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133197E">
            <w:pPr>
              <w:spacing w:after="0" w:line="240" w:lineRule="auto"/>
              <w:ind w:firstLine="0"/>
              <w:jc w:val="left"/>
              <w:rPr>
                <w:rFonts w:ascii="Cambria" w:hAnsi="Cambria"/>
              </w:rPr>
            </w:pPr>
            <w:r>
              <w:rPr>
                <w:rFonts w:ascii="Cambria" w:hAnsi="Cambria"/>
                <w:color w:val="1C2839"/>
                <w:sz w:val="16"/>
              </w:rPr>
              <w:t>Сумен жабдықтау</w:t>
            </w:r>
          </w:p>
        </w:tc>
        <w:tc>
          <w:tcPr>
            <w:tcW w:w="0" w:type="auto"/>
            <w:shd w:val="clear" w:color="auto" w:fill="F0F5F9"/>
            <w:vAlign w:val="center"/>
          </w:tcPr>
          <w:p w14:paraId="4065B989">
            <w:pPr>
              <w:spacing w:after="0" w:line="240" w:lineRule="auto"/>
              <w:ind w:firstLine="0"/>
              <w:jc w:val="left"/>
              <w:rPr>
                <w:rFonts w:ascii="Cambria" w:hAnsi="Cambria"/>
                <w:lang w:val="ru-RU"/>
              </w:rPr>
            </w:pPr>
            <w:r>
              <w:rPr>
                <w:rFonts w:ascii="Cambria" w:hAnsi="Cambria"/>
                <w:color w:val="1C2839"/>
                <w:sz w:val="16"/>
                <w:lang w:val="ru-RU"/>
              </w:rPr>
              <w:t>Жалпы қажеттілік тәулігіне 300–500 м³; зауыт жүйесіне қосылу және кәсіпорындар ішінде айналымды су пайдалану.</w:t>
            </w:r>
          </w:p>
        </w:tc>
        <w:tc>
          <w:tcPr>
            <w:tcW w:w="0" w:type="auto"/>
            <w:shd w:val="clear" w:color="auto" w:fill="F0F5F9"/>
            <w:vAlign w:val="center"/>
          </w:tcPr>
          <w:p w14:paraId="198B908B">
            <w:pPr>
              <w:spacing w:after="0" w:line="240" w:lineRule="auto"/>
              <w:ind w:firstLine="0"/>
              <w:jc w:val="left"/>
              <w:rPr>
                <w:rFonts w:ascii="Cambria" w:hAnsi="Cambria"/>
                <w:lang w:val="ru-RU"/>
              </w:rPr>
            </w:pPr>
            <w:r>
              <w:rPr>
                <w:rFonts w:ascii="Cambria" w:hAnsi="Cambria"/>
                <w:color w:val="1C2839"/>
                <w:sz w:val="16"/>
                <w:lang w:val="ru-RU"/>
              </w:rPr>
              <w:t>Лимитті, су сапасын, өртке қарсы қорды, есепке алуды және резерв көздерін растау.</w:t>
            </w:r>
          </w:p>
        </w:tc>
      </w:tr>
      <w:tr w14:paraId="17E0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8BB7836">
            <w:pPr>
              <w:spacing w:after="0" w:line="240" w:lineRule="auto"/>
              <w:ind w:firstLine="0"/>
              <w:jc w:val="left"/>
              <w:rPr>
                <w:rFonts w:ascii="Cambria" w:hAnsi="Cambria"/>
              </w:rPr>
            </w:pPr>
            <w:r>
              <w:rPr>
                <w:rFonts w:ascii="Cambria" w:hAnsi="Cambria"/>
                <w:color w:val="1C2839"/>
                <w:sz w:val="16"/>
              </w:rPr>
              <w:t>Су бұру</w:t>
            </w:r>
          </w:p>
        </w:tc>
        <w:tc>
          <w:tcPr>
            <w:tcW w:w="0" w:type="auto"/>
            <w:vAlign w:val="center"/>
          </w:tcPr>
          <w:p w14:paraId="4AFFAC39">
            <w:pPr>
              <w:spacing w:after="0" w:line="240" w:lineRule="auto"/>
              <w:ind w:firstLine="0"/>
              <w:jc w:val="left"/>
              <w:rPr>
                <w:rFonts w:ascii="Cambria" w:hAnsi="Cambria"/>
                <w:lang w:val="ru-RU"/>
              </w:rPr>
            </w:pPr>
            <w:r>
              <w:rPr>
                <w:rFonts w:ascii="Cambria" w:hAnsi="Cambria"/>
                <w:color w:val="1C2839"/>
                <w:sz w:val="16"/>
                <w:lang w:val="ru-RU"/>
              </w:rPr>
              <w:t>Негізінен жергілікті технологиялық айналымды жүйелер, қажетті ағынды суларды ұйымдасқан түрде жинау және тазарту.</w:t>
            </w:r>
          </w:p>
        </w:tc>
        <w:tc>
          <w:tcPr>
            <w:tcW w:w="0" w:type="auto"/>
            <w:vAlign w:val="center"/>
          </w:tcPr>
          <w:p w14:paraId="4D7EE33E">
            <w:pPr>
              <w:spacing w:after="0" w:line="240" w:lineRule="auto"/>
              <w:ind w:firstLine="0"/>
              <w:jc w:val="left"/>
              <w:rPr>
                <w:rFonts w:ascii="Cambria" w:hAnsi="Cambria"/>
                <w:lang w:val="ru-RU"/>
              </w:rPr>
            </w:pPr>
            <w:r>
              <w:rPr>
                <w:rFonts w:ascii="Cambria" w:hAnsi="Cambria"/>
                <w:color w:val="1C2839"/>
                <w:sz w:val="16"/>
                <w:lang w:val="ru-RU"/>
              </w:rPr>
              <w:t>Нақты су теңгерімін, тазарту технологиясын, ағызуға рұқсаттылықты және экологиялық талаптарды айқындау.</w:t>
            </w:r>
          </w:p>
        </w:tc>
      </w:tr>
      <w:tr w14:paraId="2242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0951ADD">
            <w:pPr>
              <w:spacing w:after="0" w:line="240" w:lineRule="auto"/>
              <w:ind w:firstLine="0"/>
              <w:jc w:val="left"/>
              <w:rPr>
                <w:rFonts w:ascii="Cambria" w:hAnsi="Cambria"/>
              </w:rPr>
            </w:pPr>
            <w:r>
              <w:rPr>
                <w:rFonts w:ascii="Cambria" w:hAnsi="Cambria"/>
                <w:color w:val="1C2839"/>
                <w:sz w:val="16"/>
              </w:rPr>
              <w:t>Жылумен жабдықтау</w:t>
            </w:r>
          </w:p>
        </w:tc>
        <w:tc>
          <w:tcPr>
            <w:tcW w:w="0" w:type="auto"/>
            <w:shd w:val="clear" w:color="auto" w:fill="F0F5F9"/>
            <w:vAlign w:val="center"/>
          </w:tcPr>
          <w:p w14:paraId="133445A3">
            <w:pPr>
              <w:spacing w:after="0" w:line="240" w:lineRule="auto"/>
              <w:ind w:firstLine="0"/>
              <w:jc w:val="left"/>
              <w:rPr>
                <w:rFonts w:ascii="Cambria" w:hAnsi="Cambria"/>
                <w:lang w:val="ru-RU"/>
              </w:rPr>
            </w:pPr>
            <w:r>
              <w:rPr>
                <w:rFonts w:ascii="Cambria" w:hAnsi="Cambria"/>
                <w:color w:val="1C2839"/>
                <w:sz w:val="16"/>
                <w:lang w:val="ru-RU"/>
              </w:rPr>
              <w:t>Өндіріс режимдері мен бұйымдарды маусымдық жылыту қажеттілігін ескеретін резиденттердің жергілікті технологиялық шешімдері.</w:t>
            </w:r>
          </w:p>
        </w:tc>
        <w:tc>
          <w:tcPr>
            <w:tcW w:w="0" w:type="auto"/>
            <w:shd w:val="clear" w:color="auto" w:fill="F0F5F9"/>
            <w:vAlign w:val="center"/>
          </w:tcPr>
          <w:p w14:paraId="57603E47">
            <w:pPr>
              <w:spacing w:after="0" w:line="240" w:lineRule="auto"/>
              <w:ind w:firstLine="0"/>
              <w:jc w:val="left"/>
              <w:rPr>
                <w:rFonts w:ascii="Cambria" w:hAnsi="Cambria"/>
                <w:lang w:val="ru-RU"/>
              </w:rPr>
            </w:pPr>
            <w:r>
              <w:rPr>
                <w:rFonts w:ascii="Cambria" w:hAnsi="Cambria"/>
                <w:color w:val="1C2839"/>
                <w:sz w:val="16"/>
                <w:lang w:val="ru-RU"/>
              </w:rPr>
              <w:t>Жобалау кезінде энергия түрлерін, қуатты және экологиялық шектеулерді нақтылау.</w:t>
            </w:r>
          </w:p>
        </w:tc>
      </w:tr>
      <w:tr w14:paraId="2051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5B4FBB7A">
            <w:pPr>
              <w:spacing w:after="0" w:line="240" w:lineRule="auto"/>
              <w:ind w:firstLine="0"/>
              <w:jc w:val="left"/>
              <w:rPr>
                <w:rFonts w:ascii="Cambria" w:hAnsi="Cambria"/>
              </w:rPr>
            </w:pPr>
            <w:r>
              <w:rPr>
                <w:rFonts w:ascii="Cambria" w:hAnsi="Cambria"/>
                <w:color w:val="1C2839"/>
                <w:sz w:val="16"/>
              </w:rPr>
              <w:t>Байланыс және диспетчерлеу</w:t>
            </w:r>
          </w:p>
        </w:tc>
        <w:tc>
          <w:tcPr>
            <w:tcW w:w="0" w:type="auto"/>
            <w:vAlign w:val="center"/>
          </w:tcPr>
          <w:p w14:paraId="1CD81E20">
            <w:pPr>
              <w:spacing w:after="0" w:line="240" w:lineRule="auto"/>
              <w:ind w:firstLine="0"/>
              <w:jc w:val="left"/>
              <w:rPr>
                <w:rFonts w:ascii="Cambria" w:hAnsi="Cambria"/>
                <w:lang w:val="ru-RU"/>
              </w:rPr>
            </w:pPr>
            <w:r>
              <w:rPr>
                <w:rFonts w:ascii="Cambria" w:hAnsi="Cambria"/>
                <w:color w:val="1C2839"/>
                <w:sz w:val="16"/>
                <w:lang w:val="ru-RU"/>
              </w:rPr>
              <w:t>Екі алаңдағы телекоммуникация және есепке алу жүйелері, инфрақұрылым иелерімен байланыс.</w:t>
            </w:r>
          </w:p>
        </w:tc>
        <w:tc>
          <w:tcPr>
            <w:tcW w:w="0" w:type="auto"/>
            <w:vAlign w:val="center"/>
          </w:tcPr>
          <w:p w14:paraId="2A086D32">
            <w:pPr>
              <w:spacing w:after="0" w:line="240" w:lineRule="auto"/>
              <w:ind w:firstLine="0"/>
              <w:jc w:val="left"/>
              <w:rPr>
                <w:rFonts w:ascii="Cambria" w:hAnsi="Cambria"/>
                <w:lang w:val="ru-RU"/>
              </w:rPr>
            </w:pPr>
            <w:r>
              <w:rPr>
                <w:rFonts w:ascii="Cambria" w:hAnsi="Cambria"/>
                <w:color w:val="1C2839"/>
                <w:sz w:val="16"/>
                <w:lang w:val="ru-RU"/>
              </w:rPr>
              <w:t>Қамту аймағын, қосылу нүктелерін, деректерді есепке алу мен қауіпсіздік талаптарын тексеру.</w:t>
            </w:r>
          </w:p>
        </w:tc>
      </w:tr>
      <w:tr w14:paraId="4E30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F2ACC7A">
            <w:pPr>
              <w:spacing w:after="0" w:line="240" w:lineRule="auto"/>
              <w:ind w:firstLine="0"/>
              <w:jc w:val="left"/>
              <w:rPr>
                <w:rFonts w:ascii="Cambria" w:hAnsi="Cambria"/>
              </w:rPr>
            </w:pPr>
            <w:r>
              <w:rPr>
                <w:rFonts w:ascii="Cambria" w:hAnsi="Cambria"/>
                <w:color w:val="1C2839"/>
                <w:sz w:val="16"/>
              </w:rPr>
              <w:t>Сақтау және жөнелту</w:t>
            </w:r>
          </w:p>
        </w:tc>
        <w:tc>
          <w:tcPr>
            <w:tcW w:w="0" w:type="auto"/>
            <w:shd w:val="clear" w:color="auto" w:fill="F0F5F9"/>
            <w:vAlign w:val="center"/>
          </w:tcPr>
          <w:p w14:paraId="27F35B02">
            <w:pPr>
              <w:spacing w:after="0" w:line="240" w:lineRule="auto"/>
              <w:ind w:firstLine="0"/>
              <w:jc w:val="left"/>
              <w:rPr>
                <w:rFonts w:ascii="Cambria" w:hAnsi="Cambria"/>
                <w:lang w:val="ru-RU"/>
              </w:rPr>
            </w:pPr>
            <w:r>
              <w:rPr>
                <w:rFonts w:ascii="Cambria" w:hAnsi="Cambria"/>
                <w:color w:val="1C2839"/>
                <w:sz w:val="16"/>
                <w:lang w:val="ru-RU"/>
              </w:rPr>
              <w:t>Резиденттердің шекарасында ТББ-ны ашық сақтау алаңдары, құрғақ қоспалар мен фиброцемент бұйымдарын қаптау/қорғалған сақтау технологиялық аймақтары.</w:t>
            </w:r>
          </w:p>
        </w:tc>
        <w:tc>
          <w:tcPr>
            <w:tcW w:w="0" w:type="auto"/>
            <w:shd w:val="clear" w:color="auto" w:fill="F0F5F9"/>
            <w:vAlign w:val="center"/>
          </w:tcPr>
          <w:p w14:paraId="3DF72AC7">
            <w:pPr>
              <w:spacing w:after="0" w:line="240" w:lineRule="auto"/>
              <w:ind w:firstLine="0"/>
              <w:jc w:val="left"/>
              <w:rPr>
                <w:rFonts w:ascii="Cambria" w:hAnsi="Cambria"/>
                <w:lang w:val="ru-RU"/>
              </w:rPr>
            </w:pPr>
            <w:r>
              <w:rPr>
                <w:rFonts w:ascii="Cambria" w:hAnsi="Cambria"/>
                <w:color w:val="1C2839"/>
                <w:sz w:val="16"/>
                <w:lang w:val="ru-RU"/>
              </w:rPr>
              <w:t>Қойма схемасын, рұқсат етілген жүктемелерді және өнімді ылғал мен бүлінуден қорғау талаптарын нақтылау.</w:t>
            </w:r>
          </w:p>
        </w:tc>
      </w:tr>
    </w:tbl>
    <w:p w14:paraId="4570723C">
      <w:pPr>
        <w:spacing w:line="240" w:lineRule="auto"/>
        <w:rPr>
          <w:rFonts w:ascii="Cambria" w:hAnsi="Cambria"/>
          <w:lang w:val="ru-RU"/>
        </w:rPr>
      </w:pPr>
      <w:r>
        <w:rPr>
          <w:rFonts w:ascii="Cambria" w:hAnsi="Cambria"/>
          <w:lang w:val="ru-RU"/>
        </w:rPr>
        <w:t>Аумақты қосу мен дайындаудың ірілендірілген құны жалпы инфрақұрылым бюджетінің 12,0 млрд теңгесін құрайды: электрмен жабдықтау – 8,40 млрд теңге, теміржол инфрақұрылымы – 3,63 млрд теңге. Бөлініс 8-бөлімге сәйкес келеді және цемент зауытының сыртқы магистральдық объектілерінің құнын қамтымайды.</w:t>
      </w:r>
    </w:p>
    <w:p w14:paraId="05DB3BF2">
      <w:pPr>
        <w:pStyle w:val="3"/>
        <w:spacing w:line="240" w:lineRule="auto"/>
        <w:rPr>
          <w:rFonts w:ascii="Cambria" w:hAnsi="Cambria"/>
          <w:lang w:val="ru-RU"/>
        </w:rPr>
      </w:pPr>
      <w:bookmarkStart w:id="48" w:name="__RefHeading___Toc9578_2617525462"/>
      <w:bookmarkEnd w:id="48"/>
      <w:r>
        <w:rPr>
          <w:rFonts w:ascii="Cambria" w:hAnsi="Cambria"/>
          <w:lang w:val="ru-RU"/>
        </w:rPr>
        <w:t>9.5. Индустриялық аймақты іске асырудың күнтізбелік жоспары</w:t>
      </w:r>
    </w:p>
    <w:p w14:paraId="1CC72A57">
      <w:pPr>
        <w:spacing w:line="240" w:lineRule="auto"/>
        <w:rPr>
          <w:rFonts w:ascii="Cambria" w:hAnsi="Cambria"/>
          <w:lang w:val="ru-RU"/>
        </w:rPr>
      </w:pPr>
      <w:r>
        <w:rPr>
          <w:rFonts w:ascii="Cambria" w:hAnsi="Cambria"/>
          <w:lang w:val="ru-RU"/>
        </w:rPr>
        <w:t>Іске асыру мерзімдері өзара тәуелді іс-шараларды бірізді орындау арқылы алты күнтізбелік жылға бөлінген. ИА құрудың сыни жолына мыналар кіреді:</w:t>
      </w:r>
    </w:p>
    <w:p w14:paraId="41EA2B7C">
      <w:pPr>
        <w:spacing w:line="240" w:lineRule="auto"/>
        <w:rPr>
          <w:rFonts w:ascii="Cambria" w:hAnsi="Cambria"/>
          <w:lang w:val="ru-RU"/>
        </w:rPr>
      </w:pPr>
      <w:r>
        <w:rPr>
          <w:rFonts w:ascii="Cambria" w:hAnsi="Cambria"/>
          <w:lang w:val="ru-RU"/>
        </w:rPr>
        <w:t>(1) жер-құқықтық мәселелерді шешу;</w:t>
      </w:r>
    </w:p>
    <w:p w14:paraId="581E0869">
      <w:pPr>
        <w:spacing w:line="240" w:lineRule="auto"/>
        <w:rPr>
          <w:rFonts w:ascii="Cambria" w:hAnsi="Cambria"/>
          <w:lang w:val="ru-RU"/>
        </w:rPr>
      </w:pPr>
      <w:r>
        <w:rPr>
          <w:rFonts w:ascii="Cambria" w:hAnsi="Cambria"/>
          <w:lang w:val="ru-RU"/>
        </w:rPr>
        <w:t>(2) ресурстар мен көлікке қосылу мүмкіндіктерінің қолжетімділігін растау;</w:t>
      </w:r>
    </w:p>
    <w:p w14:paraId="087F2395">
      <w:pPr>
        <w:spacing w:line="240" w:lineRule="auto"/>
        <w:rPr>
          <w:rFonts w:ascii="Cambria" w:hAnsi="Cambria"/>
          <w:lang w:val="ru-RU"/>
        </w:rPr>
      </w:pPr>
      <w:r>
        <w:rPr>
          <w:rFonts w:ascii="Cambria" w:hAnsi="Cambria"/>
          <w:lang w:val="ru-RU"/>
        </w:rPr>
        <w:t>(3) жобалауды аяқтау және инфрақұрылымды салу;</w:t>
      </w:r>
    </w:p>
    <w:p w14:paraId="4EC21B4B">
      <w:pPr>
        <w:spacing w:line="240" w:lineRule="auto"/>
        <w:rPr>
          <w:rFonts w:ascii="Cambria" w:hAnsi="Cambria"/>
          <w:lang w:val="ru-RU"/>
        </w:rPr>
      </w:pPr>
      <w:r>
        <w:rPr>
          <w:rFonts w:ascii="Cambria" w:hAnsi="Cambria"/>
          <w:lang w:val="ru-RU"/>
        </w:rPr>
        <w:t>(4) резиденттерді орналастыру және олардың технологиялық желілерін іске қосу.</w:t>
      </w:r>
    </w:p>
    <w:p w14:paraId="469765B7">
      <w:pPr>
        <w:spacing w:line="240" w:lineRule="auto"/>
        <w:rPr>
          <w:rFonts w:ascii="Cambria" w:hAnsi="Cambria"/>
          <w:lang w:val="ru-RU"/>
        </w:rPr>
      </w:pPr>
      <w:r>
        <w:rPr>
          <w:rFonts w:ascii="Cambria" w:hAnsi="Cambria"/>
          <w:lang w:val="ru-RU"/>
        </w:rPr>
        <w:t>Алдыңғы кезеңдердің түпкілікті рәсімделген нәтижелерін талап етпейтін көлемде жекелеген өндірістерді жобалауға инфрақұрылымдық жұмыстармен қатар жүргізуге жол беріледі.</w:t>
      </w:r>
    </w:p>
    <w:p w14:paraId="3925FD2A">
      <w:pPr>
        <w:spacing w:line="240" w:lineRule="auto"/>
        <w:rPr>
          <w:rFonts w:ascii="Cambria" w:hAnsi="Cambria"/>
          <w:lang w:val="ru-RU"/>
        </w:rPr>
      </w:pPr>
      <w:r>
        <w:rPr>
          <w:rFonts w:ascii="Cambria" w:hAnsi="Cambria"/>
          <w:lang w:val="ru-RU"/>
        </w:rPr>
        <w:t>Тұжырымдамада инфрақұрылым шығындарының 12,0 млрд теңгесін 2027–2029 жылдары, ал 38,7 млрд теңге жеке инвестицияларды 2028–2032 жылдары игеру көзделген. Мерзімдерді бақылау үшін дайындық, құрылыс, пайдалануға беру және жобалық көрсеткіштерге шығу кезеңдері бөлінген ірілендірілген күнтізбелік жоспарды қолдану ұсынылады.</w:t>
      </w:r>
    </w:p>
    <w:p w14:paraId="016E0C61">
      <w:pPr>
        <w:pStyle w:val="75"/>
        <w:keepNext/>
        <w:spacing w:line="240" w:lineRule="auto"/>
        <w:rPr>
          <w:rFonts w:ascii="Cambria" w:hAnsi="Cambria"/>
          <w:lang w:val="ru-RU"/>
        </w:rPr>
      </w:pPr>
      <w:r>
        <w:rPr>
          <w:rFonts w:ascii="Cambria" w:hAnsi="Cambria"/>
          <w:lang w:val="ru-RU"/>
        </w:rPr>
        <w:t>9.6-кесте – «Байғанин» ИА-ны іске асырудың алдын ала күнтізбелік жоспары</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5225"/>
        <w:gridCol w:w="709"/>
        <w:gridCol w:w="709"/>
        <w:gridCol w:w="709"/>
        <w:gridCol w:w="709"/>
        <w:gridCol w:w="709"/>
        <w:gridCol w:w="705"/>
      </w:tblGrid>
      <w:tr w14:paraId="7B03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2758" w:type="pct"/>
            <w:shd w:val="clear" w:color="auto" w:fill="23486F"/>
            <w:vAlign w:val="center"/>
          </w:tcPr>
          <w:p w14:paraId="75DD89BA">
            <w:pPr>
              <w:spacing w:after="0" w:line="240" w:lineRule="auto"/>
              <w:ind w:firstLine="0"/>
              <w:jc w:val="center"/>
              <w:rPr>
                <w:rFonts w:ascii="Cambria" w:hAnsi="Cambria"/>
              </w:rPr>
            </w:pPr>
            <w:r>
              <w:rPr>
                <w:rFonts w:ascii="Cambria" w:hAnsi="Cambria"/>
                <w:b/>
                <w:color w:val="FFFFFF"/>
                <w:sz w:val="15"/>
              </w:rPr>
              <w:t>Іс-шара</w:t>
            </w:r>
          </w:p>
        </w:tc>
        <w:tc>
          <w:tcPr>
            <w:tcW w:w="374" w:type="pct"/>
            <w:shd w:val="clear" w:color="auto" w:fill="23486F"/>
            <w:vAlign w:val="center"/>
          </w:tcPr>
          <w:p w14:paraId="4EF99005">
            <w:pPr>
              <w:spacing w:after="0" w:line="240" w:lineRule="auto"/>
              <w:ind w:firstLine="0"/>
              <w:jc w:val="center"/>
              <w:rPr>
                <w:rFonts w:ascii="Cambria" w:hAnsi="Cambria"/>
              </w:rPr>
            </w:pPr>
            <w:r>
              <w:rPr>
                <w:rFonts w:ascii="Cambria" w:hAnsi="Cambria"/>
                <w:b/>
                <w:color w:val="FFFFFF"/>
                <w:sz w:val="15"/>
              </w:rPr>
              <w:t>2027</w:t>
            </w:r>
          </w:p>
        </w:tc>
        <w:tc>
          <w:tcPr>
            <w:tcW w:w="374" w:type="pct"/>
            <w:shd w:val="clear" w:color="auto" w:fill="23486F"/>
            <w:vAlign w:val="center"/>
          </w:tcPr>
          <w:p w14:paraId="5716E0F6">
            <w:pPr>
              <w:spacing w:after="0" w:line="240" w:lineRule="auto"/>
              <w:ind w:firstLine="0"/>
              <w:jc w:val="center"/>
              <w:rPr>
                <w:rFonts w:ascii="Cambria" w:hAnsi="Cambria"/>
              </w:rPr>
            </w:pPr>
            <w:r>
              <w:rPr>
                <w:rFonts w:ascii="Cambria" w:hAnsi="Cambria"/>
                <w:b/>
                <w:color w:val="FFFFFF"/>
                <w:sz w:val="15"/>
              </w:rPr>
              <w:t>2028</w:t>
            </w:r>
          </w:p>
        </w:tc>
        <w:tc>
          <w:tcPr>
            <w:tcW w:w="374" w:type="pct"/>
            <w:shd w:val="clear" w:color="auto" w:fill="23486F"/>
            <w:vAlign w:val="center"/>
          </w:tcPr>
          <w:p w14:paraId="23C132B5">
            <w:pPr>
              <w:spacing w:after="0" w:line="240" w:lineRule="auto"/>
              <w:ind w:firstLine="0"/>
              <w:jc w:val="center"/>
              <w:rPr>
                <w:rFonts w:ascii="Cambria" w:hAnsi="Cambria"/>
              </w:rPr>
            </w:pPr>
            <w:r>
              <w:rPr>
                <w:rFonts w:ascii="Cambria" w:hAnsi="Cambria"/>
                <w:b/>
                <w:color w:val="FFFFFF"/>
                <w:sz w:val="15"/>
              </w:rPr>
              <w:t>2029</w:t>
            </w:r>
          </w:p>
        </w:tc>
        <w:tc>
          <w:tcPr>
            <w:tcW w:w="374" w:type="pct"/>
            <w:shd w:val="clear" w:color="auto" w:fill="23486F"/>
            <w:vAlign w:val="center"/>
          </w:tcPr>
          <w:p w14:paraId="45C30E77">
            <w:pPr>
              <w:spacing w:after="0" w:line="240" w:lineRule="auto"/>
              <w:ind w:firstLine="0"/>
              <w:jc w:val="center"/>
              <w:rPr>
                <w:rFonts w:ascii="Cambria" w:hAnsi="Cambria"/>
              </w:rPr>
            </w:pPr>
            <w:r>
              <w:rPr>
                <w:rFonts w:ascii="Cambria" w:hAnsi="Cambria"/>
                <w:b/>
                <w:color w:val="FFFFFF"/>
                <w:sz w:val="15"/>
              </w:rPr>
              <w:t>2030</w:t>
            </w:r>
          </w:p>
        </w:tc>
        <w:tc>
          <w:tcPr>
            <w:tcW w:w="374" w:type="pct"/>
            <w:shd w:val="clear" w:color="auto" w:fill="23486F"/>
            <w:vAlign w:val="center"/>
          </w:tcPr>
          <w:p w14:paraId="670EB45C">
            <w:pPr>
              <w:spacing w:after="0" w:line="240" w:lineRule="auto"/>
              <w:ind w:firstLine="0"/>
              <w:jc w:val="center"/>
              <w:rPr>
                <w:rFonts w:ascii="Cambria" w:hAnsi="Cambria"/>
              </w:rPr>
            </w:pPr>
            <w:r>
              <w:rPr>
                <w:rFonts w:ascii="Cambria" w:hAnsi="Cambria"/>
                <w:b/>
                <w:color w:val="FFFFFF"/>
                <w:sz w:val="15"/>
              </w:rPr>
              <w:t>2031</w:t>
            </w:r>
          </w:p>
        </w:tc>
        <w:tc>
          <w:tcPr>
            <w:tcW w:w="374" w:type="pct"/>
            <w:shd w:val="clear" w:color="auto" w:fill="23486F"/>
            <w:vAlign w:val="center"/>
          </w:tcPr>
          <w:p w14:paraId="3A2A120D">
            <w:pPr>
              <w:spacing w:after="0" w:line="240" w:lineRule="auto"/>
              <w:ind w:firstLine="0"/>
              <w:jc w:val="center"/>
              <w:rPr>
                <w:rFonts w:ascii="Cambria" w:hAnsi="Cambria"/>
              </w:rPr>
            </w:pPr>
            <w:r>
              <w:rPr>
                <w:rFonts w:ascii="Cambria" w:hAnsi="Cambria"/>
                <w:b/>
                <w:color w:val="FFFFFF"/>
                <w:sz w:val="15"/>
              </w:rPr>
              <w:t>2032</w:t>
            </w:r>
          </w:p>
        </w:tc>
      </w:tr>
      <w:tr w14:paraId="5CCC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49C947BC">
            <w:pPr>
              <w:spacing w:after="0" w:line="240" w:lineRule="auto"/>
              <w:ind w:firstLine="0"/>
              <w:jc w:val="left"/>
              <w:rPr>
                <w:rFonts w:ascii="Cambria" w:hAnsi="Cambria"/>
                <w:lang w:val="ru-RU"/>
              </w:rPr>
            </w:pPr>
            <w:r>
              <w:rPr>
                <w:rFonts w:ascii="Cambria" w:hAnsi="Cambria"/>
                <w:color w:val="1C2839"/>
                <w:sz w:val="15"/>
                <w:lang w:val="ru-RU"/>
              </w:rPr>
              <w:t>Жер учаскелерін және құқықтық режимді рәсімдеу</w:t>
            </w:r>
          </w:p>
        </w:tc>
        <w:tc>
          <w:tcPr>
            <w:tcW w:w="374" w:type="pct"/>
            <w:vAlign w:val="center"/>
          </w:tcPr>
          <w:p w14:paraId="49D1D52F">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11EC3668">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2DEFEE74">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689B943B">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33928F33">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188C635C">
            <w:pPr>
              <w:spacing w:after="0" w:line="240" w:lineRule="auto"/>
              <w:ind w:firstLine="0"/>
              <w:jc w:val="center"/>
              <w:rPr>
                <w:rFonts w:ascii="Cambria" w:hAnsi="Cambria"/>
              </w:rPr>
            </w:pPr>
            <w:r>
              <w:rPr>
                <w:rFonts w:ascii="Cambria" w:hAnsi="Cambria"/>
                <w:color w:val="1C2839"/>
                <w:sz w:val="15"/>
              </w:rPr>
              <w:t>—</w:t>
            </w:r>
          </w:p>
        </w:tc>
      </w:tr>
      <w:tr w14:paraId="3349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shd w:val="clear" w:color="auto" w:fill="F0F5F9"/>
            <w:vAlign w:val="center"/>
          </w:tcPr>
          <w:p w14:paraId="297E9C20">
            <w:pPr>
              <w:spacing w:after="0" w:line="240" w:lineRule="auto"/>
              <w:ind w:firstLine="0"/>
              <w:jc w:val="left"/>
              <w:rPr>
                <w:rFonts w:ascii="Cambria" w:hAnsi="Cambria"/>
                <w:lang w:val="ru-RU"/>
              </w:rPr>
            </w:pPr>
            <w:r>
              <w:rPr>
                <w:rFonts w:ascii="Cambria" w:hAnsi="Cambria"/>
                <w:color w:val="1C2839"/>
                <w:sz w:val="15"/>
                <w:lang w:val="ru-RU"/>
              </w:rPr>
              <w:t>Техникалық шарттар мен келісімдерді растау және жобалау</w:t>
            </w:r>
          </w:p>
        </w:tc>
        <w:tc>
          <w:tcPr>
            <w:tcW w:w="374" w:type="pct"/>
            <w:shd w:val="clear" w:color="auto" w:fill="F0F5F9"/>
            <w:vAlign w:val="center"/>
          </w:tcPr>
          <w:p w14:paraId="79384C84">
            <w:pPr>
              <w:spacing w:after="0" w:line="240" w:lineRule="auto"/>
              <w:ind w:firstLine="0"/>
              <w:jc w:val="center"/>
              <w:rPr>
                <w:rFonts w:ascii="Cambria" w:hAnsi="Cambria"/>
              </w:rPr>
            </w:pPr>
            <w:r>
              <w:rPr>
                <w:rFonts w:ascii="Cambria" w:hAnsi="Cambria"/>
                <w:color w:val="1C2839"/>
                <w:sz w:val="15"/>
              </w:rPr>
              <w:t>Д</w:t>
            </w:r>
          </w:p>
        </w:tc>
        <w:tc>
          <w:tcPr>
            <w:tcW w:w="374" w:type="pct"/>
            <w:shd w:val="clear" w:color="auto" w:fill="F0F5F9"/>
            <w:vAlign w:val="center"/>
          </w:tcPr>
          <w:p w14:paraId="7FDC5C6F">
            <w:pPr>
              <w:spacing w:after="0" w:line="240" w:lineRule="auto"/>
              <w:ind w:firstLine="0"/>
              <w:jc w:val="center"/>
              <w:rPr>
                <w:rFonts w:ascii="Cambria" w:hAnsi="Cambria"/>
              </w:rPr>
            </w:pPr>
            <w:r>
              <w:rPr>
                <w:rFonts w:ascii="Cambria" w:hAnsi="Cambria"/>
                <w:color w:val="1C2839"/>
                <w:sz w:val="15"/>
              </w:rPr>
              <w:t>Д</w:t>
            </w:r>
          </w:p>
        </w:tc>
        <w:tc>
          <w:tcPr>
            <w:tcW w:w="374" w:type="pct"/>
            <w:shd w:val="clear" w:color="auto" w:fill="F0F5F9"/>
            <w:vAlign w:val="center"/>
          </w:tcPr>
          <w:p w14:paraId="43D31186">
            <w:pPr>
              <w:spacing w:after="0" w:line="240" w:lineRule="auto"/>
              <w:ind w:firstLine="0"/>
              <w:jc w:val="center"/>
              <w:rPr>
                <w:rFonts w:ascii="Cambria" w:hAnsi="Cambria"/>
              </w:rPr>
            </w:pPr>
            <w:r>
              <w:rPr>
                <w:rFonts w:ascii="Cambria" w:hAnsi="Cambria"/>
                <w:color w:val="1C2839"/>
                <w:sz w:val="15"/>
              </w:rPr>
              <w:t>Д</w:t>
            </w:r>
          </w:p>
        </w:tc>
        <w:tc>
          <w:tcPr>
            <w:tcW w:w="374" w:type="pct"/>
            <w:shd w:val="clear" w:color="auto" w:fill="F0F5F9"/>
            <w:vAlign w:val="center"/>
          </w:tcPr>
          <w:p w14:paraId="13541D9F">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1D010B5F">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4C1DEE3D">
            <w:pPr>
              <w:spacing w:after="0" w:line="240" w:lineRule="auto"/>
              <w:ind w:firstLine="0"/>
              <w:jc w:val="center"/>
              <w:rPr>
                <w:rFonts w:ascii="Cambria" w:hAnsi="Cambria"/>
              </w:rPr>
            </w:pPr>
            <w:r>
              <w:rPr>
                <w:rFonts w:ascii="Cambria" w:hAnsi="Cambria"/>
                <w:color w:val="1C2839"/>
                <w:sz w:val="15"/>
              </w:rPr>
              <w:t>—</w:t>
            </w:r>
          </w:p>
        </w:tc>
      </w:tr>
      <w:tr w14:paraId="164C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23C8D79D">
            <w:pPr>
              <w:spacing w:after="0" w:line="240" w:lineRule="auto"/>
              <w:ind w:firstLine="0"/>
              <w:jc w:val="left"/>
              <w:rPr>
                <w:rFonts w:ascii="Cambria" w:hAnsi="Cambria"/>
                <w:lang w:val="ru-RU"/>
              </w:rPr>
            </w:pPr>
            <w:r>
              <w:rPr>
                <w:rFonts w:ascii="Cambria" w:hAnsi="Cambria"/>
                <w:color w:val="1C2839"/>
                <w:sz w:val="15"/>
                <w:lang w:val="ru-RU"/>
              </w:rPr>
              <w:t>Ортақ инженерлік және көлік инфрақұрылымы</w:t>
            </w:r>
          </w:p>
        </w:tc>
        <w:tc>
          <w:tcPr>
            <w:tcW w:w="374" w:type="pct"/>
            <w:vAlign w:val="center"/>
          </w:tcPr>
          <w:p w14:paraId="6B046C83">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23C3CC90">
            <w:pPr>
              <w:spacing w:after="0" w:line="240" w:lineRule="auto"/>
              <w:ind w:firstLine="0"/>
              <w:jc w:val="center"/>
              <w:rPr>
                <w:rFonts w:ascii="Cambria" w:hAnsi="Cambria"/>
              </w:rPr>
            </w:pPr>
            <w:r>
              <w:rPr>
                <w:rFonts w:ascii="Cambria" w:hAnsi="Cambria"/>
                <w:color w:val="1C2839"/>
                <w:sz w:val="15"/>
              </w:rPr>
              <w:t>С</w:t>
            </w:r>
          </w:p>
        </w:tc>
        <w:tc>
          <w:tcPr>
            <w:tcW w:w="374" w:type="pct"/>
            <w:vAlign w:val="center"/>
          </w:tcPr>
          <w:p w14:paraId="298B643D">
            <w:pPr>
              <w:spacing w:after="0" w:line="240" w:lineRule="auto"/>
              <w:ind w:firstLine="0"/>
              <w:jc w:val="center"/>
              <w:rPr>
                <w:rFonts w:ascii="Cambria" w:hAnsi="Cambria"/>
              </w:rPr>
            </w:pPr>
            <w:r>
              <w:rPr>
                <w:rFonts w:ascii="Cambria" w:hAnsi="Cambria"/>
                <w:color w:val="1C2839"/>
                <w:sz w:val="15"/>
              </w:rPr>
              <w:t>С/П</w:t>
            </w:r>
          </w:p>
        </w:tc>
        <w:tc>
          <w:tcPr>
            <w:tcW w:w="374" w:type="pct"/>
            <w:vAlign w:val="center"/>
          </w:tcPr>
          <w:p w14:paraId="63914D47">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584E83D1">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5723DFC3">
            <w:pPr>
              <w:spacing w:after="0" w:line="240" w:lineRule="auto"/>
              <w:ind w:firstLine="0"/>
              <w:jc w:val="center"/>
              <w:rPr>
                <w:rFonts w:ascii="Cambria" w:hAnsi="Cambria"/>
              </w:rPr>
            </w:pPr>
            <w:r>
              <w:rPr>
                <w:rFonts w:ascii="Cambria" w:hAnsi="Cambria"/>
                <w:color w:val="1C2839"/>
                <w:sz w:val="15"/>
              </w:rPr>
              <w:t>—</w:t>
            </w:r>
          </w:p>
        </w:tc>
      </w:tr>
      <w:tr w14:paraId="398C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shd w:val="clear" w:color="auto" w:fill="F0F5F9"/>
            <w:vAlign w:val="center"/>
          </w:tcPr>
          <w:p w14:paraId="00614075">
            <w:pPr>
              <w:spacing w:after="0" w:line="240" w:lineRule="auto"/>
              <w:ind w:firstLine="0"/>
              <w:jc w:val="left"/>
              <w:rPr>
                <w:rFonts w:ascii="Cambria" w:hAnsi="Cambria"/>
              </w:rPr>
            </w:pPr>
            <w:r>
              <w:rPr>
                <w:rFonts w:ascii="Cambria" w:hAnsi="Cambria"/>
                <w:color w:val="1C2839"/>
                <w:sz w:val="15"/>
              </w:rPr>
              <w:t>№ 1 жоба – инфрақұрылымдық ТББ</w:t>
            </w:r>
          </w:p>
        </w:tc>
        <w:tc>
          <w:tcPr>
            <w:tcW w:w="374" w:type="pct"/>
            <w:shd w:val="clear" w:color="auto" w:fill="F0F5F9"/>
            <w:vAlign w:val="center"/>
          </w:tcPr>
          <w:p w14:paraId="2DF267E6">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4788C084">
            <w:pPr>
              <w:spacing w:after="0" w:line="240" w:lineRule="auto"/>
              <w:ind w:firstLine="0"/>
              <w:jc w:val="center"/>
              <w:rPr>
                <w:rFonts w:ascii="Cambria" w:hAnsi="Cambria"/>
              </w:rPr>
            </w:pPr>
            <w:r>
              <w:rPr>
                <w:rFonts w:ascii="Cambria" w:hAnsi="Cambria"/>
                <w:color w:val="1C2839"/>
                <w:sz w:val="15"/>
              </w:rPr>
              <w:t>С</w:t>
            </w:r>
          </w:p>
        </w:tc>
        <w:tc>
          <w:tcPr>
            <w:tcW w:w="374" w:type="pct"/>
            <w:shd w:val="clear" w:color="auto" w:fill="F0F5F9"/>
            <w:vAlign w:val="center"/>
          </w:tcPr>
          <w:p w14:paraId="644E67A2">
            <w:pPr>
              <w:spacing w:after="0" w:line="240" w:lineRule="auto"/>
              <w:ind w:firstLine="0"/>
              <w:jc w:val="center"/>
              <w:rPr>
                <w:rFonts w:ascii="Cambria" w:hAnsi="Cambria"/>
              </w:rPr>
            </w:pPr>
            <w:r>
              <w:rPr>
                <w:rFonts w:ascii="Cambria" w:hAnsi="Cambria"/>
                <w:color w:val="1C2839"/>
                <w:sz w:val="15"/>
              </w:rPr>
              <w:t>С/СӨ</w:t>
            </w:r>
          </w:p>
        </w:tc>
        <w:tc>
          <w:tcPr>
            <w:tcW w:w="374" w:type="pct"/>
            <w:shd w:val="clear" w:color="auto" w:fill="F0F5F9"/>
            <w:vAlign w:val="center"/>
          </w:tcPr>
          <w:p w14:paraId="2EEAB055">
            <w:pPr>
              <w:spacing w:after="0" w:line="240" w:lineRule="auto"/>
              <w:ind w:firstLine="0"/>
              <w:jc w:val="center"/>
              <w:rPr>
                <w:rFonts w:ascii="Cambria" w:hAnsi="Cambria"/>
              </w:rPr>
            </w:pPr>
            <w:r>
              <w:rPr>
                <w:rFonts w:ascii="Cambria" w:hAnsi="Cambria"/>
                <w:color w:val="1C2839"/>
                <w:sz w:val="15"/>
              </w:rPr>
              <w:t>П</w:t>
            </w:r>
          </w:p>
        </w:tc>
        <w:tc>
          <w:tcPr>
            <w:tcW w:w="374" w:type="pct"/>
            <w:shd w:val="clear" w:color="auto" w:fill="F0F5F9"/>
            <w:vAlign w:val="center"/>
          </w:tcPr>
          <w:p w14:paraId="7C7B77BB">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27AD2C62">
            <w:pPr>
              <w:spacing w:after="0" w:line="240" w:lineRule="auto"/>
              <w:ind w:firstLine="0"/>
              <w:jc w:val="center"/>
              <w:rPr>
                <w:rFonts w:ascii="Cambria" w:hAnsi="Cambria"/>
              </w:rPr>
            </w:pPr>
            <w:r>
              <w:rPr>
                <w:rFonts w:ascii="Cambria" w:hAnsi="Cambria"/>
                <w:color w:val="1C2839"/>
                <w:sz w:val="15"/>
              </w:rPr>
              <w:t>—</w:t>
            </w:r>
          </w:p>
        </w:tc>
      </w:tr>
      <w:tr w14:paraId="420D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5BE5B461">
            <w:pPr>
              <w:spacing w:after="0" w:line="240" w:lineRule="auto"/>
              <w:ind w:firstLine="0"/>
              <w:jc w:val="left"/>
              <w:rPr>
                <w:rFonts w:ascii="Cambria" w:hAnsi="Cambria"/>
              </w:rPr>
            </w:pPr>
            <w:r>
              <w:rPr>
                <w:rFonts w:ascii="Cambria" w:hAnsi="Cambria"/>
                <w:color w:val="1C2839"/>
                <w:sz w:val="15"/>
              </w:rPr>
              <w:t>№ 2 жоба – темірбетон шпалдар</w:t>
            </w:r>
          </w:p>
        </w:tc>
        <w:tc>
          <w:tcPr>
            <w:tcW w:w="374" w:type="pct"/>
            <w:vAlign w:val="center"/>
          </w:tcPr>
          <w:p w14:paraId="1645E4E7">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126B2878">
            <w:pPr>
              <w:spacing w:after="0" w:line="240" w:lineRule="auto"/>
              <w:ind w:firstLine="0"/>
              <w:jc w:val="center"/>
              <w:rPr>
                <w:rFonts w:ascii="Cambria" w:hAnsi="Cambria"/>
              </w:rPr>
            </w:pPr>
            <w:r>
              <w:rPr>
                <w:rFonts w:ascii="Cambria" w:hAnsi="Cambria"/>
                <w:color w:val="1C2839"/>
                <w:sz w:val="15"/>
              </w:rPr>
              <w:t>С</w:t>
            </w:r>
          </w:p>
        </w:tc>
        <w:tc>
          <w:tcPr>
            <w:tcW w:w="374" w:type="pct"/>
            <w:vAlign w:val="center"/>
          </w:tcPr>
          <w:p w14:paraId="33FC4010">
            <w:pPr>
              <w:spacing w:after="0" w:line="240" w:lineRule="auto"/>
              <w:ind w:firstLine="0"/>
              <w:jc w:val="center"/>
              <w:rPr>
                <w:rFonts w:ascii="Cambria" w:hAnsi="Cambria"/>
              </w:rPr>
            </w:pPr>
            <w:r>
              <w:rPr>
                <w:rFonts w:ascii="Cambria" w:hAnsi="Cambria"/>
                <w:color w:val="1C2839"/>
                <w:sz w:val="15"/>
              </w:rPr>
              <w:t>С/СӨ</w:t>
            </w:r>
          </w:p>
        </w:tc>
        <w:tc>
          <w:tcPr>
            <w:tcW w:w="374" w:type="pct"/>
            <w:vAlign w:val="center"/>
          </w:tcPr>
          <w:p w14:paraId="6F326FB0">
            <w:pPr>
              <w:spacing w:after="0" w:line="240" w:lineRule="auto"/>
              <w:ind w:firstLine="0"/>
              <w:jc w:val="center"/>
              <w:rPr>
                <w:rFonts w:ascii="Cambria" w:hAnsi="Cambria"/>
              </w:rPr>
            </w:pPr>
            <w:r>
              <w:rPr>
                <w:rFonts w:ascii="Cambria" w:hAnsi="Cambria"/>
                <w:color w:val="1C2839"/>
                <w:sz w:val="15"/>
              </w:rPr>
              <w:t>П</w:t>
            </w:r>
          </w:p>
        </w:tc>
        <w:tc>
          <w:tcPr>
            <w:tcW w:w="374" w:type="pct"/>
            <w:vAlign w:val="center"/>
          </w:tcPr>
          <w:p w14:paraId="7CF3B6E2">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2CBBF75C">
            <w:pPr>
              <w:spacing w:after="0" w:line="240" w:lineRule="auto"/>
              <w:ind w:firstLine="0"/>
              <w:jc w:val="center"/>
              <w:rPr>
                <w:rFonts w:ascii="Cambria" w:hAnsi="Cambria"/>
              </w:rPr>
            </w:pPr>
            <w:r>
              <w:rPr>
                <w:rFonts w:ascii="Cambria" w:hAnsi="Cambria"/>
                <w:color w:val="1C2839"/>
                <w:sz w:val="15"/>
              </w:rPr>
              <w:t>—</w:t>
            </w:r>
          </w:p>
        </w:tc>
      </w:tr>
      <w:tr w14:paraId="6D43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shd w:val="clear" w:color="auto" w:fill="F0F5F9"/>
            <w:vAlign w:val="center"/>
          </w:tcPr>
          <w:p w14:paraId="14C0CF35">
            <w:pPr>
              <w:spacing w:after="0" w:line="240" w:lineRule="auto"/>
              <w:ind w:firstLine="0"/>
              <w:jc w:val="left"/>
              <w:rPr>
                <w:rFonts w:ascii="Cambria" w:hAnsi="Cambria"/>
              </w:rPr>
            </w:pPr>
            <w:r>
              <w:rPr>
                <w:rFonts w:ascii="Cambria" w:hAnsi="Cambria"/>
                <w:color w:val="1C2839"/>
                <w:sz w:val="15"/>
              </w:rPr>
              <w:t>№ 3 жоба – электр беру желілерінің темірбетон тіректері</w:t>
            </w:r>
          </w:p>
        </w:tc>
        <w:tc>
          <w:tcPr>
            <w:tcW w:w="374" w:type="pct"/>
            <w:shd w:val="clear" w:color="auto" w:fill="F0F5F9"/>
            <w:vAlign w:val="center"/>
          </w:tcPr>
          <w:p w14:paraId="43D9D5A2">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16E5763B">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7BF568C2">
            <w:pPr>
              <w:spacing w:after="0" w:line="240" w:lineRule="auto"/>
              <w:ind w:firstLine="0"/>
              <w:jc w:val="center"/>
              <w:rPr>
                <w:rFonts w:ascii="Cambria" w:hAnsi="Cambria"/>
              </w:rPr>
            </w:pPr>
            <w:r>
              <w:rPr>
                <w:rFonts w:ascii="Cambria" w:hAnsi="Cambria"/>
                <w:color w:val="1C2839"/>
                <w:sz w:val="15"/>
              </w:rPr>
              <w:t>Д</w:t>
            </w:r>
          </w:p>
        </w:tc>
        <w:tc>
          <w:tcPr>
            <w:tcW w:w="374" w:type="pct"/>
            <w:shd w:val="clear" w:color="auto" w:fill="F0F5F9"/>
            <w:vAlign w:val="center"/>
          </w:tcPr>
          <w:p w14:paraId="10C0C494">
            <w:pPr>
              <w:spacing w:after="0" w:line="240" w:lineRule="auto"/>
              <w:ind w:firstLine="0"/>
              <w:jc w:val="center"/>
              <w:rPr>
                <w:rFonts w:ascii="Cambria" w:hAnsi="Cambria"/>
              </w:rPr>
            </w:pPr>
            <w:r>
              <w:rPr>
                <w:rFonts w:ascii="Cambria" w:hAnsi="Cambria"/>
                <w:color w:val="1C2839"/>
                <w:sz w:val="15"/>
              </w:rPr>
              <w:t>С</w:t>
            </w:r>
          </w:p>
        </w:tc>
        <w:tc>
          <w:tcPr>
            <w:tcW w:w="374" w:type="pct"/>
            <w:shd w:val="clear" w:color="auto" w:fill="F0F5F9"/>
            <w:vAlign w:val="center"/>
          </w:tcPr>
          <w:p w14:paraId="4E421D09">
            <w:pPr>
              <w:spacing w:after="0" w:line="240" w:lineRule="auto"/>
              <w:ind w:firstLine="0"/>
              <w:jc w:val="center"/>
              <w:rPr>
                <w:rFonts w:ascii="Cambria" w:hAnsi="Cambria"/>
              </w:rPr>
            </w:pPr>
            <w:r>
              <w:rPr>
                <w:rFonts w:ascii="Cambria" w:hAnsi="Cambria"/>
                <w:color w:val="1C2839"/>
                <w:sz w:val="15"/>
              </w:rPr>
              <w:t>П</w:t>
            </w:r>
          </w:p>
        </w:tc>
        <w:tc>
          <w:tcPr>
            <w:tcW w:w="374" w:type="pct"/>
            <w:shd w:val="clear" w:color="auto" w:fill="F0F5F9"/>
            <w:vAlign w:val="center"/>
          </w:tcPr>
          <w:p w14:paraId="5960AFBF">
            <w:pPr>
              <w:spacing w:after="0" w:line="240" w:lineRule="auto"/>
              <w:ind w:firstLine="0"/>
              <w:jc w:val="center"/>
              <w:rPr>
                <w:rFonts w:ascii="Cambria" w:hAnsi="Cambria"/>
              </w:rPr>
            </w:pPr>
            <w:r>
              <w:rPr>
                <w:rFonts w:ascii="Cambria" w:hAnsi="Cambria"/>
                <w:color w:val="1C2839"/>
                <w:sz w:val="15"/>
              </w:rPr>
              <w:t>—</w:t>
            </w:r>
          </w:p>
        </w:tc>
      </w:tr>
      <w:tr w14:paraId="7D26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3F2AAAE6">
            <w:pPr>
              <w:spacing w:after="0" w:line="240" w:lineRule="auto"/>
              <w:ind w:firstLine="0"/>
              <w:jc w:val="left"/>
              <w:rPr>
                <w:rFonts w:ascii="Cambria" w:hAnsi="Cambria"/>
                <w:lang w:val="ru-RU"/>
              </w:rPr>
            </w:pPr>
            <w:r>
              <w:rPr>
                <w:rFonts w:ascii="Cambria" w:hAnsi="Cambria"/>
                <w:color w:val="1C2839"/>
                <w:sz w:val="15"/>
                <w:lang w:val="ru-RU"/>
              </w:rPr>
              <w:t>№ 4 жоба – тұрғын үй құрылысына арналған ТББ</w:t>
            </w:r>
          </w:p>
        </w:tc>
        <w:tc>
          <w:tcPr>
            <w:tcW w:w="374" w:type="pct"/>
            <w:vAlign w:val="center"/>
          </w:tcPr>
          <w:p w14:paraId="62EB16B0">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6FD255AC">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732D8B5C">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35484D92">
            <w:pPr>
              <w:spacing w:after="0" w:line="240" w:lineRule="auto"/>
              <w:ind w:firstLine="0"/>
              <w:jc w:val="center"/>
              <w:rPr>
                <w:rFonts w:ascii="Cambria" w:hAnsi="Cambria"/>
              </w:rPr>
            </w:pPr>
            <w:r>
              <w:rPr>
                <w:rFonts w:ascii="Cambria" w:hAnsi="Cambria"/>
                <w:color w:val="1C2839"/>
                <w:sz w:val="15"/>
              </w:rPr>
              <w:t>С</w:t>
            </w:r>
          </w:p>
        </w:tc>
        <w:tc>
          <w:tcPr>
            <w:tcW w:w="374" w:type="pct"/>
            <w:vAlign w:val="center"/>
          </w:tcPr>
          <w:p w14:paraId="31D4AB56">
            <w:pPr>
              <w:spacing w:after="0" w:line="240" w:lineRule="auto"/>
              <w:ind w:firstLine="0"/>
              <w:jc w:val="center"/>
              <w:rPr>
                <w:rFonts w:ascii="Cambria" w:hAnsi="Cambria"/>
              </w:rPr>
            </w:pPr>
            <w:r>
              <w:rPr>
                <w:rFonts w:ascii="Cambria" w:hAnsi="Cambria"/>
                <w:color w:val="1C2839"/>
                <w:sz w:val="15"/>
              </w:rPr>
              <w:t>П</w:t>
            </w:r>
          </w:p>
        </w:tc>
        <w:tc>
          <w:tcPr>
            <w:tcW w:w="374" w:type="pct"/>
            <w:vAlign w:val="center"/>
          </w:tcPr>
          <w:p w14:paraId="46BDDF27">
            <w:pPr>
              <w:spacing w:after="0" w:line="240" w:lineRule="auto"/>
              <w:ind w:firstLine="0"/>
              <w:jc w:val="center"/>
              <w:rPr>
                <w:rFonts w:ascii="Cambria" w:hAnsi="Cambria"/>
              </w:rPr>
            </w:pPr>
            <w:r>
              <w:rPr>
                <w:rFonts w:ascii="Cambria" w:hAnsi="Cambria"/>
                <w:color w:val="1C2839"/>
                <w:sz w:val="15"/>
              </w:rPr>
              <w:t>—</w:t>
            </w:r>
          </w:p>
        </w:tc>
      </w:tr>
      <w:tr w14:paraId="66C5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shd w:val="clear" w:color="auto" w:fill="F0F5F9"/>
            <w:vAlign w:val="center"/>
          </w:tcPr>
          <w:p w14:paraId="5253CFE1">
            <w:pPr>
              <w:spacing w:after="0" w:line="240" w:lineRule="auto"/>
              <w:ind w:firstLine="0"/>
              <w:jc w:val="left"/>
              <w:rPr>
                <w:rFonts w:ascii="Cambria" w:hAnsi="Cambria"/>
              </w:rPr>
            </w:pPr>
            <w:r>
              <w:rPr>
                <w:rFonts w:ascii="Cambria" w:hAnsi="Cambria"/>
                <w:color w:val="1C2839"/>
                <w:sz w:val="15"/>
              </w:rPr>
              <w:t>№ 5 жоба – құрғақ құрылыс қоспалары</w:t>
            </w:r>
          </w:p>
        </w:tc>
        <w:tc>
          <w:tcPr>
            <w:tcW w:w="374" w:type="pct"/>
            <w:shd w:val="clear" w:color="auto" w:fill="F0F5F9"/>
            <w:vAlign w:val="center"/>
          </w:tcPr>
          <w:p w14:paraId="745AC879">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59C9ACB6">
            <w:pPr>
              <w:spacing w:after="0" w:line="240" w:lineRule="auto"/>
              <w:ind w:firstLine="0"/>
              <w:jc w:val="center"/>
              <w:rPr>
                <w:rFonts w:ascii="Cambria" w:hAnsi="Cambria"/>
              </w:rPr>
            </w:pPr>
            <w:r>
              <w:rPr>
                <w:rFonts w:ascii="Cambria" w:hAnsi="Cambria"/>
                <w:color w:val="1C2839"/>
                <w:sz w:val="15"/>
              </w:rPr>
              <w:t>С</w:t>
            </w:r>
          </w:p>
        </w:tc>
        <w:tc>
          <w:tcPr>
            <w:tcW w:w="374" w:type="pct"/>
            <w:shd w:val="clear" w:color="auto" w:fill="F0F5F9"/>
            <w:vAlign w:val="center"/>
          </w:tcPr>
          <w:p w14:paraId="28F3AB8B">
            <w:pPr>
              <w:spacing w:after="0" w:line="240" w:lineRule="auto"/>
              <w:ind w:firstLine="0"/>
              <w:jc w:val="center"/>
              <w:rPr>
                <w:rFonts w:ascii="Cambria" w:hAnsi="Cambria"/>
              </w:rPr>
            </w:pPr>
            <w:r>
              <w:rPr>
                <w:rFonts w:ascii="Cambria" w:hAnsi="Cambria"/>
                <w:color w:val="1C2839"/>
                <w:sz w:val="15"/>
              </w:rPr>
              <w:t>С/СӨ</w:t>
            </w:r>
          </w:p>
        </w:tc>
        <w:tc>
          <w:tcPr>
            <w:tcW w:w="374" w:type="pct"/>
            <w:shd w:val="clear" w:color="auto" w:fill="F0F5F9"/>
            <w:vAlign w:val="center"/>
          </w:tcPr>
          <w:p w14:paraId="2708BCC7">
            <w:pPr>
              <w:spacing w:after="0" w:line="240" w:lineRule="auto"/>
              <w:ind w:firstLine="0"/>
              <w:jc w:val="center"/>
              <w:rPr>
                <w:rFonts w:ascii="Cambria" w:hAnsi="Cambria"/>
              </w:rPr>
            </w:pPr>
            <w:r>
              <w:rPr>
                <w:rFonts w:ascii="Cambria" w:hAnsi="Cambria"/>
                <w:color w:val="1C2839"/>
                <w:sz w:val="15"/>
              </w:rPr>
              <w:t>П</w:t>
            </w:r>
          </w:p>
        </w:tc>
        <w:tc>
          <w:tcPr>
            <w:tcW w:w="374" w:type="pct"/>
            <w:shd w:val="clear" w:color="auto" w:fill="F0F5F9"/>
            <w:vAlign w:val="center"/>
          </w:tcPr>
          <w:p w14:paraId="153EEA7F">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29B6D990">
            <w:pPr>
              <w:spacing w:after="0" w:line="240" w:lineRule="auto"/>
              <w:ind w:firstLine="0"/>
              <w:jc w:val="center"/>
              <w:rPr>
                <w:rFonts w:ascii="Cambria" w:hAnsi="Cambria"/>
              </w:rPr>
            </w:pPr>
            <w:r>
              <w:rPr>
                <w:rFonts w:ascii="Cambria" w:hAnsi="Cambria"/>
                <w:color w:val="1C2839"/>
                <w:sz w:val="15"/>
              </w:rPr>
              <w:t>—</w:t>
            </w:r>
          </w:p>
        </w:tc>
      </w:tr>
      <w:tr w14:paraId="1CAE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36079F5D">
            <w:pPr>
              <w:spacing w:after="0" w:line="240" w:lineRule="auto"/>
              <w:ind w:firstLine="0"/>
              <w:jc w:val="left"/>
              <w:rPr>
                <w:rFonts w:ascii="Cambria" w:hAnsi="Cambria"/>
              </w:rPr>
            </w:pPr>
            <w:r>
              <w:rPr>
                <w:rFonts w:ascii="Cambria" w:hAnsi="Cambria"/>
                <w:color w:val="1C2839"/>
                <w:sz w:val="15"/>
              </w:rPr>
              <w:t>№ 6 жоба – фиброцемент панельдері</w:t>
            </w:r>
          </w:p>
        </w:tc>
        <w:tc>
          <w:tcPr>
            <w:tcW w:w="374" w:type="pct"/>
            <w:vAlign w:val="center"/>
          </w:tcPr>
          <w:p w14:paraId="5D79734C">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17491383">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697E4774">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2C881631">
            <w:pPr>
              <w:spacing w:after="0" w:line="240" w:lineRule="auto"/>
              <w:ind w:firstLine="0"/>
              <w:jc w:val="center"/>
              <w:rPr>
                <w:rFonts w:ascii="Cambria" w:hAnsi="Cambria"/>
              </w:rPr>
            </w:pPr>
            <w:r>
              <w:rPr>
                <w:rFonts w:ascii="Cambria" w:hAnsi="Cambria"/>
                <w:color w:val="1C2839"/>
                <w:sz w:val="15"/>
              </w:rPr>
              <w:t>С</w:t>
            </w:r>
          </w:p>
        </w:tc>
        <w:tc>
          <w:tcPr>
            <w:tcW w:w="374" w:type="pct"/>
            <w:vAlign w:val="center"/>
          </w:tcPr>
          <w:p w14:paraId="7BC82299">
            <w:pPr>
              <w:spacing w:after="0" w:line="240" w:lineRule="auto"/>
              <w:ind w:firstLine="0"/>
              <w:jc w:val="center"/>
              <w:rPr>
                <w:rFonts w:ascii="Cambria" w:hAnsi="Cambria"/>
              </w:rPr>
            </w:pPr>
            <w:r>
              <w:rPr>
                <w:rFonts w:ascii="Cambria" w:hAnsi="Cambria"/>
                <w:color w:val="1C2839"/>
                <w:sz w:val="15"/>
              </w:rPr>
              <w:t>С</w:t>
            </w:r>
          </w:p>
        </w:tc>
        <w:tc>
          <w:tcPr>
            <w:tcW w:w="374" w:type="pct"/>
            <w:vAlign w:val="center"/>
          </w:tcPr>
          <w:p w14:paraId="47E44EC1">
            <w:pPr>
              <w:spacing w:after="0" w:line="240" w:lineRule="auto"/>
              <w:ind w:firstLine="0"/>
              <w:jc w:val="center"/>
              <w:rPr>
                <w:rFonts w:ascii="Cambria" w:hAnsi="Cambria"/>
              </w:rPr>
            </w:pPr>
            <w:r>
              <w:rPr>
                <w:rFonts w:ascii="Cambria" w:hAnsi="Cambria"/>
                <w:color w:val="1C2839"/>
                <w:sz w:val="15"/>
              </w:rPr>
              <w:t>П</w:t>
            </w:r>
          </w:p>
        </w:tc>
      </w:tr>
      <w:tr w14:paraId="0771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shd w:val="clear" w:color="auto" w:fill="F0F5F9"/>
            <w:vAlign w:val="center"/>
          </w:tcPr>
          <w:p w14:paraId="5C9BC685">
            <w:pPr>
              <w:spacing w:after="0" w:line="240" w:lineRule="auto"/>
              <w:ind w:firstLine="0"/>
              <w:jc w:val="left"/>
              <w:rPr>
                <w:rFonts w:ascii="Cambria" w:hAnsi="Cambria"/>
                <w:lang w:val="ru-RU"/>
              </w:rPr>
            </w:pPr>
            <w:r>
              <w:rPr>
                <w:rFonts w:ascii="Cambria" w:hAnsi="Cambria"/>
                <w:color w:val="1C2839"/>
                <w:sz w:val="15"/>
                <w:lang w:val="ru-RU"/>
              </w:rPr>
              <w:t>№ 7 жоба – абаттандыруға арналған бетон бұйымдары</w:t>
            </w:r>
          </w:p>
        </w:tc>
        <w:tc>
          <w:tcPr>
            <w:tcW w:w="374" w:type="pct"/>
            <w:shd w:val="clear" w:color="auto" w:fill="F0F5F9"/>
            <w:vAlign w:val="center"/>
          </w:tcPr>
          <w:p w14:paraId="5F1BCD62">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48A3061D">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312E5463">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5968293D">
            <w:pPr>
              <w:spacing w:after="0" w:line="240" w:lineRule="auto"/>
              <w:ind w:firstLine="0"/>
              <w:jc w:val="center"/>
              <w:rPr>
                <w:rFonts w:ascii="Cambria" w:hAnsi="Cambria"/>
              </w:rPr>
            </w:pPr>
            <w:r>
              <w:rPr>
                <w:rFonts w:ascii="Cambria" w:hAnsi="Cambria"/>
                <w:color w:val="1C2839"/>
                <w:sz w:val="15"/>
              </w:rPr>
              <w:t>—</w:t>
            </w:r>
          </w:p>
        </w:tc>
        <w:tc>
          <w:tcPr>
            <w:tcW w:w="374" w:type="pct"/>
            <w:shd w:val="clear" w:color="auto" w:fill="F0F5F9"/>
            <w:vAlign w:val="center"/>
          </w:tcPr>
          <w:p w14:paraId="0C02E9BF">
            <w:pPr>
              <w:spacing w:after="0" w:line="240" w:lineRule="auto"/>
              <w:ind w:firstLine="0"/>
              <w:jc w:val="center"/>
              <w:rPr>
                <w:rFonts w:ascii="Cambria" w:hAnsi="Cambria"/>
              </w:rPr>
            </w:pPr>
            <w:r>
              <w:rPr>
                <w:rFonts w:ascii="Cambria" w:hAnsi="Cambria"/>
                <w:color w:val="1C2839"/>
                <w:sz w:val="15"/>
              </w:rPr>
              <w:t>С/П</w:t>
            </w:r>
          </w:p>
        </w:tc>
        <w:tc>
          <w:tcPr>
            <w:tcW w:w="374" w:type="pct"/>
            <w:shd w:val="clear" w:color="auto" w:fill="F0F5F9"/>
            <w:vAlign w:val="center"/>
          </w:tcPr>
          <w:p w14:paraId="66CDFD08">
            <w:pPr>
              <w:spacing w:after="0" w:line="240" w:lineRule="auto"/>
              <w:ind w:firstLine="0"/>
              <w:jc w:val="center"/>
              <w:rPr>
                <w:rFonts w:ascii="Cambria" w:hAnsi="Cambria"/>
              </w:rPr>
            </w:pPr>
            <w:r>
              <w:rPr>
                <w:rFonts w:ascii="Cambria" w:hAnsi="Cambria"/>
                <w:color w:val="1C2839"/>
                <w:sz w:val="15"/>
              </w:rPr>
              <w:t>—</w:t>
            </w:r>
          </w:p>
        </w:tc>
      </w:tr>
      <w:tr w14:paraId="1758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2758" w:type="pct"/>
            <w:vAlign w:val="center"/>
          </w:tcPr>
          <w:p w14:paraId="1567DCDA">
            <w:pPr>
              <w:spacing w:after="0" w:line="240" w:lineRule="auto"/>
              <w:ind w:firstLine="0"/>
              <w:jc w:val="left"/>
              <w:rPr>
                <w:rFonts w:ascii="Cambria" w:hAnsi="Cambria"/>
                <w:lang w:val="ru-RU"/>
              </w:rPr>
            </w:pPr>
            <w:r>
              <w:rPr>
                <w:rFonts w:ascii="Cambria" w:hAnsi="Cambria"/>
                <w:color w:val="1C2839"/>
                <w:sz w:val="15"/>
                <w:lang w:val="ru-RU"/>
              </w:rPr>
              <w:t>Кәсіпорындардың есептік жүктемеге шығуы</w:t>
            </w:r>
          </w:p>
        </w:tc>
        <w:tc>
          <w:tcPr>
            <w:tcW w:w="374" w:type="pct"/>
            <w:vAlign w:val="center"/>
          </w:tcPr>
          <w:p w14:paraId="4C9058E8">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58AFA195">
            <w:pPr>
              <w:spacing w:after="0" w:line="240" w:lineRule="auto"/>
              <w:ind w:firstLine="0"/>
              <w:jc w:val="center"/>
              <w:rPr>
                <w:rFonts w:ascii="Cambria" w:hAnsi="Cambria"/>
              </w:rPr>
            </w:pPr>
            <w:r>
              <w:rPr>
                <w:rFonts w:ascii="Cambria" w:hAnsi="Cambria"/>
                <w:color w:val="1C2839"/>
                <w:sz w:val="15"/>
              </w:rPr>
              <w:t>—</w:t>
            </w:r>
          </w:p>
        </w:tc>
        <w:tc>
          <w:tcPr>
            <w:tcW w:w="374" w:type="pct"/>
            <w:vAlign w:val="center"/>
          </w:tcPr>
          <w:p w14:paraId="64D6C125">
            <w:pPr>
              <w:spacing w:after="0" w:line="240" w:lineRule="auto"/>
              <w:ind w:firstLine="0"/>
              <w:jc w:val="center"/>
              <w:rPr>
                <w:rFonts w:ascii="Cambria" w:hAnsi="Cambria"/>
              </w:rPr>
            </w:pPr>
            <w:r>
              <w:rPr>
                <w:rFonts w:ascii="Cambria" w:hAnsi="Cambria"/>
                <w:color w:val="1C2839"/>
                <w:sz w:val="15"/>
              </w:rPr>
              <w:t>Д</w:t>
            </w:r>
          </w:p>
        </w:tc>
        <w:tc>
          <w:tcPr>
            <w:tcW w:w="374" w:type="pct"/>
            <w:vAlign w:val="center"/>
          </w:tcPr>
          <w:p w14:paraId="1DBC977D">
            <w:pPr>
              <w:spacing w:after="0" w:line="240" w:lineRule="auto"/>
              <w:ind w:firstLine="0"/>
              <w:jc w:val="center"/>
              <w:rPr>
                <w:rFonts w:ascii="Cambria" w:hAnsi="Cambria"/>
              </w:rPr>
            </w:pPr>
            <w:r>
              <w:rPr>
                <w:rFonts w:ascii="Cambria" w:hAnsi="Cambria"/>
                <w:color w:val="1C2839"/>
                <w:sz w:val="15"/>
              </w:rPr>
              <w:t>Ж</w:t>
            </w:r>
          </w:p>
        </w:tc>
        <w:tc>
          <w:tcPr>
            <w:tcW w:w="374" w:type="pct"/>
            <w:vAlign w:val="center"/>
          </w:tcPr>
          <w:p w14:paraId="670C513A">
            <w:pPr>
              <w:spacing w:after="0" w:line="240" w:lineRule="auto"/>
              <w:ind w:firstLine="0"/>
              <w:jc w:val="center"/>
              <w:rPr>
                <w:rFonts w:ascii="Cambria" w:hAnsi="Cambria"/>
              </w:rPr>
            </w:pPr>
            <w:r>
              <w:rPr>
                <w:rFonts w:ascii="Cambria" w:hAnsi="Cambria"/>
                <w:color w:val="1C2839"/>
                <w:sz w:val="15"/>
              </w:rPr>
              <w:t>Ж</w:t>
            </w:r>
          </w:p>
        </w:tc>
        <w:tc>
          <w:tcPr>
            <w:tcW w:w="374" w:type="pct"/>
            <w:vAlign w:val="center"/>
          </w:tcPr>
          <w:p w14:paraId="5E950E76">
            <w:pPr>
              <w:spacing w:after="0" w:line="240" w:lineRule="auto"/>
              <w:ind w:firstLine="0"/>
              <w:jc w:val="center"/>
              <w:rPr>
                <w:rFonts w:ascii="Cambria" w:hAnsi="Cambria"/>
              </w:rPr>
            </w:pPr>
            <w:r>
              <w:rPr>
                <w:rFonts w:ascii="Cambria" w:hAnsi="Cambria"/>
                <w:color w:val="1C2839"/>
                <w:sz w:val="15"/>
              </w:rPr>
              <w:t>Ж</w:t>
            </w:r>
          </w:p>
        </w:tc>
      </w:tr>
    </w:tbl>
    <w:p w14:paraId="4073B8E8">
      <w:pPr>
        <w:pStyle w:val="75"/>
        <w:spacing w:line="240" w:lineRule="auto"/>
        <w:rPr>
          <w:rFonts w:ascii="Cambria" w:hAnsi="Cambria"/>
          <w:lang w:val="ru-RU"/>
        </w:rPr>
      </w:pPr>
      <w:r>
        <w:rPr>
          <w:rFonts w:ascii="Cambria" w:hAnsi="Cambria"/>
          <w:lang w:val="ru-RU"/>
        </w:rPr>
        <w:t>Белгілеулер: П – дайындық және жобалау іс-шаралары; жекелеген өндірістер жолында «С/П» сынақ өнімін шығаруды да білдіруі мүмкін; С – құрылыс және монтаж; В – негізгі кезекті аяқтау және пайдалануға беру; Р – жобалық жүктемеге кезең-кезеңімен шығу.</w:t>
      </w:r>
    </w:p>
    <w:p w14:paraId="3289682F">
      <w:pPr>
        <w:spacing w:line="240" w:lineRule="auto"/>
        <w:rPr>
          <w:rFonts w:ascii="Cambria" w:hAnsi="Cambria"/>
          <w:lang w:val="ru-RU"/>
        </w:rPr>
      </w:pPr>
      <w:r>
        <w:rPr>
          <w:rFonts w:ascii="Cambria" w:hAnsi="Cambria"/>
          <w:lang w:val="ru-RU"/>
        </w:rPr>
        <w:t>2029 жылы сынақ өнімін шығаруға тиісті желілер нақты дайын болғанда, шикізат пен инженерлік ресурстармен қамтамасыз етілгенде және қауіпсіз пайдалануға қажетті рәсімдер орындалғанда ғана жол беріледі. Базалық күнтізбеде алғашқы үш кәсіпорынды 2030 жылы аяқтау көзделген. Алаңдарды одан әрі игеру 2032 жылға дейін жалғасады; сол жылы фиброцемент панельдері өндірісінің құрылысын аяқтау болжанады.</w:t>
      </w:r>
    </w:p>
    <w:p w14:paraId="5C6EACFD">
      <w:pPr>
        <w:pStyle w:val="75"/>
        <w:keepNext/>
        <w:spacing w:line="240" w:lineRule="auto"/>
        <w:rPr>
          <w:rFonts w:ascii="Cambria" w:hAnsi="Cambria"/>
          <w:lang w:val="ru-RU"/>
        </w:rPr>
      </w:pPr>
      <w:r>
        <w:rPr>
          <w:rFonts w:ascii="Cambria" w:hAnsi="Cambria"/>
          <w:lang w:val="ru-RU"/>
        </w:rPr>
        <w:t>9.7-кесте – ИА-ны дамытуға салынатын инвестициялардың жылдар бойынша ірілендірілген кестесі, млрд теңге</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3081"/>
        <w:gridCol w:w="900"/>
        <w:gridCol w:w="900"/>
        <w:gridCol w:w="900"/>
        <w:gridCol w:w="900"/>
        <w:gridCol w:w="900"/>
        <w:gridCol w:w="902"/>
        <w:gridCol w:w="992"/>
      </w:tblGrid>
      <w:tr w14:paraId="3ECA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1626" w:type="pct"/>
            <w:shd w:val="clear" w:color="auto" w:fill="23486F"/>
            <w:vAlign w:val="center"/>
          </w:tcPr>
          <w:p w14:paraId="1CEF3E8E">
            <w:pPr>
              <w:spacing w:after="0" w:line="240" w:lineRule="auto"/>
              <w:ind w:firstLine="0"/>
              <w:jc w:val="center"/>
              <w:rPr>
                <w:rFonts w:ascii="Cambria" w:hAnsi="Cambria"/>
              </w:rPr>
            </w:pPr>
            <w:r>
              <w:rPr>
                <w:rFonts w:ascii="Cambria" w:hAnsi="Cambria"/>
                <w:b/>
                <w:color w:val="FFFFFF"/>
                <w:sz w:val="15"/>
              </w:rPr>
              <w:t>Көздер / компоненттер</w:t>
            </w:r>
          </w:p>
        </w:tc>
        <w:tc>
          <w:tcPr>
            <w:tcW w:w="475" w:type="pct"/>
            <w:shd w:val="clear" w:color="auto" w:fill="23486F"/>
            <w:vAlign w:val="center"/>
          </w:tcPr>
          <w:p w14:paraId="213F7C7E">
            <w:pPr>
              <w:spacing w:after="0" w:line="240" w:lineRule="auto"/>
              <w:ind w:firstLine="0"/>
              <w:jc w:val="center"/>
              <w:rPr>
                <w:rFonts w:ascii="Cambria" w:hAnsi="Cambria"/>
              </w:rPr>
            </w:pPr>
            <w:r>
              <w:rPr>
                <w:rFonts w:ascii="Cambria" w:hAnsi="Cambria"/>
                <w:b/>
                <w:color w:val="FFFFFF"/>
                <w:sz w:val="15"/>
              </w:rPr>
              <w:t>2027</w:t>
            </w:r>
          </w:p>
        </w:tc>
        <w:tc>
          <w:tcPr>
            <w:tcW w:w="475" w:type="pct"/>
            <w:shd w:val="clear" w:color="auto" w:fill="23486F"/>
            <w:vAlign w:val="center"/>
          </w:tcPr>
          <w:p w14:paraId="1B97BC60">
            <w:pPr>
              <w:spacing w:after="0" w:line="240" w:lineRule="auto"/>
              <w:ind w:firstLine="0"/>
              <w:jc w:val="center"/>
              <w:rPr>
                <w:rFonts w:ascii="Cambria" w:hAnsi="Cambria"/>
              </w:rPr>
            </w:pPr>
            <w:r>
              <w:rPr>
                <w:rFonts w:ascii="Cambria" w:hAnsi="Cambria"/>
                <w:b/>
                <w:color w:val="FFFFFF"/>
                <w:sz w:val="15"/>
              </w:rPr>
              <w:t>2028</w:t>
            </w:r>
          </w:p>
        </w:tc>
        <w:tc>
          <w:tcPr>
            <w:tcW w:w="475" w:type="pct"/>
            <w:shd w:val="clear" w:color="auto" w:fill="23486F"/>
            <w:vAlign w:val="center"/>
          </w:tcPr>
          <w:p w14:paraId="2722771C">
            <w:pPr>
              <w:spacing w:after="0" w:line="240" w:lineRule="auto"/>
              <w:ind w:firstLine="0"/>
              <w:jc w:val="center"/>
              <w:rPr>
                <w:rFonts w:ascii="Cambria" w:hAnsi="Cambria"/>
              </w:rPr>
            </w:pPr>
            <w:r>
              <w:rPr>
                <w:rFonts w:ascii="Cambria" w:hAnsi="Cambria"/>
                <w:b/>
                <w:color w:val="FFFFFF"/>
                <w:sz w:val="15"/>
              </w:rPr>
              <w:t>2029</w:t>
            </w:r>
          </w:p>
        </w:tc>
        <w:tc>
          <w:tcPr>
            <w:tcW w:w="475" w:type="pct"/>
            <w:shd w:val="clear" w:color="auto" w:fill="23486F"/>
            <w:vAlign w:val="center"/>
          </w:tcPr>
          <w:p w14:paraId="7040248B">
            <w:pPr>
              <w:spacing w:after="0" w:line="240" w:lineRule="auto"/>
              <w:ind w:firstLine="0"/>
              <w:jc w:val="center"/>
              <w:rPr>
                <w:rFonts w:ascii="Cambria" w:hAnsi="Cambria"/>
              </w:rPr>
            </w:pPr>
            <w:r>
              <w:rPr>
                <w:rFonts w:ascii="Cambria" w:hAnsi="Cambria"/>
                <w:b/>
                <w:color w:val="FFFFFF"/>
                <w:sz w:val="15"/>
              </w:rPr>
              <w:t>2030</w:t>
            </w:r>
          </w:p>
        </w:tc>
        <w:tc>
          <w:tcPr>
            <w:tcW w:w="475" w:type="pct"/>
            <w:shd w:val="clear" w:color="auto" w:fill="23486F"/>
            <w:vAlign w:val="center"/>
          </w:tcPr>
          <w:p w14:paraId="67C6CB40">
            <w:pPr>
              <w:spacing w:after="0" w:line="240" w:lineRule="auto"/>
              <w:ind w:firstLine="0"/>
              <w:jc w:val="center"/>
              <w:rPr>
                <w:rFonts w:ascii="Cambria" w:hAnsi="Cambria"/>
              </w:rPr>
            </w:pPr>
            <w:r>
              <w:rPr>
                <w:rFonts w:ascii="Cambria" w:hAnsi="Cambria"/>
                <w:b/>
                <w:color w:val="FFFFFF"/>
                <w:sz w:val="15"/>
              </w:rPr>
              <w:t>2031</w:t>
            </w:r>
          </w:p>
        </w:tc>
        <w:tc>
          <w:tcPr>
            <w:tcW w:w="476" w:type="pct"/>
            <w:shd w:val="clear" w:color="auto" w:fill="23486F"/>
            <w:vAlign w:val="center"/>
          </w:tcPr>
          <w:p w14:paraId="50703FAC">
            <w:pPr>
              <w:spacing w:after="0" w:line="240" w:lineRule="auto"/>
              <w:ind w:firstLine="0"/>
              <w:jc w:val="center"/>
              <w:rPr>
                <w:rFonts w:ascii="Cambria" w:hAnsi="Cambria"/>
              </w:rPr>
            </w:pPr>
            <w:r>
              <w:rPr>
                <w:rFonts w:ascii="Cambria" w:hAnsi="Cambria"/>
                <w:b/>
                <w:color w:val="FFFFFF"/>
                <w:sz w:val="15"/>
              </w:rPr>
              <w:t>2032</w:t>
            </w:r>
          </w:p>
        </w:tc>
        <w:tc>
          <w:tcPr>
            <w:tcW w:w="524" w:type="pct"/>
            <w:shd w:val="clear" w:color="auto" w:fill="23486F"/>
            <w:vAlign w:val="center"/>
          </w:tcPr>
          <w:p w14:paraId="7D479920">
            <w:pPr>
              <w:spacing w:after="0" w:line="240" w:lineRule="auto"/>
              <w:ind w:firstLine="0"/>
              <w:jc w:val="center"/>
              <w:rPr>
                <w:rFonts w:ascii="Cambria" w:hAnsi="Cambria"/>
              </w:rPr>
            </w:pPr>
            <w:r>
              <w:rPr>
                <w:rFonts w:ascii="Cambria" w:hAnsi="Cambria"/>
                <w:b/>
                <w:color w:val="FFFFFF"/>
                <w:sz w:val="15"/>
              </w:rPr>
              <w:t>Барлығы</w:t>
            </w:r>
          </w:p>
        </w:tc>
      </w:tr>
      <w:tr w14:paraId="4997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1626" w:type="pct"/>
            <w:vAlign w:val="center"/>
          </w:tcPr>
          <w:p w14:paraId="72E64E4C">
            <w:pPr>
              <w:spacing w:after="0" w:line="240" w:lineRule="auto"/>
              <w:ind w:firstLine="0"/>
              <w:jc w:val="left"/>
              <w:rPr>
                <w:rFonts w:ascii="Cambria" w:hAnsi="Cambria"/>
              </w:rPr>
            </w:pPr>
            <w:r>
              <w:rPr>
                <w:rFonts w:ascii="Cambria" w:hAnsi="Cambria"/>
                <w:color w:val="1C2839"/>
                <w:sz w:val="16"/>
              </w:rPr>
              <w:t>Инфрақұрылым компоненті</w:t>
            </w:r>
          </w:p>
        </w:tc>
        <w:tc>
          <w:tcPr>
            <w:tcW w:w="475" w:type="pct"/>
            <w:vAlign w:val="center"/>
          </w:tcPr>
          <w:p w14:paraId="0856AF1A">
            <w:pPr>
              <w:spacing w:after="0" w:line="240" w:lineRule="auto"/>
              <w:ind w:firstLine="0"/>
              <w:jc w:val="center"/>
              <w:rPr>
                <w:rFonts w:ascii="Cambria" w:hAnsi="Cambria"/>
              </w:rPr>
            </w:pPr>
            <w:r>
              <w:rPr>
                <w:rFonts w:ascii="Cambria" w:hAnsi="Cambria"/>
                <w:color w:val="1C2839"/>
                <w:sz w:val="16"/>
                <w:lang w:val="ru-RU"/>
              </w:rPr>
              <w:t>2,25</w:t>
            </w:r>
          </w:p>
        </w:tc>
        <w:tc>
          <w:tcPr>
            <w:tcW w:w="475" w:type="pct"/>
            <w:vAlign w:val="center"/>
          </w:tcPr>
          <w:p w14:paraId="008824BB">
            <w:pPr>
              <w:spacing w:after="0" w:line="240" w:lineRule="auto"/>
              <w:ind w:firstLine="0"/>
              <w:jc w:val="center"/>
              <w:rPr>
                <w:rFonts w:ascii="Cambria" w:hAnsi="Cambria"/>
              </w:rPr>
            </w:pPr>
            <w:r>
              <w:rPr>
                <w:rFonts w:ascii="Cambria" w:hAnsi="Cambria"/>
                <w:color w:val="1C2839"/>
                <w:sz w:val="16"/>
              </w:rPr>
              <w:t>4,50</w:t>
            </w:r>
          </w:p>
        </w:tc>
        <w:tc>
          <w:tcPr>
            <w:tcW w:w="475" w:type="pct"/>
            <w:vAlign w:val="center"/>
          </w:tcPr>
          <w:p w14:paraId="01F5DAD3">
            <w:pPr>
              <w:spacing w:after="0" w:line="240" w:lineRule="auto"/>
              <w:ind w:firstLine="0"/>
              <w:jc w:val="center"/>
              <w:rPr>
                <w:rFonts w:ascii="Cambria" w:hAnsi="Cambria"/>
              </w:rPr>
            </w:pPr>
            <w:r>
              <w:rPr>
                <w:rFonts w:ascii="Cambria" w:hAnsi="Cambria"/>
                <w:color w:val="1C2839"/>
                <w:sz w:val="16"/>
                <w:lang w:val="ru-RU"/>
              </w:rPr>
              <w:t>5,28</w:t>
            </w:r>
          </w:p>
        </w:tc>
        <w:tc>
          <w:tcPr>
            <w:tcW w:w="475" w:type="pct"/>
            <w:vAlign w:val="center"/>
          </w:tcPr>
          <w:p w14:paraId="4FD88FAB">
            <w:pPr>
              <w:spacing w:after="0" w:line="240" w:lineRule="auto"/>
              <w:ind w:firstLine="0"/>
              <w:jc w:val="center"/>
              <w:rPr>
                <w:rFonts w:ascii="Cambria" w:hAnsi="Cambria"/>
              </w:rPr>
            </w:pPr>
            <w:r>
              <w:rPr>
                <w:rFonts w:ascii="Cambria" w:hAnsi="Cambria"/>
                <w:color w:val="1C2839"/>
                <w:sz w:val="16"/>
              </w:rPr>
              <w:t>—</w:t>
            </w:r>
          </w:p>
        </w:tc>
        <w:tc>
          <w:tcPr>
            <w:tcW w:w="475" w:type="pct"/>
            <w:vAlign w:val="center"/>
          </w:tcPr>
          <w:p w14:paraId="420C6F3E">
            <w:pPr>
              <w:spacing w:after="0" w:line="240" w:lineRule="auto"/>
              <w:ind w:firstLine="0"/>
              <w:jc w:val="center"/>
              <w:rPr>
                <w:rFonts w:ascii="Cambria" w:hAnsi="Cambria"/>
              </w:rPr>
            </w:pPr>
            <w:r>
              <w:rPr>
                <w:rFonts w:ascii="Cambria" w:hAnsi="Cambria"/>
                <w:color w:val="1C2839"/>
                <w:sz w:val="16"/>
              </w:rPr>
              <w:t>—</w:t>
            </w:r>
          </w:p>
        </w:tc>
        <w:tc>
          <w:tcPr>
            <w:tcW w:w="476" w:type="pct"/>
            <w:vAlign w:val="center"/>
          </w:tcPr>
          <w:p w14:paraId="72148020">
            <w:pPr>
              <w:spacing w:after="0" w:line="240" w:lineRule="auto"/>
              <w:ind w:firstLine="0"/>
              <w:jc w:val="center"/>
              <w:rPr>
                <w:rFonts w:ascii="Cambria" w:hAnsi="Cambria"/>
              </w:rPr>
            </w:pPr>
            <w:r>
              <w:rPr>
                <w:rFonts w:ascii="Cambria" w:hAnsi="Cambria"/>
                <w:color w:val="1C2839"/>
                <w:sz w:val="16"/>
              </w:rPr>
              <w:t>—</w:t>
            </w:r>
          </w:p>
        </w:tc>
        <w:tc>
          <w:tcPr>
            <w:tcW w:w="524" w:type="pct"/>
            <w:vAlign w:val="center"/>
          </w:tcPr>
          <w:p w14:paraId="17844D54">
            <w:pPr>
              <w:spacing w:after="0" w:line="240" w:lineRule="auto"/>
              <w:ind w:firstLine="0"/>
              <w:jc w:val="center"/>
              <w:rPr>
                <w:rFonts w:ascii="Cambria" w:hAnsi="Cambria"/>
              </w:rPr>
            </w:pPr>
            <w:r>
              <w:rPr>
                <w:rFonts w:ascii="Cambria" w:hAnsi="Cambria"/>
                <w:color w:val="1C2839"/>
                <w:sz w:val="16"/>
                <w:lang w:val="ru-RU"/>
              </w:rPr>
              <w:t>12,03</w:t>
            </w:r>
          </w:p>
        </w:tc>
      </w:tr>
      <w:tr w14:paraId="5B9F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1626" w:type="pct"/>
            <w:shd w:val="clear" w:color="auto" w:fill="F0F5F9"/>
            <w:vAlign w:val="center"/>
          </w:tcPr>
          <w:p w14:paraId="4D5EC003">
            <w:pPr>
              <w:spacing w:after="0" w:line="240" w:lineRule="auto"/>
              <w:ind w:firstLine="0"/>
              <w:jc w:val="left"/>
              <w:rPr>
                <w:rFonts w:ascii="Cambria" w:hAnsi="Cambria"/>
              </w:rPr>
            </w:pPr>
            <w:r>
              <w:rPr>
                <w:rFonts w:ascii="Cambria" w:hAnsi="Cambria"/>
                <w:color w:val="1C2839"/>
                <w:sz w:val="16"/>
              </w:rPr>
              <w:t>Резиденттердің жеке инвестициялары</w:t>
            </w:r>
          </w:p>
        </w:tc>
        <w:tc>
          <w:tcPr>
            <w:tcW w:w="475" w:type="pct"/>
            <w:shd w:val="clear" w:color="auto" w:fill="F0F5F9"/>
            <w:vAlign w:val="center"/>
          </w:tcPr>
          <w:p w14:paraId="46F904B0">
            <w:pPr>
              <w:spacing w:after="0" w:line="240" w:lineRule="auto"/>
              <w:ind w:firstLine="0"/>
              <w:jc w:val="center"/>
              <w:rPr>
                <w:rFonts w:ascii="Cambria" w:hAnsi="Cambria"/>
              </w:rPr>
            </w:pPr>
            <w:r>
              <w:rPr>
                <w:rFonts w:ascii="Cambria" w:hAnsi="Cambria"/>
                <w:color w:val="1C2839"/>
                <w:sz w:val="16"/>
              </w:rPr>
              <w:t>—</w:t>
            </w:r>
          </w:p>
        </w:tc>
        <w:tc>
          <w:tcPr>
            <w:tcW w:w="475" w:type="pct"/>
            <w:shd w:val="clear" w:color="auto" w:fill="F0F5F9"/>
            <w:vAlign w:val="center"/>
          </w:tcPr>
          <w:p w14:paraId="5A35A65B">
            <w:pPr>
              <w:spacing w:after="0" w:line="240" w:lineRule="auto"/>
              <w:ind w:firstLine="0"/>
              <w:jc w:val="center"/>
              <w:rPr>
                <w:rFonts w:ascii="Cambria" w:hAnsi="Cambria"/>
              </w:rPr>
            </w:pPr>
            <w:r>
              <w:rPr>
                <w:rFonts w:ascii="Cambria" w:hAnsi="Cambria"/>
                <w:color w:val="1C2839"/>
                <w:sz w:val="16"/>
              </w:rPr>
              <w:t>4,00</w:t>
            </w:r>
          </w:p>
        </w:tc>
        <w:tc>
          <w:tcPr>
            <w:tcW w:w="475" w:type="pct"/>
            <w:shd w:val="clear" w:color="auto" w:fill="F0F5F9"/>
            <w:vAlign w:val="center"/>
          </w:tcPr>
          <w:p w14:paraId="573BE9C4">
            <w:pPr>
              <w:spacing w:after="0" w:line="240" w:lineRule="auto"/>
              <w:ind w:firstLine="0"/>
              <w:jc w:val="center"/>
              <w:rPr>
                <w:rFonts w:ascii="Cambria" w:hAnsi="Cambria"/>
              </w:rPr>
            </w:pPr>
            <w:r>
              <w:rPr>
                <w:rFonts w:ascii="Cambria" w:hAnsi="Cambria"/>
                <w:color w:val="1C2839"/>
                <w:sz w:val="16"/>
              </w:rPr>
              <w:t>10,50</w:t>
            </w:r>
          </w:p>
        </w:tc>
        <w:tc>
          <w:tcPr>
            <w:tcW w:w="475" w:type="pct"/>
            <w:shd w:val="clear" w:color="auto" w:fill="F0F5F9"/>
            <w:vAlign w:val="center"/>
          </w:tcPr>
          <w:p w14:paraId="3083F5F2">
            <w:pPr>
              <w:spacing w:after="0" w:line="240" w:lineRule="auto"/>
              <w:ind w:firstLine="0"/>
              <w:jc w:val="center"/>
              <w:rPr>
                <w:rFonts w:ascii="Cambria" w:hAnsi="Cambria"/>
              </w:rPr>
            </w:pPr>
            <w:r>
              <w:rPr>
                <w:rFonts w:ascii="Cambria" w:hAnsi="Cambria"/>
                <w:color w:val="1C2839"/>
                <w:sz w:val="16"/>
              </w:rPr>
              <w:t>11,00</w:t>
            </w:r>
          </w:p>
        </w:tc>
        <w:tc>
          <w:tcPr>
            <w:tcW w:w="475" w:type="pct"/>
            <w:shd w:val="clear" w:color="auto" w:fill="F0F5F9"/>
            <w:vAlign w:val="center"/>
          </w:tcPr>
          <w:p w14:paraId="517F146A">
            <w:pPr>
              <w:spacing w:after="0" w:line="240" w:lineRule="auto"/>
              <w:ind w:firstLine="0"/>
              <w:jc w:val="center"/>
              <w:rPr>
                <w:rFonts w:ascii="Cambria" w:hAnsi="Cambria"/>
              </w:rPr>
            </w:pPr>
            <w:r>
              <w:rPr>
                <w:rFonts w:ascii="Cambria" w:hAnsi="Cambria"/>
                <w:color w:val="1C2839"/>
                <w:sz w:val="16"/>
              </w:rPr>
              <w:t>9,20</w:t>
            </w:r>
          </w:p>
        </w:tc>
        <w:tc>
          <w:tcPr>
            <w:tcW w:w="476" w:type="pct"/>
            <w:shd w:val="clear" w:color="auto" w:fill="F0F5F9"/>
            <w:vAlign w:val="center"/>
          </w:tcPr>
          <w:p w14:paraId="133EF5A3">
            <w:pPr>
              <w:spacing w:after="0" w:line="240" w:lineRule="auto"/>
              <w:ind w:firstLine="0"/>
              <w:jc w:val="center"/>
              <w:rPr>
                <w:rFonts w:ascii="Cambria" w:hAnsi="Cambria"/>
              </w:rPr>
            </w:pPr>
            <w:r>
              <w:rPr>
                <w:rFonts w:ascii="Cambria" w:hAnsi="Cambria"/>
                <w:color w:val="1C2839"/>
                <w:sz w:val="16"/>
              </w:rPr>
              <w:t>4,00</w:t>
            </w:r>
          </w:p>
        </w:tc>
        <w:tc>
          <w:tcPr>
            <w:tcW w:w="524" w:type="pct"/>
            <w:shd w:val="clear" w:color="auto" w:fill="F0F5F9"/>
            <w:vAlign w:val="center"/>
          </w:tcPr>
          <w:p w14:paraId="71621A7F">
            <w:pPr>
              <w:spacing w:after="0" w:line="240" w:lineRule="auto"/>
              <w:ind w:firstLine="0"/>
              <w:jc w:val="center"/>
              <w:rPr>
                <w:rFonts w:ascii="Cambria" w:hAnsi="Cambria"/>
              </w:rPr>
            </w:pPr>
            <w:r>
              <w:rPr>
                <w:rFonts w:ascii="Cambria" w:hAnsi="Cambria"/>
                <w:color w:val="1C2839"/>
                <w:sz w:val="16"/>
              </w:rPr>
              <w:t>38,70</w:t>
            </w:r>
          </w:p>
        </w:tc>
      </w:tr>
      <w:tr w14:paraId="65FB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1626" w:type="pct"/>
            <w:shd w:val="clear" w:color="auto" w:fill="DBE8F2"/>
            <w:vAlign w:val="center"/>
          </w:tcPr>
          <w:p w14:paraId="0C67F87F">
            <w:pPr>
              <w:spacing w:after="0" w:line="240" w:lineRule="auto"/>
              <w:ind w:firstLine="0"/>
              <w:jc w:val="left"/>
              <w:rPr>
                <w:rFonts w:ascii="Cambria" w:hAnsi="Cambria"/>
              </w:rPr>
            </w:pPr>
            <w:r>
              <w:rPr>
                <w:rFonts w:ascii="Cambria" w:hAnsi="Cambria"/>
                <w:b/>
                <w:color w:val="1C2839"/>
                <w:sz w:val="16"/>
              </w:rPr>
              <w:t>Жиыны</w:t>
            </w:r>
          </w:p>
        </w:tc>
        <w:tc>
          <w:tcPr>
            <w:tcW w:w="475" w:type="pct"/>
            <w:shd w:val="clear" w:color="auto" w:fill="DBE8F2"/>
            <w:vAlign w:val="center"/>
          </w:tcPr>
          <w:p w14:paraId="0BB4D856">
            <w:pPr>
              <w:spacing w:after="0" w:line="240" w:lineRule="auto"/>
              <w:ind w:firstLine="0"/>
              <w:jc w:val="center"/>
              <w:rPr>
                <w:rFonts w:ascii="Cambria" w:hAnsi="Cambria"/>
              </w:rPr>
            </w:pPr>
            <w:r>
              <w:rPr>
                <w:rFonts w:ascii="Cambria" w:hAnsi="Cambria"/>
                <w:b/>
                <w:color w:val="1C2839"/>
                <w:sz w:val="16"/>
                <w:lang w:val="ru-RU"/>
              </w:rPr>
              <w:t>2,25</w:t>
            </w:r>
          </w:p>
        </w:tc>
        <w:tc>
          <w:tcPr>
            <w:tcW w:w="475" w:type="pct"/>
            <w:shd w:val="clear" w:color="auto" w:fill="DBE8F2"/>
            <w:vAlign w:val="center"/>
          </w:tcPr>
          <w:p w14:paraId="33DC178F">
            <w:pPr>
              <w:spacing w:after="0" w:line="240" w:lineRule="auto"/>
              <w:ind w:firstLine="0"/>
              <w:jc w:val="center"/>
              <w:rPr>
                <w:rFonts w:ascii="Cambria" w:hAnsi="Cambria"/>
              </w:rPr>
            </w:pPr>
            <w:r>
              <w:rPr>
                <w:rFonts w:ascii="Cambria" w:hAnsi="Cambria"/>
                <w:b/>
                <w:color w:val="1C2839"/>
                <w:sz w:val="16"/>
              </w:rPr>
              <w:t>8,50</w:t>
            </w:r>
          </w:p>
        </w:tc>
        <w:tc>
          <w:tcPr>
            <w:tcW w:w="475" w:type="pct"/>
            <w:shd w:val="clear" w:color="auto" w:fill="DBE8F2"/>
            <w:vAlign w:val="center"/>
          </w:tcPr>
          <w:p w14:paraId="1D80AB42">
            <w:pPr>
              <w:spacing w:after="0" w:line="240" w:lineRule="auto"/>
              <w:ind w:firstLine="0"/>
              <w:jc w:val="center"/>
              <w:rPr>
                <w:rFonts w:ascii="Cambria" w:hAnsi="Cambria"/>
              </w:rPr>
            </w:pPr>
            <w:r>
              <w:rPr>
                <w:rFonts w:ascii="Cambria" w:hAnsi="Cambria"/>
                <w:b/>
                <w:color w:val="1C2839"/>
                <w:sz w:val="16"/>
                <w:lang w:val="ru-RU"/>
              </w:rPr>
              <w:t>15,78</w:t>
            </w:r>
          </w:p>
        </w:tc>
        <w:tc>
          <w:tcPr>
            <w:tcW w:w="475" w:type="pct"/>
            <w:shd w:val="clear" w:color="auto" w:fill="DBE8F2"/>
            <w:vAlign w:val="center"/>
          </w:tcPr>
          <w:p w14:paraId="6C36C270">
            <w:pPr>
              <w:spacing w:after="0" w:line="240" w:lineRule="auto"/>
              <w:ind w:firstLine="0"/>
              <w:jc w:val="center"/>
              <w:rPr>
                <w:rFonts w:ascii="Cambria" w:hAnsi="Cambria"/>
              </w:rPr>
            </w:pPr>
            <w:r>
              <w:rPr>
                <w:rFonts w:ascii="Cambria" w:hAnsi="Cambria"/>
                <w:b/>
                <w:color w:val="1C2839"/>
                <w:sz w:val="16"/>
              </w:rPr>
              <w:t>11,00</w:t>
            </w:r>
          </w:p>
        </w:tc>
        <w:tc>
          <w:tcPr>
            <w:tcW w:w="475" w:type="pct"/>
            <w:shd w:val="clear" w:color="auto" w:fill="DBE8F2"/>
            <w:vAlign w:val="center"/>
          </w:tcPr>
          <w:p w14:paraId="0BCE3D20">
            <w:pPr>
              <w:spacing w:after="0" w:line="240" w:lineRule="auto"/>
              <w:ind w:firstLine="0"/>
              <w:jc w:val="center"/>
              <w:rPr>
                <w:rFonts w:ascii="Cambria" w:hAnsi="Cambria"/>
              </w:rPr>
            </w:pPr>
            <w:r>
              <w:rPr>
                <w:rFonts w:ascii="Cambria" w:hAnsi="Cambria"/>
                <w:b/>
                <w:color w:val="1C2839"/>
                <w:sz w:val="16"/>
              </w:rPr>
              <w:t>9,20</w:t>
            </w:r>
          </w:p>
        </w:tc>
        <w:tc>
          <w:tcPr>
            <w:tcW w:w="476" w:type="pct"/>
            <w:shd w:val="clear" w:color="auto" w:fill="DBE8F2"/>
            <w:vAlign w:val="center"/>
          </w:tcPr>
          <w:p w14:paraId="020BA09D">
            <w:pPr>
              <w:spacing w:after="0" w:line="240" w:lineRule="auto"/>
              <w:ind w:firstLine="0"/>
              <w:jc w:val="center"/>
              <w:rPr>
                <w:rFonts w:ascii="Cambria" w:hAnsi="Cambria"/>
              </w:rPr>
            </w:pPr>
            <w:r>
              <w:rPr>
                <w:rFonts w:ascii="Cambria" w:hAnsi="Cambria"/>
                <w:b/>
                <w:color w:val="1C2839"/>
                <w:sz w:val="16"/>
              </w:rPr>
              <w:t>4,00</w:t>
            </w:r>
          </w:p>
        </w:tc>
        <w:tc>
          <w:tcPr>
            <w:tcW w:w="524" w:type="pct"/>
            <w:shd w:val="clear" w:color="auto" w:fill="DBE8F2"/>
            <w:vAlign w:val="center"/>
          </w:tcPr>
          <w:p w14:paraId="131D4C0E">
            <w:pPr>
              <w:spacing w:after="0" w:line="240" w:lineRule="auto"/>
              <w:ind w:firstLine="0"/>
              <w:jc w:val="center"/>
              <w:rPr>
                <w:rFonts w:ascii="Cambria" w:hAnsi="Cambria"/>
              </w:rPr>
            </w:pPr>
            <w:r>
              <w:rPr>
                <w:rFonts w:ascii="Cambria" w:hAnsi="Cambria"/>
                <w:b/>
                <w:color w:val="1C2839"/>
                <w:sz w:val="16"/>
                <w:lang w:val="ru-RU"/>
              </w:rPr>
              <w:t>50,73</w:t>
            </w:r>
          </w:p>
        </w:tc>
      </w:tr>
    </w:tbl>
    <w:p w14:paraId="59E1C183">
      <w:pPr>
        <w:spacing w:line="240" w:lineRule="auto"/>
        <w:rPr>
          <w:rFonts w:ascii="Cambria" w:hAnsi="Cambria"/>
          <w:lang w:val="ru-RU"/>
        </w:rPr>
      </w:pPr>
      <w:r>
        <w:rPr>
          <w:rFonts w:ascii="Cambria" w:hAnsi="Cambria"/>
          <w:lang w:val="ru-RU"/>
        </w:rPr>
        <w:t>Күнтізбелік іске асыру басқарушылық шешімдерді кезең-кезеңімен қабылдауды көздейді. Бақылау нүктелері ретінде мыналарды белгілеу ұсынылады:</w:t>
      </w:r>
    </w:p>
    <w:p w14:paraId="060338F6">
      <w:pPr>
        <w:pStyle w:val="73"/>
        <w:numPr>
          <w:ilvl w:val="0"/>
          <w:numId w:val="9"/>
        </w:numPr>
        <w:spacing w:line="240" w:lineRule="auto"/>
        <w:rPr>
          <w:rFonts w:ascii="Cambria" w:hAnsi="Cambria"/>
          <w:lang w:val="ru-RU"/>
        </w:rPr>
      </w:pPr>
      <w:r>
        <w:rPr>
          <w:rFonts w:ascii="Cambria" w:hAnsi="Cambria"/>
          <w:lang w:val="ru-RU"/>
        </w:rPr>
        <w:t>жерге орналастыру мен құқықтарды рәсімдеуді аяқтау;</w:t>
      </w:r>
    </w:p>
    <w:p w14:paraId="3B13D99F">
      <w:pPr>
        <w:pStyle w:val="73"/>
        <w:numPr>
          <w:ilvl w:val="0"/>
          <w:numId w:val="9"/>
        </w:numPr>
        <w:spacing w:line="240" w:lineRule="auto"/>
        <w:rPr>
          <w:rFonts w:ascii="Cambria" w:hAnsi="Cambria"/>
          <w:lang w:val="ru-RU"/>
        </w:rPr>
      </w:pPr>
      <w:r>
        <w:rPr>
          <w:rFonts w:ascii="Cambria" w:hAnsi="Cambria"/>
          <w:lang w:val="ru-RU"/>
        </w:rPr>
        <w:t>қосылудың техникалық және шарттық мүмкіндігін растау;</w:t>
      </w:r>
    </w:p>
    <w:p w14:paraId="57D877AC">
      <w:pPr>
        <w:pStyle w:val="73"/>
        <w:numPr>
          <w:ilvl w:val="0"/>
          <w:numId w:val="9"/>
        </w:numPr>
        <w:spacing w:line="240" w:lineRule="auto"/>
        <w:rPr>
          <w:rFonts w:ascii="Cambria" w:hAnsi="Cambria"/>
          <w:lang w:val="ru-RU"/>
        </w:rPr>
      </w:pPr>
      <w:r>
        <w:rPr>
          <w:rFonts w:ascii="Cambria" w:hAnsi="Cambria"/>
          <w:lang w:val="ru-RU"/>
        </w:rPr>
        <w:t>тиісті жобалық шешімдерді бекіту;</w:t>
      </w:r>
    </w:p>
    <w:p w14:paraId="4583D2E5">
      <w:pPr>
        <w:pStyle w:val="73"/>
        <w:numPr>
          <w:ilvl w:val="0"/>
          <w:numId w:val="9"/>
        </w:numPr>
        <w:spacing w:line="240" w:lineRule="auto"/>
        <w:rPr>
          <w:rFonts w:ascii="Cambria" w:hAnsi="Cambria"/>
          <w:lang w:val="ru-RU"/>
        </w:rPr>
      </w:pPr>
      <w:r>
        <w:rPr>
          <w:rFonts w:ascii="Cambria" w:hAnsi="Cambria"/>
          <w:lang w:val="ru-RU"/>
        </w:rPr>
        <w:t>инженерлік кірме желілердің дайын болуына қол жеткізу;</w:t>
      </w:r>
    </w:p>
    <w:p w14:paraId="0E6D58FB">
      <w:pPr>
        <w:pStyle w:val="73"/>
        <w:numPr>
          <w:ilvl w:val="0"/>
          <w:numId w:val="9"/>
        </w:numPr>
        <w:spacing w:line="240" w:lineRule="auto"/>
        <w:rPr>
          <w:rFonts w:ascii="Cambria" w:hAnsi="Cambria"/>
          <w:lang w:val="ru-RU"/>
        </w:rPr>
      </w:pPr>
      <w:r>
        <w:rPr>
          <w:rFonts w:ascii="Cambria" w:hAnsi="Cambria"/>
          <w:lang w:val="ru-RU"/>
        </w:rPr>
        <w:t>инвесторлармен шарттар жасасу;</w:t>
      </w:r>
    </w:p>
    <w:p w14:paraId="2AB4C658">
      <w:pPr>
        <w:pStyle w:val="73"/>
        <w:numPr>
          <w:ilvl w:val="0"/>
          <w:numId w:val="9"/>
        </w:numPr>
        <w:spacing w:line="240" w:lineRule="auto"/>
        <w:rPr>
          <w:rFonts w:ascii="Cambria" w:hAnsi="Cambria"/>
          <w:lang w:val="ru-RU"/>
        </w:rPr>
      </w:pPr>
      <w:r>
        <w:rPr>
          <w:rFonts w:ascii="Cambria" w:hAnsi="Cambria"/>
          <w:lang w:val="ru-RU"/>
        </w:rPr>
        <w:t>әрбір өндірісті пайдалануға беру;</w:t>
      </w:r>
    </w:p>
    <w:p w14:paraId="05A4F973">
      <w:pPr>
        <w:pStyle w:val="73"/>
        <w:numPr>
          <w:ilvl w:val="0"/>
          <w:numId w:val="9"/>
        </w:numPr>
        <w:spacing w:line="240" w:lineRule="auto"/>
        <w:rPr>
          <w:rFonts w:ascii="Cambria" w:hAnsi="Cambria"/>
          <w:lang w:val="ru-RU"/>
        </w:rPr>
      </w:pPr>
      <w:r>
        <w:rPr>
          <w:rFonts w:ascii="Cambria" w:hAnsi="Cambria"/>
          <w:lang w:val="ru-RU"/>
        </w:rPr>
        <w:t>нақты жүктеме мен жұмыспен қамтуды растау.</w:t>
      </w:r>
    </w:p>
    <w:p w14:paraId="775A96D5">
      <w:pPr>
        <w:spacing w:line="240" w:lineRule="auto"/>
        <w:rPr>
          <w:rFonts w:ascii="Cambria" w:hAnsi="Cambria"/>
          <w:lang w:val="ru-RU"/>
        </w:rPr>
      </w:pPr>
      <w:r>
        <w:rPr>
          <w:rFonts w:ascii="Cambria" w:hAnsi="Cambria"/>
          <w:lang w:val="ru-RU"/>
        </w:rPr>
        <w:t>Бастапқы шарттар өзгерген кезде күнтізбе мен қаржыландыру бөлінісі бір мезгілде түзетіледі.</w:t>
      </w:r>
    </w:p>
    <w:p w14:paraId="69595952">
      <w:pPr>
        <w:pStyle w:val="3"/>
        <w:spacing w:line="240" w:lineRule="auto"/>
        <w:rPr>
          <w:rFonts w:ascii="Cambria" w:hAnsi="Cambria"/>
          <w:lang w:val="ru-RU"/>
        </w:rPr>
      </w:pPr>
      <w:bookmarkStart w:id="49" w:name="__RefHeading___Toc9580_2617525462"/>
      <w:bookmarkEnd w:id="49"/>
      <w:r>
        <w:rPr>
          <w:rFonts w:ascii="Cambria" w:hAnsi="Cambria"/>
          <w:lang w:val="ru-RU"/>
        </w:rPr>
        <w:t>9.6. Техникалық тәуекелдерді бағалау және оларды төмендету жөніндегі шаралар</w:t>
      </w:r>
    </w:p>
    <w:p w14:paraId="23C48704">
      <w:pPr>
        <w:spacing w:line="240" w:lineRule="auto"/>
        <w:rPr>
          <w:rFonts w:ascii="Cambria" w:hAnsi="Cambria"/>
          <w:lang w:val="ru-RU"/>
        </w:rPr>
      </w:pPr>
      <w:r>
        <w:rPr>
          <w:rFonts w:ascii="Cambria" w:hAnsi="Cambria"/>
          <w:lang w:val="ru-RU"/>
        </w:rPr>
        <w:t>ИА-ның техникалық тәуекелдері көбіне сыртқы өнеркәсіптік торапқа тәуелділікке, инженерлік желілер сипаттамаларының расталмауына, жерлердің қазіргі ауыл шаруашылығы мәртебесіне және дайын бұйымдарды тұтынушыларға дейін ұзақ тасымалдауға байланысты. Тұжырымдаманы әзірлеу кезеңінде ықтималдық пен салдарды сапалық тұрғыдан бағалау орынды, өйткені істен шығу жиілігін, авария құнын және бос тұрып қалу ұзақтығын дұрыс сандық есептеуге қажетті инженерлік деректер жеткіліксіз.</w:t>
      </w:r>
    </w:p>
    <w:p w14:paraId="457C7154">
      <w:pPr>
        <w:pStyle w:val="75"/>
        <w:keepNext/>
        <w:spacing w:line="240" w:lineRule="auto"/>
        <w:rPr>
          <w:rFonts w:ascii="Cambria" w:hAnsi="Cambria"/>
          <w:lang w:val="ru-RU"/>
        </w:rPr>
      </w:pPr>
      <w:r>
        <w:rPr>
          <w:rFonts w:ascii="Cambria" w:hAnsi="Cambria"/>
          <w:lang w:val="ru-RU"/>
        </w:rPr>
        <w:t>9.8-кесте – Негізгі техникалық және ұйымдастырушылық-технологиялық тәуекелдер тізілімі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2446"/>
        <w:gridCol w:w="3113"/>
        <w:gridCol w:w="3916"/>
      </w:tblGrid>
      <w:tr w14:paraId="6DF6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52148B4A">
            <w:pPr>
              <w:spacing w:after="0" w:line="240" w:lineRule="auto"/>
              <w:ind w:firstLine="0"/>
              <w:jc w:val="center"/>
              <w:rPr>
                <w:rFonts w:ascii="Cambria" w:hAnsi="Cambria"/>
              </w:rPr>
            </w:pPr>
            <w:r>
              <w:rPr>
                <w:rFonts w:ascii="Cambria" w:hAnsi="Cambria"/>
                <w:b/>
                <w:color w:val="FFFFFF"/>
                <w:sz w:val="15"/>
              </w:rPr>
              <w:t>Тәуекел / фактор</w:t>
            </w:r>
          </w:p>
        </w:tc>
        <w:tc>
          <w:tcPr>
            <w:tcW w:w="0" w:type="auto"/>
            <w:shd w:val="clear" w:color="auto" w:fill="23486F"/>
            <w:vAlign w:val="center"/>
          </w:tcPr>
          <w:p w14:paraId="793085AC">
            <w:pPr>
              <w:spacing w:after="0" w:line="240" w:lineRule="auto"/>
              <w:ind w:firstLine="0"/>
              <w:jc w:val="center"/>
              <w:rPr>
                <w:rFonts w:ascii="Cambria" w:hAnsi="Cambria"/>
              </w:rPr>
            </w:pPr>
            <w:r>
              <w:rPr>
                <w:rFonts w:ascii="Cambria" w:hAnsi="Cambria"/>
                <w:b/>
                <w:color w:val="FFFFFF"/>
                <w:sz w:val="15"/>
              </w:rPr>
              <w:t>Ықтимал салдар</w:t>
            </w:r>
          </w:p>
        </w:tc>
        <w:tc>
          <w:tcPr>
            <w:tcW w:w="0" w:type="auto"/>
            <w:shd w:val="clear" w:color="auto" w:fill="23486F"/>
            <w:vAlign w:val="center"/>
          </w:tcPr>
          <w:p w14:paraId="558517FC">
            <w:pPr>
              <w:spacing w:after="0" w:line="240" w:lineRule="auto"/>
              <w:ind w:firstLine="0"/>
              <w:jc w:val="center"/>
              <w:rPr>
                <w:rFonts w:ascii="Cambria" w:hAnsi="Cambria"/>
              </w:rPr>
            </w:pPr>
            <w:r>
              <w:rPr>
                <w:rFonts w:ascii="Cambria" w:hAnsi="Cambria"/>
                <w:b/>
                <w:color w:val="FFFFFF"/>
                <w:sz w:val="15"/>
              </w:rPr>
              <w:t>Ұсынылатын азайту шарасы</w:t>
            </w:r>
          </w:p>
        </w:tc>
      </w:tr>
      <w:tr w14:paraId="155E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133D9D7F">
            <w:pPr>
              <w:spacing w:after="0" w:line="240" w:lineRule="auto"/>
              <w:ind w:firstLine="0"/>
              <w:jc w:val="left"/>
              <w:rPr>
                <w:rFonts w:ascii="Cambria" w:hAnsi="Cambria"/>
              </w:rPr>
            </w:pPr>
            <w:r>
              <w:rPr>
                <w:rFonts w:ascii="Cambria" w:hAnsi="Cambria"/>
                <w:color w:val="1C2839"/>
                <w:sz w:val="15"/>
              </w:rPr>
              <w:t>Жер-құқықтық рәсімдеудің кешігуі</w:t>
            </w:r>
          </w:p>
        </w:tc>
        <w:tc>
          <w:tcPr>
            <w:tcW w:w="0" w:type="auto"/>
            <w:vAlign w:val="center"/>
          </w:tcPr>
          <w:p w14:paraId="3DCFDCE4">
            <w:pPr>
              <w:spacing w:after="0" w:line="240" w:lineRule="auto"/>
              <w:ind w:firstLine="0"/>
              <w:jc w:val="left"/>
              <w:rPr>
                <w:rFonts w:ascii="Cambria" w:hAnsi="Cambria"/>
                <w:lang w:val="ru-RU"/>
              </w:rPr>
            </w:pPr>
            <w:r>
              <w:rPr>
                <w:rFonts w:ascii="Cambria" w:hAnsi="Cambria"/>
                <w:color w:val="1C2839"/>
                <w:sz w:val="15"/>
                <w:lang w:val="ru-RU"/>
              </w:rPr>
              <w:t>Жобалау мен құрылыстың кейінге шегерілуі, учаскелерді заңды түрде беру мүмкін болмауы.</w:t>
            </w:r>
          </w:p>
        </w:tc>
        <w:tc>
          <w:tcPr>
            <w:tcW w:w="0" w:type="auto"/>
            <w:vAlign w:val="center"/>
          </w:tcPr>
          <w:p w14:paraId="6A59E2CE">
            <w:pPr>
              <w:spacing w:after="0" w:line="240" w:lineRule="auto"/>
              <w:ind w:firstLine="0"/>
              <w:jc w:val="left"/>
              <w:rPr>
                <w:rFonts w:ascii="Cambria" w:hAnsi="Cambria"/>
                <w:lang w:val="ru-RU"/>
              </w:rPr>
            </w:pPr>
            <w:r>
              <w:rPr>
                <w:rFonts w:ascii="Cambria" w:hAnsi="Cambria"/>
                <w:color w:val="1C2839"/>
                <w:sz w:val="15"/>
                <w:lang w:val="ru-RU"/>
              </w:rPr>
              <w:t>Жерге орналастыруды ерте пысықтау, бөліп берудің құқықтық негізін тексеру, екі алаңның шекарасын келісу.</w:t>
            </w:r>
          </w:p>
        </w:tc>
      </w:tr>
      <w:tr w14:paraId="0CB3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2D33C5C">
            <w:pPr>
              <w:spacing w:after="0" w:line="240" w:lineRule="auto"/>
              <w:ind w:firstLine="0"/>
              <w:jc w:val="left"/>
              <w:rPr>
                <w:rFonts w:ascii="Cambria" w:hAnsi="Cambria"/>
              </w:rPr>
            </w:pPr>
            <w:r>
              <w:rPr>
                <w:rFonts w:ascii="Cambria" w:hAnsi="Cambria"/>
                <w:color w:val="1C2839"/>
                <w:sz w:val="15"/>
              </w:rPr>
              <w:t>Электр қуаты резервінің жеткіліксіздігі</w:t>
            </w:r>
          </w:p>
        </w:tc>
        <w:tc>
          <w:tcPr>
            <w:tcW w:w="0" w:type="auto"/>
            <w:shd w:val="clear" w:color="auto" w:fill="F0F5F9"/>
            <w:vAlign w:val="center"/>
          </w:tcPr>
          <w:p w14:paraId="2CBF916E">
            <w:pPr>
              <w:spacing w:after="0" w:line="240" w:lineRule="auto"/>
              <w:ind w:firstLine="0"/>
              <w:jc w:val="left"/>
              <w:rPr>
                <w:rFonts w:ascii="Cambria" w:hAnsi="Cambria"/>
                <w:lang w:val="ru-RU"/>
              </w:rPr>
            </w:pPr>
            <w:r>
              <w:rPr>
                <w:rFonts w:ascii="Cambria" w:hAnsi="Cambria"/>
                <w:color w:val="1C2839"/>
                <w:sz w:val="15"/>
                <w:lang w:val="ru-RU"/>
              </w:rPr>
              <w:t>Резиденттерді іске қосуға шектеу, күрделі шығындар мен мерзімдердің артуы.</w:t>
            </w:r>
          </w:p>
        </w:tc>
        <w:tc>
          <w:tcPr>
            <w:tcW w:w="0" w:type="auto"/>
            <w:shd w:val="clear" w:color="auto" w:fill="F0F5F9"/>
            <w:vAlign w:val="center"/>
          </w:tcPr>
          <w:p w14:paraId="4C3AF41D">
            <w:pPr>
              <w:spacing w:after="0" w:line="240" w:lineRule="auto"/>
              <w:ind w:firstLine="0"/>
              <w:jc w:val="left"/>
              <w:rPr>
                <w:rFonts w:ascii="Cambria" w:hAnsi="Cambria"/>
                <w:lang w:val="ru-RU"/>
              </w:rPr>
            </w:pPr>
            <w:r>
              <w:rPr>
                <w:rFonts w:ascii="Cambria" w:hAnsi="Cambria"/>
                <w:color w:val="1C2839"/>
                <w:sz w:val="15"/>
                <w:lang w:val="ru-RU"/>
              </w:rPr>
              <w:t>10 МВт резервін алдын ала растау, жүктемелерді есептеу, техникалық шарттар, маңызды технологиялық процестерге резерв қарастыру.</w:t>
            </w:r>
          </w:p>
        </w:tc>
      </w:tr>
      <w:tr w14:paraId="4C16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6B450642">
            <w:pPr>
              <w:spacing w:after="0" w:line="240" w:lineRule="auto"/>
              <w:ind w:firstLine="0"/>
              <w:jc w:val="left"/>
              <w:rPr>
                <w:rFonts w:ascii="Cambria" w:hAnsi="Cambria"/>
              </w:rPr>
            </w:pPr>
            <w:r>
              <w:rPr>
                <w:rFonts w:ascii="Cambria" w:hAnsi="Cambria"/>
                <w:color w:val="1C2839"/>
                <w:sz w:val="15"/>
              </w:rPr>
              <w:t>Қосалқы тұтынушылар схемасын рәсімдеу мүмкін болмауы</w:t>
            </w:r>
          </w:p>
        </w:tc>
        <w:tc>
          <w:tcPr>
            <w:tcW w:w="0" w:type="auto"/>
            <w:vAlign w:val="center"/>
          </w:tcPr>
          <w:p w14:paraId="520E09DC">
            <w:pPr>
              <w:spacing w:after="0" w:line="240" w:lineRule="auto"/>
              <w:ind w:firstLine="0"/>
              <w:jc w:val="left"/>
              <w:rPr>
                <w:rFonts w:ascii="Cambria" w:hAnsi="Cambria"/>
                <w:lang w:val="ru-RU"/>
              </w:rPr>
            </w:pPr>
            <w:r>
              <w:rPr>
                <w:rFonts w:ascii="Cambria" w:hAnsi="Cambria"/>
                <w:color w:val="1C2839"/>
                <w:sz w:val="15"/>
                <w:lang w:val="ru-RU"/>
              </w:rPr>
              <w:t>Электрмен жабдықтаудың басқа схемасы мен бюджетті қайта қарау қажеттігі.</w:t>
            </w:r>
          </w:p>
        </w:tc>
        <w:tc>
          <w:tcPr>
            <w:tcW w:w="0" w:type="auto"/>
            <w:vAlign w:val="center"/>
          </w:tcPr>
          <w:p w14:paraId="7F9D2EBC">
            <w:pPr>
              <w:spacing w:after="0" w:line="240" w:lineRule="auto"/>
              <w:ind w:firstLine="0"/>
              <w:jc w:val="left"/>
              <w:rPr>
                <w:rFonts w:ascii="Cambria" w:hAnsi="Cambria"/>
                <w:lang w:val="ru-RU"/>
              </w:rPr>
            </w:pPr>
            <w:r>
              <w:rPr>
                <w:rFonts w:ascii="Cambria" w:hAnsi="Cambria"/>
                <w:color w:val="1C2839"/>
                <w:sz w:val="15"/>
                <w:lang w:val="ru-RU"/>
              </w:rPr>
              <w:t>Қосылу нүктелері мен пайдалану жауапкершілігін инфрақұрылым иесі және желілік ұйыммен келісу.</w:t>
            </w:r>
          </w:p>
        </w:tc>
      </w:tr>
      <w:tr w14:paraId="6077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247AC025">
            <w:pPr>
              <w:spacing w:after="0" w:line="240" w:lineRule="auto"/>
              <w:ind w:firstLine="0"/>
              <w:jc w:val="left"/>
              <w:rPr>
                <w:rFonts w:ascii="Cambria" w:hAnsi="Cambria"/>
                <w:lang w:val="ru-RU"/>
              </w:rPr>
            </w:pPr>
            <w:r>
              <w:rPr>
                <w:rFonts w:ascii="Cambria" w:hAnsi="Cambria"/>
                <w:color w:val="1C2839"/>
                <w:sz w:val="15"/>
                <w:lang w:val="ru-RU"/>
              </w:rPr>
              <w:t>Цемент зауыты инфрақұрылымы құрылысының кешігуі</w:t>
            </w:r>
          </w:p>
        </w:tc>
        <w:tc>
          <w:tcPr>
            <w:tcW w:w="0" w:type="auto"/>
            <w:shd w:val="clear" w:color="auto" w:fill="F0F5F9"/>
            <w:vAlign w:val="center"/>
          </w:tcPr>
          <w:p w14:paraId="142A060A">
            <w:pPr>
              <w:spacing w:after="0" w:line="240" w:lineRule="auto"/>
              <w:ind w:firstLine="0"/>
              <w:jc w:val="left"/>
              <w:rPr>
                <w:rFonts w:ascii="Cambria" w:hAnsi="Cambria"/>
                <w:lang w:val="ru-RU"/>
              </w:rPr>
            </w:pPr>
            <w:r>
              <w:rPr>
                <w:rFonts w:ascii="Cambria" w:hAnsi="Cambria"/>
                <w:color w:val="1C2839"/>
                <w:sz w:val="15"/>
                <w:lang w:val="ru-RU"/>
              </w:rPr>
              <w:t>ИА-ның электрге, жолға, суға немесе теміржол жолдарына уақытында қол жеткізе алмауы.</w:t>
            </w:r>
          </w:p>
        </w:tc>
        <w:tc>
          <w:tcPr>
            <w:tcW w:w="0" w:type="auto"/>
            <w:shd w:val="clear" w:color="auto" w:fill="F0F5F9"/>
            <w:vAlign w:val="center"/>
          </w:tcPr>
          <w:p w14:paraId="2B3662C2">
            <w:pPr>
              <w:spacing w:after="0" w:line="240" w:lineRule="auto"/>
              <w:ind w:firstLine="0"/>
              <w:jc w:val="left"/>
              <w:rPr>
                <w:rFonts w:ascii="Cambria" w:hAnsi="Cambria"/>
                <w:lang w:val="ru-RU"/>
              </w:rPr>
            </w:pPr>
            <w:r>
              <w:rPr>
                <w:rFonts w:ascii="Cambria" w:hAnsi="Cambria"/>
                <w:color w:val="1C2839"/>
                <w:sz w:val="15"/>
                <w:lang w:val="ru-RU"/>
              </w:rPr>
              <w:t>Сыртқы объектілердің әзірлік күнтізбесін және баламалы кезеңдік іске қосу шарттарын келісу.</w:t>
            </w:r>
          </w:p>
        </w:tc>
      </w:tr>
      <w:tr w14:paraId="23D6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63299173">
            <w:pPr>
              <w:spacing w:after="0" w:line="240" w:lineRule="auto"/>
              <w:ind w:firstLine="0"/>
              <w:jc w:val="left"/>
              <w:rPr>
                <w:rFonts w:ascii="Cambria" w:hAnsi="Cambria"/>
              </w:rPr>
            </w:pPr>
            <w:r>
              <w:rPr>
                <w:rFonts w:ascii="Cambria" w:hAnsi="Cambria"/>
                <w:color w:val="1C2839"/>
                <w:sz w:val="15"/>
              </w:rPr>
              <w:t>Теміржолға қолжетімділіктің шектелуі</w:t>
            </w:r>
          </w:p>
        </w:tc>
        <w:tc>
          <w:tcPr>
            <w:tcW w:w="0" w:type="auto"/>
            <w:vAlign w:val="center"/>
          </w:tcPr>
          <w:p w14:paraId="4CBDE59C">
            <w:pPr>
              <w:spacing w:after="0" w:line="240" w:lineRule="auto"/>
              <w:ind w:firstLine="0"/>
              <w:jc w:val="left"/>
              <w:rPr>
                <w:rFonts w:ascii="Cambria" w:hAnsi="Cambria"/>
                <w:lang w:val="ru-RU"/>
              </w:rPr>
            </w:pPr>
            <w:r>
              <w:rPr>
                <w:rFonts w:ascii="Cambria" w:hAnsi="Cambria"/>
                <w:color w:val="1C2839"/>
                <w:sz w:val="15"/>
                <w:lang w:val="ru-RU"/>
              </w:rPr>
              <w:t>Ауыр ТББ тасымалының қымбаттауы және бәсекеге қабілеттіліктің төмендеуі.</w:t>
            </w:r>
          </w:p>
        </w:tc>
        <w:tc>
          <w:tcPr>
            <w:tcW w:w="0" w:type="auto"/>
            <w:vAlign w:val="center"/>
          </w:tcPr>
          <w:p w14:paraId="2C1E5CAD">
            <w:pPr>
              <w:spacing w:after="0" w:line="240" w:lineRule="auto"/>
              <w:ind w:firstLine="0"/>
              <w:jc w:val="left"/>
              <w:rPr>
                <w:rFonts w:ascii="Cambria" w:hAnsi="Cambria"/>
                <w:lang w:val="ru-RU"/>
              </w:rPr>
            </w:pPr>
            <w:r>
              <w:rPr>
                <w:rFonts w:ascii="Cambria" w:hAnsi="Cambria"/>
                <w:color w:val="1C2839"/>
                <w:sz w:val="15"/>
                <w:lang w:val="ru-RU"/>
              </w:rPr>
              <w:t>Жолдарды пайдалану шарттарын, тиеу параметрлерін, рұқсат етілген габариттер мен тасымалдау тарифтерін растау.</w:t>
            </w:r>
          </w:p>
        </w:tc>
      </w:tr>
      <w:tr w14:paraId="636B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6A5DC760">
            <w:pPr>
              <w:spacing w:after="0" w:line="240" w:lineRule="auto"/>
              <w:ind w:firstLine="0"/>
              <w:jc w:val="left"/>
              <w:rPr>
                <w:rFonts w:ascii="Cambria" w:hAnsi="Cambria"/>
              </w:rPr>
            </w:pPr>
            <w:r>
              <w:rPr>
                <w:rFonts w:ascii="Cambria" w:hAnsi="Cambria"/>
                <w:color w:val="1C2839"/>
                <w:sz w:val="15"/>
              </w:rPr>
              <w:t>Сумен жабдықтаудың жеткіліксіздігі</w:t>
            </w:r>
          </w:p>
        </w:tc>
        <w:tc>
          <w:tcPr>
            <w:tcW w:w="0" w:type="auto"/>
            <w:shd w:val="clear" w:color="auto" w:fill="F0F5F9"/>
            <w:vAlign w:val="center"/>
          </w:tcPr>
          <w:p w14:paraId="2AB6A503">
            <w:pPr>
              <w:spacing w:after="0" w:line="240" w:lineRule="auto"/>
              <w:ind w:firstLine="0"/>
              <w:jc w:val="left"/>
              <w:rPr>
                <w:rFonts w:ascii="Cambria" w:hAnsi="Cambria"/>
                <w:lang w:val="ru-RU"/>
              </w:rPr>
            </w:pPr>
            <w:r>
              <w:rPr>
                <w:rFonts w:ascii="Cambria" w:hAnsi="Cambria"/>
                <w:color w:val="1C2839"/>
                <w:sz w:val="15"/>
                <w:lang w:val="ru-RU"/>
              </w:rPr>
              <w:t>Өнім шығаруды шектеу, технологиялық бос тұрып қалу, су дайындау шығынының артуы.</w:t>
            </w:r>
          </w:p>
        </w:tc>
        <w:tc>
          <w:tcPr>
            <w:tcW w:w="0" w:type="auto"/>
            <w:shd w:val="clear" w:color="auto" w:fill="F0F5F9"/>
            <w:vAlign w:val="center"/>
          </w:tcPr>
          <w:p w14:paraId="3BE53696">
            <w:pPr>
              <w:spacing w:after="0" w:line="240" w:lineRule="auto"/>
              <w:ind w:firstLine="0"/>
              <w:jc w:val="left"/>
              <w:rPr>
                <w:rFonts w:ascii="Cambria" w:hAnsi="Cambria"/>
                <w:lang w:val="ru-RU"/>
              </w:rPr>
            </w:pPr>
            <w:r>
              <w:rPr>
                <w:rFonts w:ascii="Cambria" w:hAnsi="Cambria"/>
                <w:color w:val="1C2839"/>
                <w:sz w:val="15"/>
                <w:lang w:val="ru-RU"/>
              </w:rPr>
              <w:t>Жеке су теңгерімдері, көзді растау, айналымды циклдар, жергілікті тазарту және резервтеу.</w:t>
            </w:r>
          </w:p>
        </w:tc>
      </w:tr>
      <w:tr w14:paraId="78AF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3F285975">
            <w:pPr>
              <w:spacing w:after="0" w:line="240" w:lineRule="auto"/>
              <w:ind w:firstLine="0"/>
              <w:jc w:val="left"/>
              <w:rPr>
                <w:rFonts w:ascii="Cambria" w:hAnsi="Cambria"/>
                <w:lang w:val="ru-RU"/>
              </w:rPr>
            </w:pPr>
            <w:r>
              <w:rPr>
                <w:rFonts w:ascii="Cambria" w:hAnsi="Cambria"/>
                <w:color w:val="1C2839"/>
                <w:sz w:val="15"/>
                <w:lang w:val="ru-RU"/>
              </w:rPr>
              <w:t>Шекаралар мен инфрақұрылым дәліздерінің үйлеспеуі</w:t>
            </w:r>
          </w:p>
        </w:tc>
        <w:tc>
          <w:tcPr>
            <w:tcW w:w="0" w:type="auto"/>
            <w:vAlign w:val="center"/>
          </w:tcPr>
          <w:p w14:paraId="09FCAD62">
            <w:pPr>
              <w:spacing w:after="0" w:line="240" w:lineRule="auto"/>
              <w:ind w:firstLine="0"/>
              <w:jc w:val="left"/>
              <w:rPr>
                <w:rFonts w:ascii="Cambria" w:hAnsi="Cambria"/>
                <w:lang w:val="ru-RU"/>
              </w:rPr>
            </w:pPr>
            <w:r>
              <w:rPr>
                <w:rFonts w:ascii="Cambria" w:hAnsi="Cambria"/>
                <w:color w:val="1C2839"/>
                <w:sz w:val="15"/>
                <w:lang w:val="ru-RU"/>
              </w:rPr>
              <w:t>Жер пайдалану қайшылықтары, желілерді тарту мен қауіпсіз жүру мүмкін болмауы.</w:t>
            </w:r>
          </w:p>
        </w:tc>
        <w:tc>
          <w:tcPr>
            <w:tcW w:w="0" w:type="auto"/>
            <w:vAlign w:val="center"/>
          </w:tcPr>
          <w:p w14:paraId="3D942DD7">
            <w:pPr>
              <w:spacing w:after="0" w:line="240" w:lineRule="auto"/>
              <w:ind w:firstLine="0"/>
              <w:jc w:val="left"/>
              <w:rPr>
                <w:rFonts w:ascii="Cambria" w:hAnsi="Cambria"/>
                <w:lang w:val="ru-RU"/>
              </w:rPr>
            </w:pPr>
            <w:r>
              <w:rPr>
                <w:rFonts w:ascii="Cambria" w:hAnsi="Cambria"/>
                <w:color w:val="1C2839"/>
                <w:sz w:val="15"/>
                <w:lang w:val="ru-RU"/>
              </w:rPr>
              <w:t>Аумақты бөлгенге дейін бірыңғай жоспарлау схемасы мен қажетті қолжетімділік құқықтарын рәсімдеу.</w:t>
            </w:r>
          </w:p>
        </w:tc>
      </w:tr>
      <w:tr w14:paraId="57B1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E3BE559">
            <w:pPr>
              <w:spacing w:after="0" w:line="240" w:lineRule="auto"/>
              <w:ind w:firstLine="0"/>
              <w:jc w:val="left"/>
              <w:rPr>
                <w:rFonts w:ascii="Cambria" w:hAnsi="Cambria"/>
                <w:lang w:val="ru-RU"/>
              </w:rPr>
            </w:pPr>
            <w:r>
              <w:rPr>
                <w:rFonts w:ascii="Cambria" w:hAnsi="Cambria"/>
                <w:color w:val="1C2839"/>
                <w:sz w:val="15"/>
                <w:lang w:val="ru-RU"/>
              </w:rPr>
              <w:t>Санитариялық немесе экологиялық талаптарды сақтау мүмкін болмауы</w:t>
            </w:r>
          </w:p>
        </w:tc>
        <w:tc>
          <w:tcPr>
            <w:tcW w:w="0" w:type="auto"/>
            <w:shd w:val="clear" w:color="auto" w:fill="F0F5F9"/>
            <w:vAlign w:val="center"/>
          </w:tcPr>
          <w:p w14:paraId="5ADA818A">
            <w:pPr>
              <w:spacing w:after="0" w:line="240" w:lineRule="auto"/>
              <w:ind w:firstLine="0"/>
              <w:jc w:val="left"/>
              <w:rPr>
                <w:rFonts w:ascii="Cambria" w:hAnsi="Cambria"/>
                <w:lang w:val="ru-RU"/>
              </w:rPr>
            </w:pPr>
            <w:r>
              <w:rPr>
                <w:rFonts w:ascii="Cambria" w:hAnsi="Cambria"/>
                <w:color w:val="1C2839"/>
                <w:sz w:val="15"/>
                <w:lang w:val="ru-RU"/>
              </w:rPr>
              <w:t>Технологиялық шешімдерді қайта қарау, қосымша тазарту жүйелері, пайдалануға берудің кешігуі.</w:t>
            </w:r>
          </w:p>
        </w:tc>
        <w:tc>
          <w:tcPr>
            <w:tcW w:w="0" w:type="auto"/>
            <w:shd w:val="clear" w:color="auto" w:fill="F0F5F9"/>
            <w:vAlign w:val="center"/>
          </w:tcPr>
          <w:p w14:paraId="0BA86EDE">
            <w:pPr>
              <w:spacing w:after="0" w:line="240" w:lineRule="auto"/>
              <w:ind w:firstLine="0"/>
              <w:jc w:val="left"/>
              <w:rPr>
                <w:rFonts w:ascii="Cambria" w:hAnsi="Cambria"/>
                <w:lang w:val="ru-RU"/>
              </w:rPr>
            </w:pPr>
            <w:r>
              <w:rPr>
                <w:rFonts w:ascii="Cambria" w:hAnsi="Cambria"/>
                <w:color w:val="1C2839"/>
                <w:sz w:val="15"/>
                <w:lang w:val="ru-RU"/>
              </w:rPr>
              <w:t>Экологиялық рәсімдерді ерте айқындау, зауыт пен резиденттердің жиынтық шаң әсерін есепке алу.</w:t>
            </w:r>
          </w:p>
        </w:tc>
      </w:tr>
      <w:tr w14:paraId="0160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5EAD42F2">
            <w:pPr>
              <w:spacing w:after="0" w:line="240" w:lineRule="auto"/>
              <w:ind w:firstLine="0"/>
              <w:jc w:val="left"/>
              <w:rPr>
                <w:rFonts w:ascii="Cambria" w:hAnsi="Cambria"/>
              </w:rPr>
            </w:pPr>
            <w:r>
              <w:rPr>
                <w:rFonts w:ascii="Cambria" w:hAnsi="Cambria"/>
                <w:color w:val="1C2839"/>
                <w:sz w:val="15"/>
              </w:rPr>
              <w:t>Резиденттердің технологиялық әзірлігінің жеткіліксіздігі</w:t>
            </w:r>
          </w:p>
        </w:tc>
        <w:tc>
          <w:tcPr>
            <w:tcW w:w="0" w:type="auto"/>
            <w:vAlign w:val="center"/>
          </w:tcPr>
          <w:p w14:paraId="37EE173B">
            <w:pPr>
              <w:spacing w:after="0" w:line="240" w:lineRule="auto"/>
              <w:ind w:firstLine="0"/>
              <w:jc w:val="left"/>
              <w:rPr>
                <w:rFonts w:ascii="Cambria" w:hAnsi="Cambria"/>
                <w:lang w:val="ru-RU"/>
              </w:rPr>
            </w:pPr>
            <w:r>
              <w:rPr>
                <w:rFonts w:ascii="Cambria" w:hAnsi="Cambria"/>
                <w:color w:val="1C2839"/>
                <w:sz w:val="15"/>
                <w:lang w:val="ru-RU"/>
              </w:rPr>
              <w:t>Монтаж мерзімдерінің ұзаруы, сертификатсыз және өнім сапасы расталмай іске қосу.</w:t>
            </w:r>
          </w:p>
        </w:tc>
        <w:tc>
          <w:tcPr>
            <w:tcW w:w="0" w:type="auto"/>
            <w:vAlign w:val="center"/>
          </w:tcPr>
          <w:p w14:paraId="43FDF9B1">
            <w:pPr>
              <w:spacing w:after="0" w:line="240" w:lineRule="auto"/>
              <w:ind w:firstLine="0"/>
              <w:jc w:val="left"/>
              <w:rPr>
                <w:rFonts w:ascii="Cambria" w:hAnsi="Cambria"/>
                <w:lang w:val="ru-RU"/>
              </w:rPr>
            </w:pPr>
            <w:r>
              <w:rPr>
                <w:rFonts w:ascii="Cambria" w:hAnsi="Cambria"/>
                <w:color w:val="1C2839"/>
                <w:sz w:val="15"/>
                <w:lang w:val="ru-RU"/>
              </w:rPr>
              <w:t>Техникалық тұрғыдан дайын инвесторларды іріктеу, технологиялық шешімдерге сараптама, сынақ және сертификаттау.</w:t>
            </w:r>
          </w:p>
        </w:tc>
      </w:tr>
      <w:tr w14:paraId="5CCE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95F48F2">
            <w:pPr>
              <w:spacing w:after="0" w:line="240" w:lineRule="auto"/>
              <w:ind w:firstLine="0"/>
              <w:jc w:val="left"/>
              <w:rPr>
                <w:rFonts w:ascii="Cambria" w:hAnsi="Cambria"/>
                <w:lang w:val="ru-RU"/>
              </w:rPr>
            </w:pPr>
            <w:r>
              <w:rPr>
                <w:rFonts w:ascii="Cambria" w:hAnsi="Cambria"/>
                <w:color w:val="1C2839"/>
                <w:sz w:val="15"/>
                <w:lang w:val="ru-RU"/>
              </w:rPr>
              <w:t>Жеткізу құнының жоғарылығы және өткізу нарығының шектеулілігі</w:t>
            </w:r>
          </w:p>
        </w:tc>
        <w:tc>
          <w:tcPr>
            <w:tcW w:w="0" w:type="auto"/>
            <w:shd w:val="clear" w:color="auto" w:fill="F0F5F9"/>
            <w:vAlign w:val="center"/>
          </w:tcPr>
          <w:p w14:paraId="577E76AE">
            <w:pPr>
              <w:spacing w:after="0" w:line="240" w:lineRule="auto"/>
              <w:ind w:firstLine="0"/>
              <w:jc w:val="left"/>
              <w:rPr>
                <w:rFonts w:ascii="Cambria" w:hAnsi="Cambria"/>
                <w:lang w:val="ru-RU"/>
              </w:rPr>
            </w:pPr>
            <w:r>
              <w:rPr>
                <w:rFonts w:ascii="Cambria" w:hAnsi="Cambria"/>
                <w:color w:val="1C2839"/>
                <w:sz w:val="15"/>
                <w:lang w:val="ru-RU"/>
              </w:rPr>
              <w:t>Кәсіпорындардың жеткіліксіз жүктелуі, күтілетін түсім мен экономикалық әсердің төмендеуі.</w:t>
            </w:r>
          </w:p>
        </w:tc>
        <w:tc>
          <w:tcPr>
            <w:tcW w:w="0" w:type="auto"/>
            <w:shd w:val="clear" w:color="auto" w:fill="F0F5F9"/>
            <w:vAlign w:val="center"/>
          </w:tcPr>
          <w:p w14:paraId="299BE5E0">
            <w:pPr>
              <w:spacing w:after="0" w:line="240" w:lineRule="auto"/>
              <w:ind w:firstLine="0"/>
              <w:jc w:val="left"/>
              <w:rPr>
                <w:rFonts w:ascii="Cambria" w:hAnsi="Cambria"/>
                <w:lang w:val="ru-RU"/>
              </w:rPr>
            </w:pPr>
            <w:r>
              <w:rPr>
                <w:rFonts w:ascii="Cambria" w:hAnsi="Cambria"/>
                <w:color w:val="1C2839"/>
                <w:sz w:val="15"/>
                <w:lang w:val="ru-RU"/>
              </w:rPr>
              <w:t>Күрделі кезең басталғанға дейін әр жоба үшін нарықтар мен логистиканы маркетингтік тексеру.</w:t>
            </w:r>
          </w:p>
        </w:tc>
      </w:tr>
      <w:tr w14:paraId="5A91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C3AA7EF">
            <w:pPr>
              <w:spacing w:after="0" w:line="240" w:lineRule="auto"/>
              <w:ind w:firstLine="0"/>
              <w:jc w:val="left"/>
              <w:rPr>
                <w:rFonts w:ascii="Cambria" w:hAnsi="Cambria"/>
              </w:rPr>
            </w:pPr>
            <w:r>
              <w:rPr>
                <w:rFonts w:ascii="Cambria" w:hAnsi="Cambria"/>
                <w:color w:val="1C2839"/>
                <w:sz w:val="15"/>
              </w:rPr>
              <w:t>Білікті кадрлардың жетіспеуі</w:t>
            </w:r>
          </w:p>
        </w:tc>
        <w:tc>
          <w:tcPr>
            <w:tcW w:w="0" w:type="auto"/>
            <w:vAlign w:val="center"/>
          </w:tcPr>
          <w:p w14:paraId="71498371">
            <w:pPr>
              <w:spacing w:after="0" w:line="240" w:lineRule="auto"/>
              <w:ind w:firstLine="0"/>
              <w:jc w:val="left"/>
              <w:rPr>
                <w:rFonts w:ascii="Cambria" w:hAnsi="Cambria"/>
                <w:lang w:val="ru-RU"/>
              </w:rPr>
            </w:pPr>
            <w:r>
              <w:rPr>
                <w:rFonts w:ascii="Cambria" w:hAnsi="Cambria"/>
                <w:color w:val="1C2839"/>
                <w:sz w:val="15"/>
                <w:lang w:val="ru-RU"/>
              </w:rPr>
              <w:t>Іске қосу-баптау кезеңінің ұзаққа созылуы, пайдалану тәуекелдерінің өсуі.</w:t>
            </w:r>
          </w:p>
        </w:tc>
        <w:tc>
          <w:tcPr>
            <w:tcW w:w="0" w:type="auto"/>
            <w:vAlign w:val="center"/>
          </w:tcPr>
          <w:p w14:paraId="2C447D90">
            <w:pPr>
              <w:spacing w:after="0" w:line="240" w:lineRule="auto"/>
              <w:ind w:firstLine="0"/>
              <w:jc w:val="left"/>
              <w:rPr>
                <w:rFonts w:ascii="Cambria" w:hAnsi="Cambria"/>
                <w:lang w:val="ru-RU"/>
              </w:rPr>
            </w:pPr>
            <w:r>
              <w:rPr>
                <w:rFonts w:ascii="Cambria" w:hAnsi="Cambria"/>
                <w:color w:val="1C2839"/>
                <w:sz w:val="15"/>
                <w:lang w:val="ru-RU"/>
              </w:rPr>
              <w:t>Жұмысқа қабылдау және оқыту жоспары, өңірлік оқу ұйымдарымен және техникалық мамандармен жұмыс.</w:t>
            </w:r>
          </w:p>
        </w:tc>
      </w:tr>
    </w:tbl>
    <w:p w14:paraId="2659D777">
      <w:pPr>
        <w:spacing w:line="240" w:lineRule="auto"/>
        <w:rPr>
          <w:rFonts w:ascii="Cambria" w:hAnsi="Cambria"/>
          <w:lang w:val="ru-RU"/>
        </w:rPr>
      </w:pPr>
      <w:r>
        <w:rPr>
          <w:rFonts w:ascii="Cambria" w:hAnsi="Cambria"/>
          <w:lang w:val="ru-RU"/>
        </w:rPr>
        <w:t>Базалық нұсқаның іске асу қабілетіне ең елеулі әсер ететін шарттар – цемент зауыты инфрақұрылымының нақты қолжетімділігі, дайын өнімді теміржолмен жөнелту мүмкіндігі және екі алаңның заңды түрде дайын болуы. Қажетті техникалық, экологиялық және өртке қарсы шешімдер жобалау және нақты инвестициялық жобаларды қарау кезеңдерінде қабылдануға тиіс.</w:t>
      </w:r>
    </w:p>
    <w:p w14:paraId="5FABB53D">
      <w:pPr>
        <w:spacing w:line="240" w:lineRule="auto"/>
        <w:rPr>
          <w:rFonts w:ascii="Cambria" w:hAnsi="Cambria"/>
          <w:lang w:val="ru-RU"/>
        </w:rPr>
      </w:pPr>
      <w:r>
        <w:rPr>
          <w:rFonts w:ascii="Cambria" w:hAnsi="Cambria"/>
          <w:lang w:val="ru-RU"/>
        </w:rPr>
        <w:t>Тәуекелдерді басқару үшін жауапты ұйымдар, қажетті құжаттар және тексеру мерзімдері көрсетілген бірыңғай бақылау шарттарының тізбесін жүргізу көзделеді. Келісілген параметрлерден ауытқу анықталса, алдымен оның қосылу құнына, қуаттарға, көлікпен қамтамасыз етуге және инвестициялық портфель көрсеткіштеріне әсерін бағалау ұсынылады. Бұл жекелеген резиденттердің технологиялық шешімдеріндегі өзгерістерді ИА инфрақұрылымының жалпы тұжырымдамасындағы өзгерістерден ажыратуға мүмкіндік береді.</w:t>
      </w:r>
    </w:p>
    <w:p w14:paraId="5954CA2A">
      <w:pPr>
        <w:pStyle w:val="3"/>
        <w:spacing w:line="240" w:lineRule="auto"/>
        <w:rPr>
          <w:rFonts w:ascii="Cambria" w:hAnsi="Cambria"/>
          <w:lang w:val="ru-RU"/>
        </w:rPr>
      </w:pPr>
      <w:bookmarkStart w:id="50" w:name="__RefHeading___Toc9582_2617525462"/>
      <w:bookmarkEnd w:id="50"/>
      <w:r>
        <w:rPr>
          <w:rFonts w:ascii="Cambria" w:hAnsi="Cambria"/>
          <w:lang w:val="ru-RU"/>
        </w:rPr>
        <w:t>9.7. Дайын өндірістік үй-жайлар салу</w:t>
      </w:r>
    </w:p>
    <w:p w14:paraId="24DC8167">
      <w:pPr>
        <w:spacing w:line="240" w:lineRule="auto"/>
        <w:rPr>
          <w:rFonts w:ascii="Cambria" w:hAnsi="Cambria"/>
          <w:lang w:val="ru-RU"/>
        </w:rPr>
      </w:pPr>
      <w:r>
        <w:rPr>
          <w:rFonts w:ascii="Cambria" w:hAnsi="Cambria"/>
          <w:lang w:val="ru-RU"/>
        </w:rPr>
        <w:t>Өңірлік маңызы бар индустриялық аймақ тұжырымдамасына қойылатын талаптарға сәйкес дайын өндірістік үй-жайлар салу жоспарларын, осындай объектілер тізбесін, қаржыландыру көздері мен пайдалануға беру мерзімдерін ашып көрсету қажет. «Байғанин» ИА үшін базалық нұсқада бюджет немесе басқарушы компания есебінен әмбебап дайын корпустар салудың дербес бағдарламасы көзделмейді. Бұл өндірістік жобалар портфелінің технологиялық әркелкілігіне байланысты: темірбетон бұйымдары, құрғақ құрылыс қоспалары мен фиброцемент панельдерін өндіруге ғимараттардың әртүрлі жоспарлануы, жүк көтеру механизмдері, іргетастар, қойма және инженерлік шешімдер қажет.</w:t>
      </w:r>
    </w:p>
    <w:p w14:paraId="3A5D2595">
      <w:pPr>
        <w:spacing w:line="240" w:lineRule="auto"/>
        <w:rPr>
          <w:rFonts w:ascii="Cambria" w:hAnsi="Cambria"/>
          <w:lang w:val="ru-RU"/>
        </w:rPr>
      </w:pPr>
      <w:r>
        <w:rPr>
          <w:rFonts w:ascii="Cambria" w:hAnsi="Cambria"/>
          <w:lang w:val="ru-RU"/>
        </w:rPr>
        <w:t>Өндірістік корпустар мен мамандандырылған құрылыстарды тиісті жеті жоба шеңберінде инвесторлардың өздері салады деп жоспарлануда. Корпустардың технологиялық жарамдылығы болашақ өндірістік желілердің талаптарымен айқындалады; алдын ала белгіленбеген қатысушыларға беруге арналған жалпы мақсаттағы дайын ғимараттар қабылданған инвестициялар құрылымында көзделмеген. Жеке корпустарға жұмсалатын барлық шығын 38,7 млрд теңге жеке инвестиция құрамында есептеледі.</w:t>
      </w:r>
    </w:p>
    <w:p w14:paraId="2277A4D1">
      <w:pPr>
        <w:pStyle w:val="75"/>
        <w:keepNext/>
        <w:spacing w:line="240" w:lineRule="auto"/>
        <w:rPr>
          <w:rFonts w:ascii="Cambria" w:hAnsi="Cambria"/>
          <w:lang w:val="ru-RU"/>
        </w:rPr>
      </w:pPr>
      <w:r>
        <w:rPr>
          <w:rFonts w:ascii="Cambria" w:hAnsi="Cambria"/>
          <w:lang w:val="ru-RU"/>
        </w:rPr>
        <w:t>9.9-кесте – Инвесторлар құратын өндірістік объектілердің алдын ала тізбесі</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88" w:type="dxa"/>
          <w:bottom w:w="80" w:type="dxa"/>
          <w:right w:w="88" w:type="dxa"/>
        </w:tblCellMar>
      </w:tblPr>
      <w:tblGrid>
        <w:gridCol w:w="1991"/>
        <w:gridCol w:w="4074"/>
        <w:gridCol w:w="1973"/>
        <w:gridCol w:w="1437"/>
      </w:tblGrid>
      <w:tr w14:paraId="3290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tblHeader/>
          <w:jc w:val="center"/>
        </w:trPr>
        <w:tc>
          <w:tcPr>
            <w:tcW w:w="0" w:type="auto"/>
            <w:shd w:val="clear" w:color="auto" w:fill="23486F"/>
            <w:vAlign w:val="center"/>
          </w:tcPr>
          <w:p w14:paraId="62FA97AD">
            <w:pPr>
              <w:spacing w:after="0" w:line="240" w:lineRule="auto"/>
              <w:ind w:firstLine="0"/>
              <w:jc w:val="center"/>
              <w:rPr>
                <w:rFonts w:ascii="Cambria" w:hAnsi="Cambria"/>
              </w:rPr>
            </w:pPr>
            <w:r>
              <w:rPr>
                <w:rFonts w:ascii="Cambria" w:hAnsi="Cambria"/>
                <w:b/>
                <w:color w:val="FFFFFF"/>
                <w:sz w:val="15"/>
              </w:rPr>
              <w:t>Жоба</w:t>
            </w:r>
          </w:p>
        </w:tc>
        <w:tc>
          <w:tcPr>
            <w:tcW w:w="0" w:type="auto"/>
            <w:shd w:val="clear" w:color="auto" w:fill="23486F"/>
            <w:vAlign w:val="center"/>
          </w:tcPr>
          <w:p w14:paraId="4299B911">
            <w:pPr>
              <w:spacing w:after="0" w:line="240" w:lineRule="auto"/>
              <w:ind w:firstLine="0"/>
              <w:jc w:val="center"/>
              <w:rPr>
                <w:rFonts w:ascii="Cambria" w:hAnsi="Cambria"/>
              </w:rPr>
            </w:pPr>
            <w:r>
              <w:rPr>
                <w:rFonts w:ascii="Cambria" w:hAnsi="Cambria"/>
                <w:b/>
                <w:color w:val="FFFFFF"/>
                <w:sz w:val="15"/>
              </w:rPr>
              <w:t>Жоспарланған өндірістік объектінің құрамы</w:t>
            </w:r>
          </w:p>
        </w:tc>
        <w:tc>
          <w:tcPr>
            <w:tcW w:w="0" w:type="auto"/>
            <w:shd w:val="clear" w:color="auto" w:fill="23486F"/>
            <w:vAlign w:val="center"/>
          </w:tcPr>
          <w:p w14:paraId="1E5D8643">
            <w:pPr>
              <w:spacing w:after="0" w:line="240" w:lineRule="auto"/>
              <w:ind w:firstLine="0"/>
              <w:jc w:val="center"/>
              <w:rPr>
                <w:rFonts w:ascii="Cambria" w:hAnsi="Cambria"/>
              </w:rPr>
            </w:pPr>
            <w:r>
              <w:rPr>
                <w:rFonts w:ascii="Cambria" w:hAnsi="Cambria"/>
                <w:b/>
                <w:color w:val="FFFFFF"/>
                <w:sz w:val="15"/>
              </w:rPr>
              <w:t>Қаржыландыру көзі</w:t>
            </w:r>
          </w:p>
        </w:tc>
        <w:tc>
          <w:tcPr>
            <w:tcW w:w="0" w:type="auto"/>
            <w:shd w:val="clear" w:color="auto" w:fill="23486F"/>
            <w:vAlign w:val="center"/>
          </w:tcPr>
          <w:p w14:paraId="04F47DF4">
            <w:pPr>
              <w:spacing w:after="0" w:line="240" w:lineRule="auto"/>
              <w:ind w:firstLine="0"/>
              <w:jc w:val="center"/>
              <w:rPr>
                <w:rFonts w:ascii="Cambria" w:hAnsi="Cambria"/>
              </w:rPr>
            </w:pPr>
            <w:r>
              <w:rPr>
                <w:rFonts w:ascii="Cambria" w:hAnsi="Cambria"/>
                <w:b/>
                <w:color w:val="FFFFFF"/>
                <w:sz w:val="15"/>
              </w:rPr>
              <w:t>Аяқтау мерзімінің бағдары</w:t>
            </w:r>
          </w:p>
        </w:tc>
      </w:tr>
      <w:tr w14:paraId="050A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1D59A82">
            <w:pPr>
              <w:spacing w:after="0" w:line="240" w:lineRule="auto"/>
              <w:ind w:firstLine="0"/>
              <w:jc w:val="left"/>
              <w:rPr>
                <w:rFonts w:ascii="Cambria" w:hAnsi="Cambria"/>
              </w:rPr>
            </w:pPr>
            <w:r>
              <w:rPr>
                <w:rFonts w:ascii="Cambria" w:hAnsi="Cambria"/>
                <w:color w:val="1C2839"/>
                <w:sz w:val="15"/>
              </w:rPr>
              <w:t>№ 1. Инфрақұрылымдық ТББ</w:t>
            </w:r>
          </w:p>
        </w:tc>
        <w:tc>
          <w:tcPr>
            <w:tcW w:w="0" w:type="auto"/>
            <w:vAlign w:val="center"/>
          </w:tcPr>
          <w:p w14:paraId="2A956FC1">
            <w:pPr>
              <w:spacing w:after="0" w:line="240" w:lineRule="auto"/>
              <w:ind w:firstLine="0"/>
              <w:jc w:val="left"/>
              <w:rPr>
                <w:rFonts w:ascii="Cambria" w:hAnsi="Cambria"/>
                <w:lang w:val="ru-RU"/>
              </w:rPr>
            </w:pPr>
            <w:r>
              <w:rPr>
                <w:rFonts w:ascii="Cambria" w:hAnsi="Cambria"/>
                <w:color w:val="1C2839"/>
                <w:sz w:val="15"/>
                <w:lang w:val="ru-RU"/>
              </w:rPr>
              <w:t>Қалыптау аймақтары, өндірістік корпус, бұйымдарды күтіп-баптау және ашық сақтау аймақтары.</w:t>
            </w:r>
          </w:p>
        </w:tc>
        <w:tc>
          <w:tcPr>
            <w:tcW w:w="0" w:type="auto"/>
            <w:vAlign w:val="center"/>
          </w:tcPr>
          <w:p w14:paraId="41ED02C6">
            <w:pPr>
              <w:spacing w:after="0" w:line="240" w:lineRule="auto"/>
              <w:ind w:firstLine="0"/>
              <w:jc w:val="left"/>
              <w:rPr>
                <w:rFonts w:ascii="Cambria" w:hAnsi="Cambria"/>
              </w:rPr>
            </w:pPr>
            <w:r>
              <w:rPr>
                <w:rFonts w:ascii="Cambria" w:hAnsi="Cambria"/>
                <w:color w:val="1C2839"/>
                <w:sz w:val="15"/>
              </w:rPr>
              <w:t>№ 1 жобаның жеке инвестициялары</w:t>
            </w:r>
          </w:p>
        </w:tc>
        <w:tc>
          <w:tcPr>
            <w:tcW w:w="0" w:type="auto"/>
            <w:vAlign w:val="center"/>
          </w:tcPr>
          <w:p w14:paraId="3C904098">
            <w:pPr>
              <w:spacing w:after="0" w:line="240" w:lineRule="auto"/>
              <w:ind w:firstLine="0"/>
              <w:jc w:val="center"/>
              <w:rPr>
                <w:rFonts w:ascii="Cambria" w:hAnsi="Cambria"/>
              </w:rPr>
            </w:pPr>
            <w:r>
              <w:rPr>
                <w:rFonts w:ascii="Cambria" w:hAnsi="Cambria"/>
                <w:color w:val="1C2839"/>
                <w:sz w:val="15"/>
              </w:rPr>
              <w:t>2030</w:t>
            </w:r>
          </w:p>
        </w:tc>
      </w:tr>
      <w:tr w14:paraId="30F6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0C2C9C5A">
            <w:pPr>
              <w:spacing w:after="0" w:line="240" w:lineRule="auto"/>
              <w:ind w:firstLine="0"/>
              <w:jc w:val="left"/>
              <w:rPr>
                <w:rFonts w:ascii="Cambria" w:hAnsi="Cambria"/>
              </w:rPr>
            </w:pPr>
            <w:r>
              <w:rPr>
                <w:rFonts w:ascii="Cambria" w:hAnsi="Cambria"/>
                <w:color w:val="1C2839"/>
                <w:sz w:val="15"/>
              </w:rPr>
              <w:t>№ 2. Шпалдар</w:t>
            </w:r>
          </w:p>
        </w:tc>
        <w:tc>
          <w:tcPr>
            <w:tcW w:w="0" w:type="auto"/>
            <w:shd w:val="clear" w:color="auto" w:fill="F0F5F9"/>
            <w:vAlign w:val="center"/>
          </w:tcPr>
          <w:p w14:paraId="2676D4AE">
            <w:pPr>
              <w:spacing w:after="0" w:line="240" w:lineRule="auto"/>
              <w:ind w:firstLine="0"/>
              <w:jc w:val="left"/>
              <w:rPr>
                <w:rFonts w:ascii="Cambria" w:hAnsi="Cambria"/>
                <w:lang w:val="ru-RU"/>
              </w:rPr>
            </w:pPr>
            <w:r>
              <w:rPr>
                <w:rFonts w:ascii="Cambria" w:hAnsi="Cambria"/>
                <w:color w:val="1C2839"/>
                <w:sz w:val="15"/>
                <w:lang w:val="ru-RU"/>
              </w:rPr>
              <w:t>Арматураны дайындау, қалыптау және дайын бұйымдарды күтіп-баптау учаскесі бар өндірістік желі.</w:t>
            </w:r>
          </w:p>
        </w:tc>
        <w:tc>
          <w:tcPr>
            <w:tcW w:w="0" w:type="auto"/>
            <w:shd w:val="clear" w:color="auto" w:fill="F0F5F9"/>
            <w:vAlign w:val="center"/>
          </w:tcPr>
          <w:p w14:paraId="37C9E297">
            <w:pPr>
              <w:spacing w:after="0" w:line="240" w:lineRule="auto"/>
              <w:ind w:firstLine="0"/>
              <w:jc w:val="left"/>
              <w:rPr>
                <w:rFonts w:ascii="Cambria" w:hAnsi="Cambria"/>
              </w:rPr>
            </w:pPr>
            <w:r>
              <w:rPr>
                <w:rFonts w:ascii="Cambria" w:hAnsi="Cambria"/>
                <w:color w:val="1C2839"/>
                <w:sz w:val="15"/>
              </w:rPr>
              <w:t>№ 2 жобаның жеке инвестициялары</w:t>
            </w:r>
          </w:p>
        </w:tc>
        <w:tc>
          <w:tcPr>
            <w:tcW w:w="0" w:type="auto"/>
            <w:shd w:val="clear" w:color="auto" w:fill="F0F5F9"/>
            <w:vAlign w:val="center"/>
          </w:tcPr>
          <w:p w14:paraId="57068A5A">
            <w:pPr>
              <w:spacing w:after="0" w:line="240" w:lineRule="auto"/>
              <w:ind w:firstLine="0"/>
              <w:jc w:val="center"/>
              <w:rPr>
                <w:rFonts w:ascii="Cambria" w:hAnsi="Cambria"/>
              </w:rPr>
            </w:pPr>
            <w:r>
              <w:rPr>
                <w:rFonts w:ascii="Cambria" w:hAnsi="Cambria"/>
                <w:color w:val="1C2839"/>
                <w:sz w:val="15"/>
              </w:rPr>
              <w:t>2030</w:t>
            </w:r>
          </w:p>
        </w:tc>
      </w:tr>
      <w:tr w14:paraId="201F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E9FA1B7">
            <w:pPr>
              <w:spacing w:after="0" w:line="240" w:lineRule="auto"/>
              <w:ind w:firstLine="0"/>
              <w:jc w:val="left"/>
              <w:rPr>
                <w:rFonts w:ascii="Cambria" w:hAnsi="Cambria"/>
              </w:rPr>
            </w:pPr>
            <w:r>
              <w:rPr>
                <w:rFonts w:ascii="Cambria" w:hAnsi="Cambria"/>
                <w:color w:val="1C2839"/>
                <w:sz w:val="15"/>
              </w:rPr>
              <w:t>№ 3. Электр беру желілерінің тіректері</w:t>
            </w:r>
          </w:p>
        </w:tc>
        <w:tc>
          <w:tcPr>
            <w:tcW w:w="0" w:type="auto"/>
            <w:vAlign w:val="center"/>
          </w:tcPr>
          <w:p w14:paraId="4D0BF718">
            <w:pPr>
              <w:spacing w:after="0" w:line="240" w:lineRule="auto"/>
              <w:ind w:firstLine="0"/>
              <w:jc w:val="left"/>
              <w:rPr>
                <w:rFonts w:ascii="Cambria" w:hAnsi="Cambria"/>
                <w:lang w:val="ru-RU"/>
              </w:rPr>
            </w:pPr>
            <w:r>
              <w:rPr>
                <w:rFonts w:ascii="Cambria" w:hAnsi="Cambria"/>
                <w:color w:val="1C2839"/>
                <w:sz w:val="15"/>
                <w:lang w:val="ru-RU"/>
              </w:rPr>
              <w:t>Қалыптау, жылумен-ылғалмен өңдеу және сақтау жөніндегі мамандандырылған өндірістік алаңдар.</w:t>
            </w:r>
          </w:p>
        </w:tc>
        <w:tc>
          <w:tcPr>
            <w:tcW w:w="0" w:type="auto"/>
            <w:vAlign w:val="center"/>
          </w:tcPr>
          <w:p w14:paraId="5F13393F">
            <w:pPr>
              <w:spacing w:after="0" w:line="240" w:lineRule="auto"/>
              <w:ind w:firstLine="0"/>
              <w:jc w:val="left"/>
              <w:rPr>
                <w:rFonts w:ascii="Cambria" w:hAnsi="Cambria"/>
              </w:rPr>
            </w:pPr>
            <w:r>
              <w:rPr>
                <w:rFonts w:ascii="Cambria" w:hAnsi="Cambria"/>
                <w:color w:val="1C2839"/>
                <w:sz w:val="15"/>
              </w:rPr>
              <w:t>№ 3 жобаның жеке инвестициялары</w:t>
            </w:r>
          </w:p>
        </w:tc>
        <w:tc>
          <w:tcPr>
            <w:tcW w:w="0" w:type="auto"/>
            <w:vAlign w:val="center"/>
          </w:tcPr>
          <w:p w14:paraId="7F880471">
            <w:pPr>
              <w:spacing w:after="0" w:line="240" w:lineRule="auto"/>
              <w:ind w:firstLine="0"/>
              <w:jc w:val="center"/>
              <w:rPr>
                <w:rFonts w:ascii="Cambria" w:hAnsi="Cambria"/>
              </w:rPr>
            </w:pPr>
            <w:r>
              <w:rPr>
                <w:rFonts w:ascii="Cambria" w:hAnsi="Cambria"/>
                <w:color w:val="1C2839"/>
                <w:sz w:val="15"/>
              </w:rPr>
              <w:t>2031</w:t>
            </w:r>
          </w:p>
        </w:tc>
      </w:tr>
      <w:tr w14:paraId="0440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7082B719">
            <w:pPr>
              <w:spacing w:after="0" w:line="240" w:lineRule="auto"/>
              <w:ind w:firstLine="0"/>
              <w:jc w:val="left"/>
              <w:rPr>
                <w:rFonts w:ascii="Cambria" w:hAnsi="Cambria"/>
              </w:rPr>
            </w:pPr>
            <w:r>
              <w:rPr>
                <w:rFonts w:ascii="Cambria" w:hAnsi="Cambria"/>
                <w:color w:val="1C2839"/>
                <w:sz w:val="15"/>
              </w:rPr>
              <w:t>№ 4. Тұрғын үй құрылысына арналған ТББ</w:t>
            </w:r>
          </w:p>
        </w:tc>
        <w:tc>
          <w:tcPr>
            <w:tcW w:w="0" w:type="auto"/>
            <w:shd w:val="clear" w:color="auto" w:fill="F0F5F9"/>
            <w:vAlign w:val="center"/>
          </w:tcPr>
          <w:p w14:paraId="61B726E0">
            <w:pPr>
              <w:spacing w:after="0" w:line="240" w:lineRule="auto"/>
              <w:ind w:firstLine="0"/>
              <w:jc w:val="left"/>
              <w:rPr>
                <w:rFonts w:ascii="Cambria" w:hAnsi="Cambria"/>
                <w:lang w:val="ru-RU"/>
              </w:rPr>
            </w:pPr>
            <w:r>
              <w:rPr>
                <w:rFonts w:ascii="Cambria" w:hAnsi="Cambria"/>
                <w:color w:val="1C2839"/>
                <w:sz w:val="15"/>
                <w:lang w:val="ru-RU"/>
              </w:rPr>
              <w:t>Плиталар мен құрама элементтер өндіретін корпус, арматуралау учаскесі, дайын конструкциялар қоймасы.</w:t>
            </w:r>
          </w:p>
        </w:tc>
        <w:tc>
          <w:tcPr>
            <w:tcW w:w="0" w:type="auto"/>
            <w:shd w:val="clear" w:color="auto" w:fill="F0F5F9"/>
            <w:vAlign w:val="center"/>
          </w:tcPr>
          <w:p w14:paraId="4A5B55B0">
            <w:pPr>
              <w:spacing w:after="0" w:line="240" w:lineRule="auto"/>
              <w:ind w:firstLine="0"/>
              <w:jc w:val="left"/>
              <w:rPr>
                <w:rFonts w:ascii="Cambria" w:hAnsi="Cambria"/>
              </w:rPr>
            </w:pPr>
            <w:r>
              <w:rPr>
                <w:rFonts w:ascii="Cambria" w:hAnsi="Cambria"/>
                <w:color w:val="1C2839"/>
                <w:sz w:val="15"/>
              </w:rPr>
              <w:t>№ 4 жобаның жеке инвестициялары</w:t>
            </w:r>
          </w:p>
        </w:tc>
        <w:tc>
          <w:tcPr>
            <w:tcW w:w="0" w:type="auto"/>
            <w:shd w:val="clear" w:color="auto" w:fill="F0F5F9"/>
            <w:vAlign w:val="center"/>
          </w:tcPr>
          <w:p w14:paraId="2CF31383">
            <w:pPr>
              <w:spacing w:after="0" w:line="240" w:lineRule="auto"/>
              <w:ind w:firstLine="0"/>
              <w:jc w:val="center"/>
              <w:rPr>
                <w:rFonts w:ascii="Cambria" w:hAnsi="Cambria"/>
              </w:rPr>
            </w:pPr>
            <w:r>
              <w:rPr>
                <w:rFonts w:ascii="Cambria" w:hAnsi="Cambria"/>
                <w:color w:val="1C2839"/>
                <w:sz w:val="15"/>
              </w:rPr>
              <w:t>2031</w:t>
            </w:r>
          </w:p>
        </w:tc>
      </w:tr>
      <w:tr w14:paraId="6FD8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30445EBA">
            <w:pPr>
              <w:spacing w:after="0" w:line="240" w:lineRule="auto"/>
              <w:ind w:firstLine="0"/>
              <w:jc w:val="left"/>
              <w:rPr>
                <w:rFonts w:ascii="Cambria" w:hAnsi="Cambria"/>
              </w:rPr>
            </w:pPr>
            <w:r>
              <w:rPr>
                <w:rFonts w:ascii="Cambria" w:hAnsi="Cambria"/>
                <w:color w:val="1C2839"/>
                <w:sz w:val="15"/>
              </w:rPr>
              <w:t>№ 5. Құрғақ қоспалар</w:t>
            </w:r>
          </w:p>
        </w:tc>
        <w:tc>
          <w:tcPr>
            <w:tcW w:w="0" w:type="auto"/>
            <w:vAlign w:val="center"/>
          </w:tcPr>
          <w:p w14:paraId="49F2D5D1">
            <w:pPr>
              <w:spacing w:after="0" w:line="240" w:lineRule="auto"/>
              <w:ind w:firstLine="0"/>
              <w:jc w:val="left"/>
              <w:rPr>
                <w:rFonts w:ascii="Cambria" w:hAnsi="Cambria"/>
                <w:lang w:val="ru-RU"/>
              </w:rPr>
            </w:pPr>
            <w:r>
              <w:rPr>
                <w:rFonts w:ascii="Cambria" w:hAnsi="Cambria"/>
                <w:color w:val="1C2839"/>
                <w:sz w:val="15"/>
                <w:lang w:val="ru-RU"/>
              </w:rPr>
              <w:t>Мөлшерлеу және араластыруға арналған жабық корпус, қаптау желісі және өнімді қорғалған сақтау.</w:t>
            </w:r>
          </w:p>
        </w:tc>
        <w:tc>
          <w:tcPr>
            <w:tcW w:w="0" w:type="auto"/>
            <w:vAlign w:val="center"/>
          </w:tcPr>
          <w:p w14:paraId="0401A160">
            <w:pPr>
              <w:spacing w:after="0" w:line="240" w:lineRule="auto"/>
              <w:ind w:firstLine="0"/>
              <w:jc w:val="left"/>
              <w:rPr>
                <w:rFonts w:ascii="Cambria" w:hAnsi="Cambria"/>
              </w:rPr>
            </w:pPr>
            <w:r>
              <w:rPr>
                <w:rFonts w:ascii="Cambria" w:hAnsi="Cambria"/>
                <w:color w:val="1C2839"/>
                <w:sz w:val="15"/>
              </w:rPr>
              <w:t>№ 5 жобаның жеке инвестициялары</w:t>
            </w:r>
          </w:p>
        </w:tc>
        <w:tc>
          <w:tcPr>
            <w:tcW w:w="0" w:type="auto"/>
            <w:vAlign w:val="center"/>
          </w:tcPr>
          <w:p w14:paraId="4D98894F">
            <w:pPr>
              <w:spacing w:after="0" w:line="240" w:lineRule="auto"/>
              <w:ind w:firstLine="0"/>
              <w:jc w:val="center"/>
              <w:rPr>
                <w:rFonts w:ascii="Cambria" w:hAnsi="Cambria"/>
              </w:rPr>
            </w:pPr>
            <w:r>
              <w:rPr>
                <w:rFonts w:ascii="Cambria" w:hAnsi="Cambria"/>
                <w:color w:val="1C2839"/>
                <w:sz w:val="15"/>
              </w:rPr>
              <w:t>2030</w:t>
            </w:r>
          </w:p>
        </w:tc>
      </w:tr>
      <w:tr w14:paraId="13AA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shd w:val="clear" w:color="auto" w:fill="F0F5F9"/>
            <w:vAlign w:val="center"/>
          </w:tcPr>
          <w:p w14:paraId="60B44330">
            <w:pPr>
              <w:spacing w:after="0" w:line="240" w:lineRule="auto"/>
              <w:ind w:firstLine="0"/>
              <w:jc w:val="left"/>
              <w:rPr>
                <w:rFonts w:ascii="Cambria" w:hAnsi="Cambria"/>
              </w:rPr>
            </w:pPr>
            <w:r>
              <w:rPr>
                <w:rFonts w:ascii="Cambria" w:hAnsi="Cambria"/>
                <w:color w:val="1C2839"/>
                <w:sz w:val="15"/>
              </w:rPr>
              <w:t>№ 6. Фиброцемент панельдері</w:t>
            </w:r>
          </w:p>
        </w:tc>
        <w:tc>
          <w:tcPr>
            <w:tcW w:w="0" w:type="auto"/>
            <w:shd w:val="clear" w:color="auto" w:fill="F0F5F9"/>
            <w:vAlign w:val="center"/>
          </w:tcPr>
          <w:p w14:paraId="7E827142">
            <w:pPr>
              <w:spacing w:after="0" w:line="240" w:lineRule="auto"/>
              <w:ind w:firstLine="0"/>
              <w:jc w:val="left"/>
              <w:rPr>
                <w:rFonts w:ascii="Cambria" w:hAnsi="Cambria"/>
                <w:lang w:val="ru-RU"/>
              </w:rPr>
            </w:pPr>
            <w:r>
              <w:rPr>
                <w:rFonts w:ascii="Cambria" w:hAnsi="Cambria"/>
                <w:color w:val="1C2839"/>
                <w:sz w:val="15"/>
                <w:lang w:val="ru-RU"/>
              </w:rPr>
              <w:t>Шикізатты дайындау, панельдерді қалыптау, өңдеу және сақтау үшін мамандандырылған корпус.</w:t>
            </w:r>
          </w:p>
        </w:tc>
        <w:tc>
          <w:tcPr>
            <w:tcW w:w="0" w:type="auto"/>
            <w:shd w:val="clear" w:color="auto" w:fill="F0F5F9"/>
            <w:vAlign w:val="center"/>
          </w:tcPr>
          <w:p w14:paraId="6D3FF599">
            <w:pPr>
              <w:spacing w:after="0" w:line="240" w:lineRule="auto"/>
              <w:ind w:firstLine="0"/>
              <w:jc w:val="left"/>
              <w:rPr>
                <w:rFonts w:ascii="Cambria" w:hAnsi="Cambria"/>
              </w:rPr>
            </w:pPr>
            <w:r>
              <w:rPr>
                <w:rFonts w:ascii="Cambria" w:hAnsi="Cambria"/>
                <w:color w:val="1C2839"/>
                <w:sz w:val="15"/>
              </w:rPr>
              <w:t>№ 6 жобаның жеке инвестициялары</w:t>
            </w:r>
          </w:p>
        </w:tc>
        <w:tc>
          <w:tcPr>
            <w:tcW w:w="0" w:type="auto"/>
            <w:shd w:val="clear" w:color="auto" w:fill="F0F5F9"/>
            <w:vAlign w:val="center"/>
          </w:tcPr>
          <w:p w14:paraId="49BDDBE7">
            <w:pPr>
              <w:spacing w:after="0" w:line="240" w:lineRule="auto"/>
              <w:ind w:firstLine="0"/>
              <w:jc w:val="center"/>
              <w:rPr>
                <w:rFonts w:ascii="Cambria" w:hAnsi="Cambria"/>
              </w:rPr>
            </w:pPr>
            <w:r>
              <w:rPr>
                <w:rFonts w:ascii="Cambria" w:hAnsi="Cambria"/>
                <w:color w:val="1C2839"/>
                <w:sz w:val="15"/>
              </w:rPr>
              <w:t>2032</w:t>
            </w:r>
          </w:p>
        </w:tc>
      </w:tr>
      <w:tr w14:paraId="7A0F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88" w:type="dxa"/>
            <w:bottom w:w="80" w:type="dxa"/>
            <w:right w:w="88" w:type="dxa"/>
          </w:tblCellMar>
        </w:tblPrEx>
        <w:trPr>
          <w:cantSplit/>
          <w:jc w:val="center"/>
        </w:trPr>
        <w:tc>
          <w:tcPr>
            <w:tcW w:w="0" w:type="auto"/>
            <w:vAlign w:val="center"/>
          </w:tcPr>
          <w:p w14:paraId="7CE9111C">
            <w:pPr>
              <w:spacing w:after="0" w:line="240" w:lineRule="auto"/>
              <w:ind w:firstLine="0"/>
              <w:jc w:val="left"/>
              <w:rPr>
                <w:rFonts w:ascii="Cambria" w:hAnsi="Cambria"/>
              </w:rPr>
            </w:pPr>
            <w:r>
              <w:rPr>
                <w:rFonts w:ascii="Cambria" w:hAnsi="Cambria"/>
                <w:color w:val="1C2839"/>
                <w:sz w:val="15"/>
              </w:rPr>
              <w:t>№ 7. Абаттандыру бұйымдары</w:t>
            </w:r>
          </w:p>
        </w:tc>
        <w:tc>
          <w:tcPr>
            <w:tcW w:w="0" w:type="auto"/>
            <w:vAlign w:val="center"/>
          </w:tcPr>
          <w:p w14:paraId="14426453">
            <w:pPr>
              <w:spacing w:after="0" w:line="240" w:lineRule="auto"/>
              <w:ind w:firstLine="0"/>
              <w:jc w:val="left"/>
              <w:rPr>
                <w:rFonts w:ascii="Cambria" w:hAnsi="Cambria"/>
                <w:lang w:val="ru-RU"/>
              </w:rPr>
            </w:pPr>
            <w:r>
              <w:rPr>
                <w:rFonts w:ascii="Cambria" w:hAnsi="Cambria"/>
                <w:color w:val="1C2839"/>
                <w:sz w:val="15"/>
                <w:lang w:val="ru-RU"/>
              </w:rPr>
              <w:t>Вибропрестеу өндірісі, бұйымдарды күтіп-баптау және сақтаудың технологиялық алаңдары.</w:t>
            </w:r>
          </w:p>
        </w:tc>
        <w:tc>
          <w:tcPr>
            <w:tcW w:w="0" w:type="auto"/>
            <w:vAlign w:val="center"/>
          </w:tcPr>
          <w:p w14:paraId="520F6F16">
            <w:pPr>
              <w:spacing w:after="0" w:line="240" w:lineRule="auto"/>
              <w:ind w:firstLine="0"/>
              <w:jc w:val="left"/>
              <w:rPr>
                <w:rFonts w:ascii="Cambria" w:hAnsi="Cambria"/>
              </w:rPr>
            </w:pPr>
            <w:r>
              <w:rPr>
                <w:rFonts w:ascii="Cambria" w:hAnsi="Cambria"/>
                <w:color w:val="1C2839"/>
                <w:sz w:val="15"/>
              </w:rPr>
              <w:t>№ 7 жобаның жеке инвестициялары</w:t>
            </w:r>
          </w:p>
        </w:tc>
        <w:tc>
          <w:tcPr>
            <w:tcW w:w="0" w:type="auto"/>
            <w:vAlign w:val="center"/>
          </w:tcPr>
          <w:p w14:paraId="35257BE7">
            <w:pPr>
              <w:spacing w:after="0" w:line="240" w:lineRule="auto"/>
              <w:ind w:firstLine="0"/>
              <w:jc w:val="center"/>
              <w:rPr>
                <w:rFonts w:ascii="Cambria" w:hAnsi="Cambria"/>
              </w:rPr>
            </w:pPr>
            <w:r>
              <w:rPr>
                <w:rFonts w:ascii="Cambria" w:hAnsi="Cambria"/>
                <w:color w:val="1C2839"/>
                <w:sz w:val="15"/>
              </w:rPr>
              <w:t>2031</w:t>
            </w:r>
          </w:p>
        </w:tc>
      </w:tr>
    </w:tbl>
    <w:p w14:paraId="33A7A2A1">
      <w:pPr>
        <w:spacing w:line="240" w:lineRule="auto"/>
        <w:rPr>
          <w:rFonts w:ascii="Cambria" w:hAnsi="Cambria"/>
          <w:lang w:val="ru-RU"/>
        </w:rPr>
      </w:pPr>
      <w:r>
        <w:rPr>
          <w:rFonts w:ascii="Cambria" w:hAnsi="Cambria"/>
          <w:lang w:val="ru-RU"/>
        </w:rPr>
        <w:t>Болашақта дайын типтік өндірістік үй-жайларды дербес бағыт ретінде салу мүмкіндігін қосымша сұраныс анықталғаннан, мамандандырылған инвестор белгіленгеннен және қаржыландыру көздері бөлек есептелгеннен кейін ғана қарастыруға болады. Осы Тұжырымдама әзірленген күнгі жағдай бойынша мұндай іс-шара жоба құрамына енгізілмеген және қабылданған аудан, инвестиция және жұмыспен қамту көрсеткіштеріне әсер етпейді.</w:t>
      </w:r>
    </w:p>
    <w:p w14:paraId="4116D839">
      <w:pPr>
        <w:spacing w:line="240" w:lineRule="auto"/>
        <w:rPr>
          <w:rFonts w:ascii="Cambria" w:hAnsi="Cambria"/>
          <w:lang w:val="ru-RU"/>
        </w:rPr>
      </w:pPr>
      <w:r>
        <w:rPr>
          <w:rFonts w:ascii="Cambria" w:hAnsi="Cambria"/>
          <w:lang w:val="ru-RU"/>
        </w:rPr>
        <w:t>Жалпы алғанда, ұсынылып отырған даму жоспары ауданы 122 және 78 га болатын екі алаңды кезең-кезеңімен қалыптастыруды, цемент зауытының өнеркәсіптік торабына инфрақұрылымдық қолжетімділік жасауды және 2028–2032 жылдары жеті әлеуетті өндіріс салуды көздейді. Желілермен қамтамасыз етудің басым тәсілі – қуат резерві мен пайдалану шарттарын міндетті түрде растай отырып, қосалқы тұтынушылар схемасын және сыртқы инфрақұрылымға келісілген қолжетімділікті қолдану. ИА-ның толық есептік конфигурациясына – 200 га аумаққа, 50,7 млрд теңге жиынтық күрделі салымға, 605 тұрақты жұмыс орнына және толық жүктеме кезінде жылына 41,05 млрд теңге ықтимал түсімге – барлық жоспарланған жобалар іске асырылып, өндірістік әрі өткізу алғышарттары орындалған жағдайда ғана қол жеткізуге болады.</w:t>
      </w:r>
    </w:p>
    <w:sectPr>
      <w:headerReference r:id="rId7" w:type="first"/>
      <w:footerReference r:id="rId10" w:type="first"/>
      <w:headerReference r:id="rId5" w:type="default"/>
      <w:footerReference r:id="rId8" w:type="default"/>
      <w:headerReference r:id="rId6" w:type="even"/>
      <w:footerReference r:id="rId9" w:type="even"/>
      <w:pgSz w:w="11906" w:h="16838"/>
      <w:pgMar w:top="1191" w:right="1020" w:bottom="1134" w:left="1587" w:header="510" w:footer="510" w:gutter="0"/>
      <w:cols w:space="720" w:num="1"/>
      <w:formProt w:val="0"/>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ohit Devanagari">
    <w:altName w:val="Cambria"/>
    <w:panose1 w:val="00000000000000000000"/>
    <w:charset w:val="00"/>
    <w:family w:val="roman"/>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Courier">
    <w:altName w:val="Courier New"/>
    <w:panose1 w:val="02070309020205020404"/>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4762824"/>
      <w:docPartObj>
        <w:docPartGallery w:val="autotext"/>
      </w:docPartObj>
    </w:sdtPr>
    <w:sdtContent>
      <w:p w14:paraId="010825B3">
        <w:pPr>
          <w:pStyle w:val="32"/>
          <w:jc w:val="center"/>
        </w:pPr>
        <w:r>
          <mc:AlternateContent>
            <mc:Choice Requires="wps">
              <w:drawing>
                <wp:inline distT="0" distB="0" distL="0" distR="0">
                  <wp:extent cx="5467350" cy="45085"/>
                  <wp:effectExtent l="9525" t="9525" r="0" b="2540"/>
                  <wp:docPr id="17" name="Блок-схема: решение 17" descr="Light horizontal"/>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wps:spPr>
                        <wps:bodyPr rot="0" vert="horz" wrap="square" lIns="91440" tIns="45720" rIns="91440" bIns="45720" anchor="t" anchorCtr="0" upright="1">
                          <a:noAutofit/>
                        </wps:bodyPr>
                      </wps:wsp>
                    </a:graphicData>
                  </a:graphic>
                </wp:inline>
              </w:drawing>
            </mc:Choice>
            <mc:Fallback>
              <w:pict>
                <v:shape id="_x0000_s1026" o:spid="_x0000_s1026" o:spt="110" alt="Light horizontal" type="#_x0000_t110" style="flip:y;height:3.55pt;width:430.5pt;" fillcolor="#000000" filled="t" stroked="f" coordsize="21600,21600" o:gfxdata="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Y97IctQAAAADAQAADwAAAAAAAAABACAAAAAiAAAAZHJzL2Rvd25y&#10;ZXYueG1sUEsBAhQAFAAAAAgAh07iQP/7KwZ0AgAAvwQAAA4AAAAAAAAAAQAgAAAAIwEAAGRycy9l&#10;Mm9Eb2MueG1sUEsFBgAAAAAGAAYAWQEAAAkGAAAAAA==&#10;">
                  <v:fill type="pattern" on="t" color2="#FFFFFF" o:title="Светлая горизонталь" focussize="0,0" r:id="rId1"/>
                  <v:stroke on="f"/>
                  <v:imagedata o:title=""/>
                  <o:lock v:ext="edit" aspectratio="f"/>
                  <w10:wrap type="none"/>
                  <w10:anchorlock/>
                </v:shape>
              </w:pict>
            </mc:Fallback>
          </mc:AlternateContent>
        </w:r>
      </w:p>
      <w:p w14:paraId="2247B030">
        <w:pPr>
          <w:pStyle w:val="32"/>
          <w:jc w:val="center"/>
        </w:pPr>
        <w:r>
          <w:fldChar w:fldCharType="begin"/>
        </w:r>
        <w:r>
          <w:instrText xml:space="preserve">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CA06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BC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18217">
    <w:pPr>
      <w:pStyle w:val="38"/>
      <w:pBdr>
        <w:bottom w:val="single" w:color="D3DCE6" w:sz="4" w:space="0"/>
      </w:pBdr>
      <w:jc w:val="right"/>
      <w:rPr>
        <w:rFonts w:asciiTheme="minorHAnsi" w:hAnsiTheme="minorHAnsi"/>
        <w:b/>
        <w:bCs/>
        <w:i w:val="0"/>
        <w:iCs w:val="0"/>
        <w:color w:val="10253F" w:themeColor="text2" w:themeShade="80"/>
        <w:lang w:val="ru-RU"/>
      </w:rPr>
    </w:pPr>
    <w:r>
      <w:rPr>
        <w:rFonts w:asciiTheme="minorHAnsi" w:hAnsiTheme="minorHAnsi"/>
        <w:b/>
        <w:bCs/>
        <w:i w:val="0"/>
        <w:iCs w:val="0"/>
        <w:color w:val="10253F" w:themeColor="text2" w:themeShade="80"/>
        <w:sz w:val="16"/>
        <w:lang w:val="ru-RU"/>
      </w:rPr>
      <w:t>«БАЙҒАНИН» ИНДУСТРИЯЛЫҚ АЙМАҒЫН ҚҰРУ ТҰЖЫРЫМДАМАСЫ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9BAD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BFE3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BD5921"/>
    <w:multiLevelType w:val="multilevel"/>
    <w:tmpl w:val="05BD5921"/>
    <w:lvl w:ilvl="0" w:tentative="0">
      <w:start w:val="1"/>
      <w:numFmt w:val="bullet"/>
      <w:pStyle w:val="28"/>
      <w:lvlText w:val=""/>
      <w:lvlJc w:val="left"/>
      <w:pPr>
        <w:tabs>
          <w:tab w:val="left" w:pos="360"/>
        </w:tabs>
        <w:ind w:left="36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2D32221E"/>
    <w:multiLevelType w:val="multilevel"/>
    <w:tmpl w:val="2D32221E"/>
    <w:lvl w:ilvl="0" w:tentative="0">
      <w:start w:val="1"/>
      <w:numFmt w:val="decimal"/>
      <w:pStyle w:val="34"/>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2E2205C5"/>
    <w:multiLevelType w:val="multilevel"/>
    <w:tmpl w:val="2E2205C5"/>
    <w:lvl w:ilvl="0" w:tentative="0">
      <w:start w:val="1"/>
      <w:numFmt w:val="bullet"/>
      <w:lvlText w:val=""/>
      <w:lvlJc w:val="left"/>
      <w:pPr>
        <w:ind w:left="1230" w:hanging="360"/>
      </w:pPr>
      <w:rPr>
        <w:rFonts w:hint="default" w:ascii="Wingdings" w:hAnsi="Wingdings"/>
      </w:rPr>
    </w:lvl>
    <w:lvl w:ilvl="1" w:tentative="0">
      <w:start w:val="1"/>
      <w:numFmt w:val="bullet"/>
      <w:lvlText w:val="o"/>
      <w:lvlJc w:val="left"/>
      <w:pPr>
        <w:ind w:left="1950" w:hanging="360"/>
      </w:pPr>
      <w:rPr>
        <w:rFonts w:hint="default" w:ascii="Courier New" w:hAnsi="Courier New" w:cs="Courier New"/>
      </w:rPr>
    </w:lvl>
    <w:lvl w:ilvl="2" w:tentative="0">
      <w:start w:val="1"/>
      <w:numFmt w:val="bullet"/>
      <w:lvlText w:val=""/>
      <w:lvlJc w:val="left"/>
      <w:pPr>
        <w:ind w:left="2670" w:hanging="360"/>
      </w:pPr>
      <w:rPr>
        <w:rFonts w:hint="default" w:ascii="Wingdings" w:hAnsi="Wingdings"/>
      </w:rPr>
    </w:lvl>
    <w:lvl w:ilvl="3" w:tentative="0">
      <w:start w:val="1"/>
      <w:numFmt w:val="bullet"/>
      <w:lvlText w:val=""/>
      <w:lvlJc w:val="left"/>
      <w:pPr>
        <w:ind w:left="3390" w:hanging="360"/>
      </w:pPr>
      <w:rPr>
        <w:rFonts w:hint="default" w:ascii="Symbol" w:hAnsi="Symbol"/>
      </w:rPr>
    </w:lvl>
    <w:lvl w:ilvl="4" w:tentative="0">
      <w:start w:val="1"/>
      <w:numFmt w:val="bullet"/>
      <w:lvlText w:val="o"/>
      <w:lvlJc w:val="left"/>
      <w:pPr>
        <w:ind w:left="4110" w:hanging="360"/>
      </w:pPr>
      <w:rPr>
        <w:rFonts w:hint="default" w:ascii="Courier New" w:hAnsi="Courier New" w:cs="Courier New"/>
      </w:rPr>
    </w:lvl>
    <w:lvl w:ilvl="5" w:tentative="0">
      <w:start w:val="1"/>
      <w:numFmt w:val="bullet"/>
      <w:lvlText w:val=""/>
      <w:lvlJc w:val="left"/>
      <w:pPr>
        <w:ind w:left="4830" w:hanging="360"/>
      </w:pPr>
      <w:rPr>
        <w:rFonts w:hint="default" w:ascii="Wingdings" w:hAnsi="Wingdings"/>
      </w:rPr>
    </w:lvl>
    <w:lvl w:ilvl="6" w:tentative="0">
      <w:start w:val="1"/>
      <w:numFmt w:val="bullet"/>
      <w:lvlText w:val=""/>
      <w:lvlJc w:val="left"/>
      <w:pPr>
        <w:ind w:left="5550" w:hanging="360"/>
      </w:pPr>
      <w:rPr>
        <w:rFonts w:hint="default" w:ascii="Symbol" w:hAnsi="Symbol"/>
      </w:rPr>
    </w:lvl>
    <w:lvl w:ilvl="7" w:tentative="0">
      <w:start w:val="1"/>
      <w:numFmt w:val="bullet"/>
      <w:lvlText w:val="o"/>
      <w:lvlJc w:val="left"/>
      <w:pPr>
        <w:ind w:left="6270" w:hanging="360"/>
      </w:pPr>
      <w:rPr>
        <w:rFonts w:hint="default" w:ascii="Courier New" w:hAnsi="Courier New" w:cs="Courier New"/>
      </w:rPr>
    </w:lvl>
    <w:lvl w:ilvl="8" w:tentative="0">
      <w:start w:val="1"/>
      <w:numFmt w:val="bullet"/>
      <w:lvlText w:val=""/>
      <w:lvlJc w:val="left"/>
      <w:pPr>
        <w:ind w:left="6990" w:hanging="360"/>
      </w:pPr>
      <w:rPr>
        <w:rFonts w:hint="default" w:ascii="Wingdings" w:hAnsi="Wingdings"/>
      </w:rPr>
    </w:lvl>
  </w:abstractNum>
  <w:abstractNum w:abstractNumId="3">
    <w:nsid w:val="3D9A078A"/>
    <w:multiLevelType w:val="multilevel"/>
    <w:tmpl w:val="3D9A078A"/>
    <w:lvl w:ilvl="0" w:tentative="0">
      <w:start w:val="1"/>
      <w:numFmt w:val="bullet"/>
      <w:lvlText w:val=""/>
      <w:lvlJc w:val="left"/>
      <w:pPr>
        <w:ind w:left="1230" w:hanging="360"/>
      </w:pPr>
      <w:rPr>
        <w:rFonts w:hint="default" w:ascii="Wingdings" w:hAnsi="Wingdings"/>
      </w:rPr>
    </w:lvl>
    <w:lvl w:ilvl="1" w:tentative="0">
      <w:start w:val="1"/>
      <w:numFmt w:val="bullet"/>
      <w:lvlText w:val="o"/>
      <w:lvlJc w:val="left"/>
      <w:pPr>
        <w:ind w:left="1950" w:hanging="360"/>
      </w:pPr>
      <w:rPr>
        <w:rFonts w:hint="default" w:ascii="Courier New" w:hAnsi="Courier New" w:cs="Courier New"/>
      </w:rPr>
    </w:lvl>
    <w:lvl w:ilvl="2" w:tentative="0">
      <w:start w:val="1"/>
      <w:numFmt w:val="bullet"/>
      <w:lvlText w:val=""/>
      <w:lvlJc w:val="left"/>
      <w:pPr>
        <w:ind w:left="2670" w:hanging="360"/>
      </w:pPr>
      <w:rPr>
        <w:rFonts w:hint="default" w:ascii="Wingdings" w:hAnsi="Wingdings"/>
      </w:rPr>
    </w:lvl>
    <w:lvl w:ilvl="3" w:tentative="0">
      <w:start w:val="1"/>
      <w:numFmt w:val="bullet"/>
      <w:lvlText w:val=""/>
      <w:lvlJc w:val="left"/>
      <w:pPr>
        <w:ind w:left="3390" w:hanging="360"/>
      </w:pPr>
      <w:rPr>
        <w:rFonts w:hint="default" w:ascii="Symbol" w:hAnsi="Symbol"/>
      </w:rPr>
    </w:lvl>
    <w:lvl w:ilvl="4" w:tentative="0">
      <w:start w:val="1"/>
      <w:numFmt w:val="bullet"/>
      <w:lvlText w:val="o"/>
      <w:lvlJc w:val="left"/>
      <w:pPr>
        <w:ind w:left="4110" w:hanging="360"/>
      </w:pPr>
      <w:rPr>
        <w:rFonts w:hint="default" w:ascii="Courier New" w:hAnsi="Courier New" w:cs="Courier New"/>
      </w:rPr>
    </w:lvl>
    <w:lvl w:ilvl="5" w:tentative="0">
      <w:start w:val="1"/>
      <w:numFmt w:val="bullet"/>
      <w:lvlText w:val=""/>
      <w:lvlJc w:val="left"/>
      <w:pPr>
        <w:ind w:left="4830" w:hanging="360"/>
      </w:pPr>
      <w:rPr>
        <w:rFonts w:hint="default" w:ascii="Wingdings" w:hAnsi="Wingdings"/>
      </w:rPr>
    </w:lvl>
    <w:lvl w:ilvl="6" w:tentative="0">
      <w:start w:val="1"/>
      <w:numFmt w:val="bullet"/>
      <w:lvlText w:val=""/>
      <w:lvlJc w:val="left"/>
      <w:pPr>
        <w:ind w:left="5550" w:hanging="360"/>
      </w:pPr>
      <w:rPr>
        <w:rFonts w:hint="default" w:ascii="Symbol" w:hAnsi="Symbol"/>
      </w:rPr>
    </w:lvl>
    <w:lvl w:ilvl="7" w:tentative="0">
      <w:start w:val="1"/>
      <w:numFmt w:val="bullet"/>
      <w:lvlText w:val="o"/>
      <w:lvlJc w:val="left"/>
      <w:pPr>
        <w:ind w:left="6270" w:hanging="360"/>
      </w:pPr>
      <w:rPr>
        <w:rFonts w:hint="default" w:ascii="Courier New" w:hAnsi="Courier New" w:cs="Courier New"/>
      </w:rPr>
    </w:lvl>
    <w:lvl w:ilvl="8" w:tentative="0">
      <w:start w:val="1"/>
      <w:numFmt w:val="bullet"/>
      <w:lvlText w:val=""/>
      <w:lvlJc w:val="left"/>
      <w:pPr>
        <w:ind w:left="6990" w:hanging="360"/>
      </w:pPr>
      <w:rPr>
        <w:rFonts w:hint="default" w:ascii="Wingdings" w:hAnsi="Wingdings"/>
      </w:rPr>
    </w:lvl>
  </w:abstractNum>
  <w:abstractNum w:abstractNumId="4">
    <w:nsid w:val="4E4E40DD"/>
    <w:multiLevelType w:val="multilevel"/>
    <w:tmpl w:val="4E4E40DD"/>
    <w:lvl w:ilvl="0" w:tentative="0">
      <w:start w:val="1"/>
      <w:numFmt w:val="decimal"/>
      <w:pStyle w:val="19"/>
      <w:lvlText w:val="%1."/>
      <w:lvlJc w:val="left"/>
      <w:pPr>
        <w:tabs>
          <w:tab w:val="left" w:pos="1080"/>
        </w:tabs>
        <w:ind w:left="108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5D321B6B"/>
    <w:multiLevelType w:val="multilevel"/>
    <w:tmpl w:val="5D321B6B"/>
    <w:lvl w:ilvl="0" w:tentative="0">
      <w:start w:val="1"/>
      <w:numFmt w:val="bullet"/>
      <w:pStyle w:val="29"/>
      <w:lvlText w:val=""/>
      <w:lvlJc w:val="left"/>
      <w:pPr>
        <w:tabs>
          <w:tab w:val="left" w:pos="720"/>
        </w:tabs>
        <w:ind w:left="72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6">
    <w:nsid w:val="639F146E"/>
    <w:multiLevelType w:val="multilevel"/>
    <w:tmpl w:val="639F146E"/>
    <w:lvl w:ilvl="0" w:tentative="0">
      <w:start w:val="1"/>
      <w:numFmt w:val="bullet"/>
      <w:pStyle w:val="30"/>
      <w:lvlText w:val=""/>
      <w:lvlJc w:val="left"/>
      <w:pPr>
        <w:tabs>
          <w:tab w:val="left" w:pos="1080"/>
        </w:tabs>
        <w:ind w:left="108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7">
    <w:nsid w:val="6B06071C"/>
    <w:multiLevelType w:val="multilevel"/>
    <w:tmpl w:val="6B06071C"/>
    <w:lvl w:ilvl="0" w:tentative="0">
      <w:start w:val="1"/>
      <w:numFmt w:val="decimal"/>
      <w:pStyle w:val="33"/>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8">
    <w:nsid w:val="7A474DB8"/>
    <w:multiLevelType w:val="multilevel"/>
    <w:tmpl w:val="7A474DB8"/>
    <w:lvl w:ilvl="0" w:tentative="0">
      <w:start w:val="1"/>
      <w:numFmt w:val="bullet"/>
      <w:lvlText w:val=""/>
      <w:lvlJc w:val="left"/>
      <w:pPr>
        <w:ind w:left="1230" w:hanging="360"/>
      </w:pPr>
      <w:rPr>
        <w:rFonts w:hint="default" w:ascii="Wingdings" w:hAnsi="Wingdings"/>
      </w:rPr>
    </w:lvl>
    <w:lvl w:ilvl="1" w:tentative="0">
      <w:start w:val="1"/>
      <w:numFmt w:val="bullet"/>
      <w:lvlText w:val="o"/>
      <w:lvlJc w:val="left"/>
      <w:pPr>
        <w:ind w:left="1950" w:hanging="360"/>
      </w:pPr>
      <w:rPr>
        <w:rFonts w:hint="default" w:ascii="Courier New" w:hAnsi="Courier New" w:cs="Courier New"/>
      </w:rPr>
    </w:lvl>
    <w:lvl w:ilvl="2" w:tentative="0">
      <w:start w:val="1"/>
      <w:numFmt w:val="bullet"/>
      <w:lvlText w:val=""/>
      <w:lvlJc w:val="left"/>
      <w:pPr>
        <w:ind w:left="2670" w:hanging="360"/>
      </w:pPr>
      <w:rPr>
        <w:rFonts w:hint="default" w:ascii="Wingdings" w:hAnsi="Wingdings"/>
      </w:rPr>
    </w:lvl>
    <w:lvl w:ilvl="3" w:tentative="0">
      <w:start w:val="1"/>
      <w:numFmt w:val="bullet"/>
      <w:lvlText w:val=""/>
      <w:lvlJc w:val="left"/>
      <w:pPr>
        <w:ind w:left="3390" w:hanging="360"/>
      </w:pPr>
      <w:rPr>
        <w:rFonts w:hint="default" w:ascii="Symbol" w:hAnsi="Symbol"/>
      </w:rPr>
    </w:lvl>
    <w:lvl w:ilvl="4" w:tentative="0">
      <w:start w:val="1"/>
      <w:numFmt w:val="bullet"/>
      <w:lvlText w:val="o"/>
      <w:lvlJc w:val="left"/>
      <w:pPr>
        <w:ind w:left="4110" w:hanging="360"/>
      </w:pPr>
      <w:rPr>
        <w:rFonts w:hint="default" w:ascii="Courier New" w:hAnsi="Courier New" w:cs="Courier New"/>
      </w:rPr>
    </w:lvl>
    <w:lvl w:ilvl="5" w:tentative="0">
      <w:start w:val="1"/>
      <w:numFmt w:val="bullet"/>
      <w:lvlText w:val=""/>
      <w:lvlJc w:val="left"/>
      <w:pPr>
        <w:ind w:left="4830" w:hanging="360"/>
      </w:pPr>
      <w:rPr>
        <w:rFonts w:hint="default" w:ascii="Wingdings" w:hAnsi="Wingdings"/>
      </w:rPr>
    </w:lvl>
    <w:lvl w:ilvl="6" w:tentative="0">
      <w:start w:val="1"/>
      <w:numFmt w:val="bullet"/>
      <w:lvlText w:val=""/>
      <w:lvlJc w:val="left"/>
      <w:pPr>
        <w:ind w:left="5550" w:hanging="360"/>
      </w:pPr>
      <w:rPr>
        <w:rFonts w:hint="default" w:ascii="Symbol" w:hAnsi="Symbol"/>
      </w:rPr>
    </w:lvl>
    <w:lvl w:ilvl="7" w:tentative="0">
      <w:start w:val="1"/>
      <w:numFmt w:val="bullet"/>
      <w:lvlText w:val="o"/>
      <w:lvlJc w:val="left"/>
      <w:pPr>
        <w:ind w:left="6270" w:hanging="360"/>
      </w:pPr>
      <w:rPr>
        <w:rFonts w:hint="default" w:ascii="Courier New" w:hAnsi="Courier New" w:cs="Courier New"/>
      </w:rPr>
    </w:lvl>
    <w:lvl w:ilvl="8" w:tentative="0">
      <w:start w:val="1"/>
      <w:numFmt w:val="bullet"/>
      <w:lvlText w:val=""/>
      <w:lvlJc w:val="left"/>
      <w:pPr>
        <w:ind w:left="6990" w:hanging="360"/>
      </w:pPr>
      <w:rPr>
        <w:rFonts w:hint="default" w:ascii="Wingdings" w:hAnsi="Wingdings"/>
      </w:rPr>
    </w:lvl>
  </w:abstractNum>
  <w:num w:numId="1">
    <w:abstractNumId w:val="4"/>
  </w:num>
  <w:num w:numId="2">
    <w:abstractNumId w:val="0"/>
  </w:num>
  <w:num w:numId="3">
    <w:abstractNumId w:val="5"/>
  </w:num>
  <w:num w:numId="4">
    <w:abstractNumId w:val="6"/>
  </w:num>
  <w:num w:numId="5">
    <w:abstractNumId w:val="7"/>
  </w:num>
  <w:num w:numId="6">
    <w:abstractNumId w:val="1"/>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autoHyphenation/>
  <w:hyphenationZone w:val="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C6"/>
    <w:rsid w:val="00042FC4"/>
    <w:rsid w:val="0004790E"/>
    <w:rsid w:val="00070171"/>
    <w:rsid w:val="00086175"/>
    <w:rsid w:val="000A3EE2"/>
    <w:rsid w:val="000A6431"/>
    <w:rsid w:val="000F59C5"/>
    <w:rsid w:val="00112F1B"/>
    <w:rsid w:val="00121C29"/>
    <w:rsid w:val="0012437A"/>
    <w:rsid w:val="00125C53"/>
    <w:rsid w:val="0012675B"/>
    <w:rsid w:val="00135A12"/>
    <w:rsid w:val="001533F8"/>
    <w:rsid w:val="0022299F"/>
    <w:rsid w:val="00225DE9"/>
    <w:rsid w:val="0028429B"/>
    <w:rsid w:val="002963EF"/>
    <w:rsid w:val="002B5D2D"/>
    <w:rsid w:val="002C2A8D"/>
    <w:rsid w:val="0034330C"/>
    <w:rsid w:val="00356ED7"/>
    <w:rsid w:val="003613DF"/>
    <w:rsid w:val="00384170"/>
    <w:rsid w:val="00394A62"/>
    <w:rsid w:val="003C418F"/>
    <w:rsid w:val="003C45BB"/>
    <w:rsid w:val="003F3B74"/>
    <w:rsid w:val="00454153"/>
    <w:rsid w:val="0046408C"/>
    <w:rsid w:val="004832A8"/>
    <w:rsid w:val="004A1052"/>
    <w:rsid w:val="004A645A"/>
    <w:rsid w:val="00545C50"/>
    <w:rsid w:val="00567A05"/>
    <w:rsid w:val="00574DD6"/>
    <w:rsid w:val="005837DA"/>
    <w:rsid w:val="005978AE"/>
    <w:rsid w:val="005C70A6"/>
    <w:rsid w:val="005D29E5"/>
    <w:rsid w:val="005E3A87"/>
    <w:rsid w:val="00664BA6"/>
    <w:rsid w:val="006866E0"/>
    <w:rsid w:val="006D6B24"/>
    <w:rsid w:val="007237E9"/>
    <w:rsid w:val="007C6051"/>
    <w:rsid w:val="007D5FE8"/>
    <w:rsid w:val="007F595A"/>
    <w:rsid w:val="0082477C"/>
    <w:rsid w:val="00845BA0"/>
    <w:rsid w:val="00890911"/>
    <w:rsid w:val="00946B2E"/>
    <w:rsid w:val="0096257E"/>
    <w:rsid w:val="00991011"/>
    <w:rsid w:val="009D4C8B"/>
    <w:rsid w:val="00A3178F"/>
    <w:rsid w:val="00B1161D"/>
    <w:rsid w:val="00B6342C"/>
    <w:rsid w:val="00BC7FCC"/>
    <w:rsid w:val="00C64D63"/>
    <w:rsid w:val="00C654C6"/>
    <w:rsid w:val="00CA00B6"/>
    <w:rsid w:val="00CA1406"/>
    <w:rsid w:val="00CD557E"/>
    <w:rsid w:val="00D2066D"/>
    <w:rsid w:val="00DB228F"/>
    <w:rsid w:val="00E15A94"/>
    <w:rsid w:val="00E52AB0"/>
    <w:rsid w:val="00F11F02"/>
    <w:rsid w:val="00F15E6F"/>
    <w:rsid w:val="00F363B3"/>
    <w:rsid w:val="00FA47D7"/>
    <w:rsid w:val="00FA54D3"/>
    <w:rsid w:val="012D2CB8"/>
    <w:rsid w:val="419B2661"/>
    <w:rsid w:val="4ABF6698"/>
    <w:rsid w:val="7C4F7C82"/>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uppressAutoHyphens/>
      <w:spacing w:after="120" w:line="288" w:lineRule="auto"/>
      <w:ind w:firstLine="510"/>
      <w:jc w:val="both"/>
    </w:pPr>
    <w:rPr>
      <w:rFonts w:ascii="Times New Roman" w:hAnsi="Times New Roman" w:eastAsia="MS Mincho" w:cstheme="minorBidi"/>
      <w:color w:val="181F2D"/>
      <w:sz w:val="24"/>
      <w:szCs w:val="22"/>
      <w:lang w:val="en-US" w:eastAsia="en-US" w:bidi="ar-SA"/>
    </w:rPr>
  </w:style>
  <w:style w:type="paragraph" w:styleId="2">
    <w:name w:val="heading 1"/>
    <w:basedOn w:val="1"/>
    <w:next w:val="1"/>
    <w:link w:val="46"/>
    <w:qFormat/>
    <w:uiPriority w:val="9"/>
    <w:pPr>
      <w:keepNext/>
      <w:keepLines/>
      <w:spacing w:before="320" w:after="200"/>
      <w:ind w:firstLine="0"/>
      <w:jc w:val="left"/>
      <w:outlineLvl w:val="0"/>
    </w:pPr>
    <w:rPr>
      <w:rFonts w:asciiTheme="majorHAnsi" w:hAnsiTheme="majorHAnsi" w:eastAsiaTheme="majorEastAsia" w:cstheme="majorBidi"/>
      <w:b/>
      <w:bCs/>
      <w:color w:val="1B3A5D"/>
      <w:sz w:val="28"/>
      <w:szCs w:val="28"/>
    </w:rPr>
  </w:style>
  <w:style w:type="paragraph" w:styleId="3">
    <w:name w:val="heading 2"/>
    <w:basedOn w:val="1"/>
    <w:next w:val="1"/>
    <w:link w:val="47"/>
    <w:unhideWhenUsed/>
    <w:qFormat/>
    <w:uiPriority w:val="9"/>
    <w:pPr>
      <w:keepNext/>
      <w:keepLines/>
      <w:spacing w:before="220"/>
      <w:ind w:firstLine="0"/>
      <w:jc w:val="left"/>
      <w:outlineLvl w:val="1"/>
    </w:pPr>
    <w:rPr>
      <w:rFonts w:asciiTheme="majorHAnsi" w:hAnsiTheme="majorHAnsi" w:eastAsiaTheme="majorEastAsia" w:cstheme="majorBidi"/>
      <w:b/>
      <w:bCs/>
      <w:color w:val="1B3A5D"/>
      <w:szCs w:val="26"/>
    </w:rPr>
  </w:style>
  <w:style w:type="paragraph" w:styleId="4">
    <w:name w:val="heading 3"/>
    <w:basedOn w:val="1"/>
    <w:next w:val="1"/>
    <w:link w:val="48"/>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7"/>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8"/>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9"/>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60"/>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62"/>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qFormat/>
    <w:uiPriority w:val="0"/>
    <w:rPr>
      <w:color w:val="000080"/>
      <w:u w:val="single"/>
    </w:rPr>
  </w:style>
  <w:style w:type="character" w:styleId="15">
    <w:name w:val="Strong"/>
    <w:basedOn w:val="11"/>
    <w:qFormat/>
    <w:uiPriority w:val="22"/>
    <w:rPr>
      <w:b/>
      <w:bCs/>
    </w:rPr>
  </w:style>
  <w:style w:type="paragraph" w:styleId="16">
    <w:name w:val="List Continue"/>
    <w:basedOn w:val="1"/>
    <w:unhideWhenUsed/>
    <w:qFormat/>
    <w:uiPriority w:val="99"/>
    <w:pPr>
      <w:ind w:left="360"/>
      <w:contextualSpacing/>
    </w:pPr>
  </w:style>
  <w:style w:type="paragraph" w:styleId="17">
    <w:name w:val="Body Text 2"/>
    <w:basedOn w:val="1"/>
    <w:link w:val="52"/>
    <w:unhideWhenUsed/>
    <w:qFormat/>
    <w:uiPriority w:val="99"/>
    <w:pPr>
      <w:spacing w:line="480" w:lineRule="auto"/>
    </w:pPr>
  </w:style>
  <w:style w:type="paragraph" w:styleId="1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9">
    <w:name w:val="List Number 3"/>
    <w:basedOn w:val="1"/>
    <w:unhideWhenUsed/>
    <w:qFormat/>
    <w:uiPriority w:val="99"/>
    <w:pPr>
      <w:numPr>
        <w:ilvl w:val="0"/>
        <w:numId w:val="1"/>
      </w:numPr>
      <w:contextualSpacing/>
    </w:pPr>
  </w:style>
  <w:style w:type="paragraph" w:styleId="20">
    <w:name w:val="header"/>
    <w:basedOn w:val="1"/>
    <w:link w:val="44"/>
    <w:unhideWhenUsed/>
    <w:qFormat/>
    <w:uiPriority w:val="99"/>
    <w:pPr>
      <w:tabs>
        <w:tab w:val="center" w:pos="4680"/>
        <w:tab w:val="right" w:pos="9360"/>
      </w:tabs>
      <w:spacing w:after="0" w:line="240" w:lineRule="auto"/>
    </w:pPr>
  </w:style>
  <w:style w:type="paragraph" w:styleId="21">
    <w:name w:val="Body Text"/>
    <w:basedOn w:val="1"/>
    <w:link w:val="51"/>
    <w:unhideWhenUsed/>
    <w:qFormat/>
    <w:uiPriority w:val="99"/>
  </w:style>
  <w:style w:type="paragraph" w:styleId="22">
    <w:name w:val="index heading"/>
    <w:basedOn w:val="23"/>
    <w:qFormat/>
    <w:uiPriority w:val="0"/>
  </w:style>
  <w:style w:type="paragraph" w:customStyle="1" w:styleId="23">
    <w:name w:val="Heading"/>
    <w:basedOn w:val="1"/>
    <w:next w:val="21"/>
    <w:qFormat/>
    <w:uiPriority w:val="0"/>
    <w:pPr>
      <w:keepNext/>
      <w:spacing w:before="240"/>
    </w:pPr>
    <w:rPr>
      <w:rFonts w:ascii="Liberation Sans" w:hAnsi="Liberation Sans" w:eastAsia="Noto Sans CJK SC" w:cs="Lohit Devanagari"/>
      <w:sz w:val="28"/>
      <w:szCs w:val="28"/>
    </w:rPr>
  </w:style>
  <w:style w:type="paragraph" w:styleId="24">
    <w:name w:val="toc 1"/>
    <w:basedOn w:val="25"/>
    <w:qFormat/>
    <w:uiPriority w:val="0"/>
    <w:pPr>
      <w:tabs>
        <w:tab w:val="right" w:leader="dot" w:pos="9299"/>
      </w:tabs>
      <w:ind w:firstLine="0"/>
      <w:jc w:val="left"/>
    </w:pPr>
    <w:rPr>
      <w:b/>
      <w:color w:val="263F5B"/>
    </w:rPr>
  </w:style>
  <w:style w:type="paragraph" w:customStyle="1" w:styleId="25">
    <w:name w:val="Index"/>
    <w:basedOn w:val="1"/>
    <w:qFormat/>
    <w:uiPriority w:val="0"/>
    <w:pPr>
      <w:suppressLineNumbers/>
    </w:pPr>
    <w:rPr>
      <w:rFonts w:cs="Lohit Devanagari"/>
    </w:rPr>
  </w:style>
  <w:style w:type="paragraph" w:styleId="26">
    <w:name w:val="macro"/>
    <w:link w:val="54"/>
    <w:unhideWhenUsed/>
    <w:qFormat/>
    <w:uiPriority w:val="99"/>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eastAsiaTheme="minorEastAsia" w:cstheme="minorBidi"/>
      <w:sz w:val="20"/>
      <w:szCs w:val="20"/>
      <w:lang w:val="en-US" w:eastAsia="en-US" w:bidi="ar-SA"/>
    </w:rPr>
  </w:style>
  <w:style w:type="paragraph" w:styleId="27">
    <w:name w:val="toc 2"/>
    <w:basedOn w:val="25"/>
    <w:qFormat/>
    <w:uiPriority w:val="0"/>
    <w:pPr>
      <w:tabs>
        <w:tab w:val="right" w:leader="dot" w:pos="9016"/>
      </w:tabs>
      <w:ind w:left="283" w:firstLine="0"/>
      <w:jc w:val="left"/>
    </w:pPr>
  </w:style>
  <w:style w:type="paragraph" w:styleId="28">
    <w:name w:val="List Bullet"/>
    <w:basedOn w:val="1"/>
    <w:unhideWhenUsed/>
    <w:qFormat/>
    <w:uiPriority w:val="99"/>
    <w:pPr>
      <w:numPr>
        <w:ilvl w:val="0"/>
        <w:numId w:val="2"/>
      </w:numPr>
      <w:contextualSpacing/>
    </w:pPr>
  </w:style>
  <w:style w:type="paragraph" w:styleId="29">
    <w:name w:val="List Bullet 2"/>
    <w:basedOn w:val="1"/>
    <w:unhideWhenUsed/>
    <w:qFormat/>
    <w:uiPriority w:val="99"/>
    <w:pPr>
      <w:numPr>
        <w:ilvl w:val="0"/>
        <w:numId w:val="3"/>
      </w:numPr>
      <w:contextualSpacing/>
    </w:pPr>
  </w:style>
  <w:style w:type="paragraph" w:styleId="30">
    <w:name w:val="List Bullet 3"/>
    <w:basedOn w:val="1"/>
    <w:unhideWhenUsed/>
    <w:qFormat/>
    <w:uiPriority w:val="99"/>
    <w:pPr>
      <w:numPr>
        <w:ilvl w:val="0"/>
        <w:numId w:val="4"/>
      </w:numPr>
      <w:contextualSpacing/>
    </w:pPr>
  </w:style>
  <w:style w:type="paragraph" w:styleId="31">
    <w:name w:val="Title"/>
    <w:basedOn w:val="1"/>
    <w:next w:val="1"/>
    <w:link w:val="4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
      <w:sz w:val="52"/>
      <w:szCs w:val="52"/>
    </w:rPr>
  </w:style>
  <w:style w:type="paragraph" w:styleId="32">
    <w:name w:val="footer"/>
    <w:basedOn w:val="1"/>
    <w:link w:val="45"/>
    <w:unhideWhenUsed/>
    <w:qFormat/>
    <w:uiPriority w:val="99"/>
    <w:pPr>
      <w:tabs>
        <w:tab w:val="center" w:pos="4680"/>
        <w:tab w:val="right" w:pos="9360"/>
      </w:tabs>
      <w:spacing w:after="0" w:line="240" w:lineRule="auto"/>
    </w:pPr>
  </w:style>
  <w:style w:type="paragraph" w:styleId="33">
    <w:name w:val="List Number"/>
    <w:basedOn w:val="1"/>
    <w:unhideWhenUsed/>
    <w:qFormat/>
    <w:uiPriority w:val="99"/>
    <w:pPr>
      <w:numPr>
        <w:ilvl w:val="0"/>
        <w:numId w:val="5"/>
      </w:numPr>
      <w:contextualSpacing/>
    </w:pPr>
  </w:style>
  <w:style w:type="paragraph" w:styleId="34">
    <w:name w:val="List Number 2"/>
    <w:basedOn w:val="1"/>
    <w:unhideWhenUsed/>
    <w:qFormat/>
    <w:uiPriority w:val="99"/>
    <w:pPr>
      <w:numPr>
        <w:ilvl w:val="0"/>
        <w:numId w:val="6"/>
      </w:numPr>
      <w:contextualSpacing/>
    </w:pPr>
  </w:style>
  <w:style w:type="paragraph" w:styleId="35">
    <w:name w:val="List"/>
    <w:basedOn w:val="1"/>
    <w:unhideWhenUsed/>
    <w:qFormat/>
    <w:uiPriority w:val="99"/>
    <w:pPr>
      <w:ind w:left="360" w:hanging="360"/>
      <w:contextualSpacing/>
    </w:pPr>
  </w:style>
  <w:style w:type="paragraph" w:styleId="36">
    <w:name w:val="Normal (Web)"/>
    <w:basedOn w:val="1"/>
    <w:semiHidden/>
    <w:unhideWhenUsed/>
    <w:qFormat/>
    <w:uiPriority w:val="99"/>
    <w:pPr>
      <w:suppressAutoHyphens w:val="0"/>
      <w:spacing w:before="100" w:beforeAutospacing="1" w:after="100" w:afterAutospacing="1" w:line="240" w:lineRule="auto"/>
      <w:ind w:firstLine="0"/>
      <w:jc w:val="left"/>
    </w:pPr>
    <w:rPr>
      <w:rFonts w:eastAsia="Times New Roman" w:cs="Times New Roman"/>
      <w:color w:val="auto"/>
      <w:szCs w:val="24"/>
      <w:lang w:val="ru-RU" w:eastAsia="ru-RU"/>
    </w:rPr>
  </w:style>
  <w:style w:type="paragraph" w:styleId="37">
    <w:name w:val="Body Text 3"/>
    <w:basedOn w:val="1"/>
    <w:link w:val="53"/>
    <w:unhideWhenUsed/>
    <w:qFormat/>
    <w:uiPriority w:val="99"/>
    <w:rPr>
      <w:sz w:val="16"/>
      <w:szCs w:val="16"/>
    </w:rPr>
  </w:style>
  <w:style w:type="paragraph" w:styleId="38">
    <w:name w:val="Subtitle"/>
    <w:basedOn w:val="1"/>
    <w:next w:val="1"/>
    <w:link w:val="50"/>
    <w:qFormat/>
    <w:uiPriority w:val="11"/>
    <w:pPr>
      <w:ind w:firstLine="0"/>
    </w:pPr>
    <w:rPr>
      <w:rFonts w:asciiTheme="majorHAnsi" w:hAnsiTheme="majorHAnsi" w:eastAsiaTheme="majorEastAsia" w:cstheme="majorBidi"/>
      <w:i/>
      <w:iCs/>
      <w:color w:val="5D6773"/>
      <w:spacing w:val="15"/>
      <w:sz w:val="22"/>
      <w:szCs w:val="24"/>
    </w:rPr>
  </w:style>
  <w:style w:type="paragraph" w:styleId="39">
    <w:name w:val="List Continue 2"/>
    <w:basedOn w:val="1"/>
    <w:unhideWhenUsed/>
    <w:qFormat/>
    <w:uiPriority w:val="99"/>
    <w:pPr>
      <w:ind w:left="720"/>
      <w:contextualSpacing/>
    </w:pPr>
  </w:style>
  <w:style w:type="paragraph" w:styleId="40">
    <w:name w:val="List Continue 3"/>
    <w:basedOn w:val="1"/>
    <w:unhideWhenUsed/>
    <w:qFormat/>
    <w:uiPriority w:val="99"/>
    <w:pPr>
      <w:ind w:left="1080"/>
      <w:contextualSpacing/>
    </w:pPr>
  </w:style>
  <w:style w:type="paragraph" w:styleId="41">
    <w:name w:val="List 2"/>
    <w:basedOn w:val="1"/>
    <w:unhideWhenUsed/>
    <w:qFormat/>
    <w:uiPriority w:val="99"/>
    <w:pPr>
      <w:ind w:left="720" w:hanging="360"/>
      <w:contextualSpacing/>
    </w:pPr>
  </w:style>
  <w:style w:type="paragraph" w:styleId="42">
    <w:name w:val="List 3"/>
    <w:basedOn w:val="1"/>
    <w:unhideWhenUsed/>
    <w:qFormat/>
    <w:uiPriority w:val="99"/>
    <w:pPr>
      <w:ind w:left="1080" w:hanging="360"/>
      <w:contextualSpacing/>
    </w:pPr>
  </w:style>
  <w:style w:type="table" w:styleId="4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4">
    <w:name w:val="Верхний колонтитул Знак"/>
    <w:basedOn w:val="11"/>
    <w:link w:val="20"/>
    <w:qFormat/>
    <w:uiPriority w:val="99"/>
  </w:style>
  <w:style w:type="character" w:customStyle="1" w:styleId="45">
    <w:name w:val="Нижний колонтитул Знак"/>
    <w:basedOn w:val="11"/>
    <w:link w:val="32"/>
    <w:qFormat/>
    <w:uiPriority w:val="99"/>
  </w:style>
  <w:style w:type="character" w:customStyle="1" w:styleId="46">
    <w:name w:val="Заголовок 1 Знак"/>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7">
    <w:name w:val="Заголовок 2 Знак"/>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8">
    <w:name w:val="Заголовок 3 Знак"/>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9">
    <w:name w:val="Заголовок Знак"/>
    <w:basedOn w:val="11"/>
    <w:link w:val="31"/>
    <w:qFormat/>
    <w:uiPriority w:val="10"/>
    <w:rPr>
      <w:rFonts w:asciiTheme="majorHAnsi" w:hAnsiTheme="majorHAnsi" w:eastAsiaTheme="majorEastAsia" w:cstheme="majorBidi"/>
      <w:color w:val="17375E" w:themeColor="text2" w:themeShade="BF"/>
      <w:spacing w:val="5"/>
      <w:kern w:val="2"/>
      <w:sz w:val="52"/>
      <w:szCs w:val="52"/>
    </w:rPr>
  </w:style>
  <w:style w:type="character" w:customStyle="1" w:styleId="50">
    <w:name w:val="Подзаголовок Знак"/>
    <w:basedOn w:val="11"/>
    <w:link w:val="3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51">
    <w:name w:val="Основной текст Знак"/>
    <w:basedOn w:val="11"/>
    <w:link w:val="21"/>
    <w:qFormat/>
    <w:uiPriority w:val="99"/>
  </w:style>
  <w:style w:type="character" w:customStyle="1" w:styleId="52">
    <w:name w:val="Основной текст 2 Знак"/>
    <w:basedOn w:val="11"/>
    <w:link w:val="17"/>
    <w:qFormat/>
    <w:uiPriority w:val="99"/>
  </w:style>
  <w:style w:type="character" w:customStyle="1" w:styleId="53">
    <w:name w:val="Основной текст 3 Знак"/>
    <w:basedOn w:val="11"/>
    <w:link w:val="37"/>
    <w:qFormat/>
    <w:uiPriority w:val="99"/>
    <w:rPr>
      <w:sz w:val="16"/>
      <w:szCs w:val="16"/>
    </w:rPr>
  </w:style>
  <w:style w:type="character" w:customStyle="1" w:styleId="54">
    <w:name w:val="Текст макроса Знак"/>
    <w:basedOn w:val="11"/>
    <w:link w:val="26"/>
    <w:qFormat/>
    <w:uiPriority w:val="99"/>
    <w:rPr>
      <w:rFonts w:ascii="Courier" w:hAnsi="Courier"/>
      <w:sz w:val="20"/>
      <w:szCs w:val="20"/>
    </w:rPr>
  </w:style>
  <w:style w:type="character" w:customStyle="1" w:styleId="55">
    <w:name w:val="Цитата 2 Знак"/>
    <w:basedOn w:val="11"/>
    <w:link w:val="56"/>
    <w:qFormat/>
    <w:uiPriority w:val="29"/>
    <w:rPr>
      <w:i/>
      <w:iCs/>
      <w:color w:val="000000" w:themeColor="text1"/>
      <w14:textFill>
        <w14:solidFill>
          <w14:schemeClr w14:val="tx1"/>
        </w14:solidFill>
      </w14:textFill>
    </w:rPr>
  </w:style>
  <w:style w:type="paragraph" w:styleId="56">
    <w:name w:val="Quote"/>
    <w:basedOn w:val="1"/>
    <w:next w:val="1"/>
    <w:link w:val="55"/>
    <w:qFormat/>
    <w:uiPriority w:val="29"/>
    <w:rPr>
      <w:i/>
      <w:iCs/>
      <w:color w:val="000000" w:themeColor="text1"/>
      <w14:textFill>
        <w14:solidFill>
          <w14:schemeClr w14:val="tx1"/>
        </w14:solidFill>
      </w14:textFill>
    </w:rPr>
  </w:style>
  <w:style w:type="character" w:customStyle="1" w:styleId="57">
    <w:name w:val="Заголовок 4 Знак"/>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8">
    <w:name w:val="Заголовок 5 Знак"/>
    <w:basedOn w:val="11"/>
    <w:link w:val="6"/>
    <w:semiHidden/>
    <w:qFormat/>
    <w:uiPriority w:val="9"/>
    <w:rPr>
      <w:rFonts w:asciiTheme="majorHAnsi" w:hAnsiTheme="majorHAnsi" w:eastAsiaTheme="majorEastAsia" w:cstheme="majorBidi"/>
      <w:color w:val="254061" w:themeColor="accent1" w:themeShade="80"/>
    </w:rPr>
  </w:style>
  <w:style w:type="character" w:customStyle="1" w:styleId="59">
    <w:name w:val="Заголовок 6 Знак"/>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60">
    <w:name w:val="Заголовок 7 Знак"/>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61">
    <w:name w:val="Заголовок 8 Знак"/>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62">
    <w:name w:val="Заголовок 9 Знак"/>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63">
    <w:name w:val="Выделенная цитата Знак"/>
    <w:basedOn w:val="11"/>
    <w:link w:val="64"/>
    <w:qFormat/>
    <w:uiPriority w:val="30"/>
    <w:rPr>
      <w:b/>
      <w:bCs/>
      <w:i/>
      <w:iCs/>
      <w:color w:val="4F81BD" w:themeColor="accent1"/>
      <w14:textFill>
        <w14:solidFill>
          <w14:schemeClr w14:val="accent1"/>
        </w14:solidFill>
      </w14:textFill>
    </w:rPr>
  </w:style>
  <w:style w:type="paragraph" w:styleId="64">
    <w:name w:val="Intense Quote"/>
    <w:basedOn w:val="1"/>
    <w:next w:val="1"/>
    <w:link w:val="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65">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6">
    <w:name w:val="Intense Emphasis"/>
    <w:basedOn w:val="11"/>
    <w:qFormat/>
    <w:uiPriority w:val="21"/>
    <w:rPr>
      <w:b/>
      <w:bCs/>
      <w:i/>
      <w:iCs/>
      <w:color w:val="4F81BD" w:themeColor="accent1"/>
      <w14:textFill>
        <w14:solidFill>
          <w14:schemeClr w14:val="accent1"/>
        </w14:solidFill>
      </w14:textFill>
    </w:rPr>
  </w:style>
  <w:style w:type="character" w:customStyle="1" w:styleId="67">
    <w:name w:val="Subtle Reference"/>
    <w:basedOn w:val="11"/>
    <w:qFormat/>
    <w:uiPriority w:val="31"/>
    <w:rPr>
      <w:smallCaps/>
      <w:color w:val="C0504D" w:themeColor="accent2"/>
      <w:u w:val="single"/>
      <w14:textFill>
        <w14:solidFill>
          <w14:schemeClr w14:val="accent2"/>
        </w14:solidFill>
      </w14:textFill>
    </w:rPr>
  </w:style>
  <w:style w:type="character" w:customStyle="1" w:styleId="68">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9">
    <w:name w:val="Book Title"/>
    <w:basedOn w:val="11"/>
    <w:qFormat/>
    <w:uiPriority w:val="33"/>
    <w:rPr>
      <w:b/>
      <w:bCs/>
      <w:smallCaps/>
      <w:spacing w:val="5"/>
    </w:rPr>
  </w:style>
  <w:style w:type="character" w:customStyle="1" w:styleId="70">
    <w:name w:val="Index Link"/>
    <w:qFormat/>
    <w:uiPriority w:val="0"/>
  </w:style>
  <w:style w:type="paragraph" w:customStyle="1" w:styleId="71">
    <w:name w:val="Header and Footer"/>
    <w:basedOn w:val="1"/>
    <w:qFormat/>
    <w:uiPriority w:val="0"/>
  </w:style>
  <w:style w:type="paragraph" w:styleId="72">
    <w:name w:val="No Spacing"/>
    <w:qFormat/>
    <w:uiPriority w:val="1"/>
    <w:pPr>
      <w:suppressAutoHyphens/>
    </w:pPr>
    <w:rPr>
      <w:rFonts w:asciiTheme="minorHAnsi" w:hAnsiTheme="minorHAnsi" w:eastAsiaTheme="minorEastAsia" w:cstheme="minorBidi"/>
      <w:sz w:val="22"/>
      <w:szCs w:val="22"/>
      <w:lang w:val="en-US" w:eastAsia="en-US" w:bidi="ar-SA"/>
    </w:rPr>
  </w:style>
  <w:style w:type="paragraph" w:styleId="73">
    <w:name w:val="List Paragraph"/>
    <w:basedOn w:val="1"/>
    <w:qFormat/>
    <w:uiPriority w:val="34"/>
    <w:pPr>
      <w:ind w:left="720"/>
      <w:contextualSpacing/>
    </w:pPr>
  </w:style>
  <w:style w:type="paragraph" w:customStyle="1" w:styleId="74">
    <w:name w:val="TOC Heading"/>
    <w:basedOn w:val="2"/>
    <w:next w:val="1"/>
    <w:semiHidden/>
    <w:unhideWhenUsed/>
    <w:qFormat/>
    <w:uiPriority w:val="39"/>
    <w:pPr>
      <w:outlineLvl w:val="9"/>
    </w:pPr>
  </w:style>
  <w:style w:type="paragraph" w:customStyle="1" w:styleId="75">
    <w:name w:val="TableNote"/>
    <w:qFormat/>
    <w:uiPriority w:val="0"/>
    <w:pPr>
      <w:suppressAutoHyphens/>
      <w:spacing w:after="80" w:line="276" w:lineRule="auto"/>
    </w:pPr>
    <w:rPr>
      <w:rFonts w:ascii="Times New Roman" w:hAnsi="Times New Roman" w:eastAsia="MS Mincho" w:cstheme="minorBidi"/>
      <w:i/>
      <w:color w:val="545F6E"/>
      <w:sz w:val="18"/>
      <w:szCs w:val="22"/>
      <w:lang w:val="en-US" w:eastAsia="en-US" w:bidi="ar-SA"/>
    </w:rPr>
  </w:style>
  <w:style w:type="paragraph" w:customStyle="1" w:styleId="76">
    <w:name w:val="CoverTitle"/>
    <w:qFormat/>
    <w:uiPriority w:val="0"/>
    <w:pPr>
      <w:suppressAutoHyphens/>
      <w:spacing w:after="240" w:line="276" w:lineRule="auto"/>
    </w:pPr>
    <w:rPr>
      <w:rFonts w:ascii="Times New Roman" w:hAnsi="Times New Roman" w:eastAsia="MS Mincho" w:cstheme="minorBidi"/>
      <w:b/>
      <w:color w:val="1A395C"/>
      <w:sz w:val="42"/>
      <w:szCs w:val="22"/>
      <w:lang w:val="en-US" w:eastAsia="en-US" w:bidi="ar-SA"/>
    </w:rPr>
  </w:style>
  <w:style w:type="paragraph" w:customStyle="1" w:styleId="77">
    <w:name w:val="CoverKicker"/>
    <w:qFormat/>
    <w:uiPriority w:val="0"/>
    <w:pPr>
      <w:suppressAutoHyphens/>
      <w:spacing w:after="200" w:line="276" w:lineRule="auto"/>
    </w:pPr>
    <w:rPr>
      <w:rFonts w:ascii="Times New Roman" w:hAnsi="Times New Roman" w:eastAsia="MS Mincho" w:cstheme="minorBidi"/>
      <w:color w:val="374B67"/>
      <w:sz w:val="22"/>
      <w:szCs w:val="22"/>
      <w:lang w:val="en-US" w:eastAsia="en-US" w:bidi="ar-SA"/>
    </w:rPr>
  </w:style>
  <w:style w:type="table" w:styleId="78">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79">
    <w:name w:val="Light Shading Accent 1"/>
    <w:basedOn w:val="1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80">
    <w:name w:val="Light Shading Accent 2"/>
    <w:basedOn w:val="1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81">
    <w:name w:val="Light Shading Accent 3"/>
    <w:basedOn w:val="1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82">
    <w:name w:val="Light Shading Accent 4"/>
    <w:basedOn w:val="1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83">
    <w:name w:val="Light Shading Accent 5"/>
    <w:basedOn w:val="1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84">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85">
    <w:name w:val="Light List"/>
    <w:basedOn w:val="1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86">
    <w:name w:val="Light List Accent 1"/>
    <w:basedOn w:val="1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87">
    <w:name w:val="Light List Accent 2"/>
    <w:basedOn w:val="1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88">
    <w:name w:val="Light List Accent 3"/>
    <w:basedOn w:val="1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89">
    <w:name w:val="Light List Accent 4"/>
    <w:basedOn w:val="1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90">
    <w:name w:val="Light List Accent 5"/>
    <w:basedOn w:val="1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91">
    <w:name w:val="Light List Accent 6"/>
    <w:basedOn w:val="1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92">
    <w:name w:val="Light Grid"/>
    <w:basedOn w:val="1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93">
    <w:name w:val="Light Grid Accent 1"/>
    <w:basedOn w:val="1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94">
    <w:name w:val="Light Grid Accent 2"/>
    <w:basedOn w:val="1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95">
    <w:name w:val="Light Grid Accent 3"/>
    <w:basedOn w:val="1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96">
    <w:name w:val="Light Grid Accent 4"/>
    <w:basedOn w:val="1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97">
    <w:name w:val="Light Grid Accent 5"/>
    <w:basedOn w:val="1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98">
    <w:name w:val="Light Grid Accent 6"/>
    <w:basedOn w:val="1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99">
    <w:name w:val="Medium Shading 1"/>
    <w:basedOn w:val="1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100">
    <w:name w:val="Medium Shading 1 Accent 1"/>
    <w:basedOn w:val="1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101">
    <w:name w:val="Medium Shading 1 Accent 2"/>
    <w:basedOn w:val="1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102">
    <w:name w:val="Medium Shading 1 Accent 3"/>
    <w:basedOn w:val="1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103">
    <w:name w:val="Medium Shading 1 Accent 4"/>
    <w:basedOn w:val="1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104">
    <w:name w:val="Medium Shading 1 Accent 5"/>
    <w:basedOn w:val="1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105">
    <w:name w:val="Medium Shading 1 Accent 6"/>
    <w:basedOn w:val="1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106">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7">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8">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9">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10">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11">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12">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13">
    <w:name w:val="Medium List 1"/>
    <w:basedOn w:val="1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14">
    <w:name w:val="Medium List 1 Accent 1"/>
    <w:basedOn w:val="1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15">
    <w:name w:val="Medium List 1 Accent 2"/>
    <w:basedOn w:val="1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16">
    <w:name w:val="Medium List 1 Accent 3"/>
    <w:basedOn w:val="1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17">
    <w:name w:val="Medium List 1 Accent 4"/>
    <w:basedOn w:val="1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18">
    <w:name w:val="Medium List 1 Accent 5"/>
    <w:basedOn w:val="1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19">
    <w:name w:val="Medium List 1 Accent 6"/>
    <w:basedOn w:val="1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20">
    <w:name w:val="Medium Lis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21">
    <w:name w:val="Medium List 2 Accent 1"/>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22">
    <w:name w:val="Medium List 2 Accen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23">
    <w:name w:val="Medium List 2 Accent 3"/>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24">
    <w:name w:val="Medium List 2 Accent 4"/>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25">
    <w:name w:val="Medium List 2 Accent 5"/>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26">
    <w:name w:val="Medium List 2 Accent 6"/>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27">
    <w:name w:val="Medium Grid 1"/>
    <w:basedOn w:val="1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cPr>
        <w:tcBorders>
          <w:top w:val="single" w:color="000000" w:themeColor="text1"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28">
    <w:name w:val="Medium Grid 1 Accent 1"/>
    <w:basedOn w:val="1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cPr>
        <w:tcBorders>
          <w:top w:val="single" w:color="4F81BD" w:themeColor="accent1"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29">
    <w:name w:val="Medium Grid 1 Accent 2"/>
    <w:basedOn w:val="1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cPr>
        <w:tcBorders>
          <w:top w:val="single" w:color="C0504D" w:themeColor="accent2"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30">
    <w:name w:val="Medium Grid 1 Accent 3"/>
    <w:basedOn w:val="1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cPr>
        <w:tcBorders>
          <w:top w:val="single" w:color="9BBB59" w:themeColor="accent3"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31">
    <w:name w:val="Medium Grid 1 Accent 4"/>
    <w:basedOn w:val="1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cPr>
        <w:tcBorders>
          <w:top w:val="single" w:color="8064A2" w:themeColor="accent4"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32">
    <w:name w:val="Medium Grid 1 Accent 5"/>
    <w:basedOn w:val="1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cPr>
        <w:tcBorders>
          <w:top w:val="single" w:color="4BACC6" w:themeColor="accent5"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33">
    <w:name w:val="Medium Grid 1 Accent 6"/>
    <w:basedOn w:val="1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cPr>
        <w:tcBorders>
          <w:top w:val="single" w:color="F79646" w:themeColor="accent6"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34">
    <w:name w:val="Medium Grid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35">
    <w:name w:val="Medium Grid 2 Accent 1"/>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36">
    <w:name w:val="Medium Grid 2 Accent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37">
    <w:name w:val="Medium Grid 2 Accent 3"/>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38">
    <w:name w:val="Medium Grid 2 Accent 4"/>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39">
    <w:name w:val="Medium Grid 2 Accent 5"/>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40">
    <w:name w:val="Medium Grid 2 Accent 6"/>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41">
    <w:name w:val="Medium Grid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42">
    <w:name w:val="Medium Grid 3 Accent 1"/>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43">
    <w:name w:val="Medium Grid 3 Accent 2"/>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44">
    <w:name w:val="Medium Grid 3 Accent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45">
    <w:name w:val="Medium Grid 3 Accent 4"/>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46">
    <w:name w:val="Medium Grid 3 Accent 5"/>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47">
    <w:name w:val="Medium Grid 3 Accent 6"/>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48">
    <w:name w:val="Dark List"/>
    <w:basedOn w:val="12"/>
    <w:qFormat/>
    <w:uiPriority w:val="70"/>
    <w:rPr>
      <w:color w:val="FFFFFF" w:themeColor="background1"/>
      <w14:textFill>
        <w14:solidFill>
          <w14:schemeClr w14:val="bg1"/>
        </w14:solidFill>
      </w14:textFill>
    </w:r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49">
    <w:name w:val="Dark List Accent 1"/>
    <w:basedOn w:val="12"/>
    <w:qFormat/>
    <w:uiPriority w:val="70"/>
    <w:rPr>
      <w:color w:val="FFFFFF" w:themeColor="background1"/>
      <w14:textFill>
        <w14:solidFill>
          <w14:schemeClr w14:val="bg1"/>
        </w14:solidFill>
      </w14:textFill>
    </w:r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50">
    <w:name w:val="Dark List Accent 2"/>
    <w:basedOn w:val="12"/>
    <w:qFormat/>
    <w:uiPriority w:val="70"/>
    <w:rPr>
      <w:color w:val="FFFFFF" w:themeColor="background1"/>
      <w14:textFill>
        <w14:solidFill>
          <w14:schemeClr w14:val="bg1"/>
        </w14:solidFill>
      </w14:textFill>
    </w:r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51">
    <w:name w:val="Dark List Accent 3"/>
    <w:basedOn w:val="12"/>
    <w:qFormat/>
    <w:uiPriority w:val="70"/>
    <w:rPr>
      <w:color w:val="FFFFFF" w:themeColor="background1"/>
      <w14:textFill>
        <w14:solidFill>
          <w14:schemeClr w14:val="bg1"/>
        </w14:solidFill>
      </w14:textFill>
    </w:r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52">
    <w:name w:val="Dark List Accent 4"/>
    <w:basedOn w:val="12"/>
    <w:qFormat/>
    <w:uiPriority w:val="70"/>
    <w:rPr>
      <w:color w:val="FFFFFF" w:themeColor="background1"/>
      <w14:textFill>
        <w14:solidFill>
          <w14:schemeClr w14:val="bg1"/>
        </w14:solidFill>
      </w14:textFill>
    </w:r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53">
    <w:name w:val="Dark List Accent 5"/>
    <w:basedOn w:val="12"/>
    <w:qFormat/>
    <w:uiPriority w:val="70"/>
    <w:rPr>
      <w:color w:val="FFFFFF" w:themeColor="background1"/>
      <w14:textFill>
        <w14:solidFill>
          <w14:schemeClr w14:val="bg1"/>
        </w14:solidFill>
      </w14:textFill>
    </w:r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54">
    <w:name w:val="Dark List Accent 6"/>
    <w:basedOn w:val="12"/>
    <w:qFormat/>
    <w:uiPriority w:val="70"/>
    <w:rPr>
      <w:color w:val="FFFFFF" w:themeColor="background1"/>
      <w14:textFill>
        <w14:solidFill>
          <w14:schemeClr w14:val="bg1"/>
        </w14:solidFill>
      </w14:textFill>
    </w:r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55">
    <w:name w:val="Colorful Shading"/>
    <w:basedOn w:val="1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6">
    <w:name w:val="Colorful Shading Accent 1"/>
    <w:basedOn w:val="1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7">
    <w:name w:val="Colorful Shading Accent 2"/>
    <w:basedOn w:val="1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8">
    <w:name w:val="Colorful Shading Accent 3"/>
    <w:basedOn w:val="1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59">
    <w:name w:val="Colorful Shading Accent 4"/>
    <w:basedOn w:val="1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0">
    <w:name w:val="Colorful Shading Accent 5"/>
    <w:basedOn w:val="1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1">
    <w:name w:val="Colorful Shading Accent 6"/>
    <w:basedOn w:val="1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2">
    <w:name w:val="Colorful List"/>
    <w:basedOn w:val="12"/>
    <w:qFormat/>
    <w:uiPriority w:val="72"/>
    <w:rPr>
      <w:color w:val="000000" w:themeColor="text1"/>
      <w14:textFill>
        <w14:solidFill>
          <w14:schemeClr w14:val="tx1"/>
        </w14:solidFill>
      </w14:textFill>
    </w:r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63">
    <w:name w:val="Colorful List Accent 1"/>
    <w:basedOn w:val="12"/>
    <w:qFormat/>
    <w:uiPriority w:val="72"/>
    <w:rPr>
      <w:color w:val="000000" w:themeColor="text1"/>
      <w14:textFill>
        <w14:solidFill>
          <w14:schemeClr w14:val="tx1"/>
        </w14:solidFill>
      </w14:textFill>
    </w:r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64">
    <w:name w:val="Colorful List Accent 2"/>
    <w:basedOn w:val="12"/>
    <w:qFormat/>
    <w:uiPriority w:val="72"/>
    <w:rPr>
      <w:color w:val="000000" w:themeColor="text1"/>
      <w14:textFill>
        <w14:solidFill>
          <w14:schemeClr w14:val="tx1"/>
        </w14:solidFill>
      </w14:textFill>
    </w:r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65">
    <w:name w:val="Colorful List Accent 3"/>
    <w:basedOn w:val="12"/>
    <w:qFormat/>
    <w:uiPriority w:val="72"/>
    <w:rPr>
      <w:color w:val="000000" w:themeColor="text1"/>
      <w14:textFill>
        <w14:solidFill>
          <w14:schemeClr w14:val="tx1"/>
        </w14:solidFill>
      </w14:textFill>
    </w:r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66">
    <w:name w:val="Colorful List Accent 4"/>
    <w:basedOn w:val="12"/>
    <w:qFormat/>
    <w:uiPriority w:val="72"/>
    <w:rPr>
      <w:color w:val="000000" w:themeColor="text1"/>
      <w14:textFill>
        <w14:solidFill>
          <w14:schemeClr w14:val="tx1"/>
        </w14:solidFill>
      </w14:textFill>
    </w:r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67">
    <w:name w:val="Colorful List Accent 5"/>
    <w:basedOn w:val="12"/>
    <w:qFormat/>
    <w:uiPriority w:val="72"/>
    <w:rPr>
      <w:color w:val="000000" w:themeColor="text1"/>
      <w14:textFill>
        <w14:solidFill>
          <w14:schemeClr w14:val="tx1"/>
        </w14:solidFill>
      </w14:textFill>
    </w:r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68">
    <w:name w:val="Colorful List Accent 6"/>
    <w:basedOn w:val="12"/>
    <w:qFormat/>
    <w:uiPriority w:val="72"/>
    <w:rPr>
      <w:color w:val="000000" w:themeColor="text1"/>
      <w14:textFill>
        <w14:solidFill>
          <w14:schemeClr w14:val="tx1"/>
        </w14:solidFill>
      </w14:textFill>
    </w:r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69">
    <w:name w:val="Colorful Grid"/>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70">
    <w:name w:val="Colorful Grid Accent 1"/>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71">
    <w:name w:val="Colorful Grid Accent 2"/>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72">
    <w:name w:val="Colorful Grid Accent 3"/>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73">
    <w:name w:val="Colorful Grid Accent 4"/>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74">
    <w:name w:val="Colorful Grid Accent 5"/>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75">
    <w:name w:val="Colorful Grid Accent 6"/>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jpe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bmp"/></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70</Pages>
  <Words>947</Words>
  <Characters>7069</Characters>
  <Lines>1410</Lines>
  <Paragraphs>397</Paragraphs>
  <TotalTime>2</TotalTime>
  <ScaleCrop>false</ScaleCrop>
  <LinksUpToDate>false</LinksUpToDate>
  <CharactersWithSpaces>8050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2026-10-12T21:42:00Z</dcterms:created>
  <dc:creator>Adilbek Tokayev</dc:creator>
  <cp:lastModifiedBy>Dana White</cp:lastModifiedBy>
  <dcterms:modified xsi:type="dcterms:W3CDTF">2026-11-03T14:48:57Z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eyJoZGlkIjoiZTkyNmVhYTA4N2FhZTY5Y2I3MGFjNzI2ZjhlN2IwNjQiLCJ1c2VySWQiOiI1MzYwMTM3NDQxNDI3In0=</vt:lpwstr>
  </property>
  <property fmtid="{D5CDD505-2E9C-101B-9397-08002B2CF9AE}" pid="3" name="KSOProductBuildVer">
    <vt:lpwstr>1049-12.1.0.29162</vt:lpwstr>
  </property>
  <property fmtid="{D5CDD505-2E9C-101B-9397-08002B2CF9AE}" pid="4" name="ICV">
    <vt:lpwstr>3869B76A558947B9A9C9E9405587C6CE_13</vt:lpwstr>
  </property>
</Properties>
</file>