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8E3" w:rsidRPr="00900757" w:rsidRDefault="009838E3" w:rsidP="009838E3">
      <w:pPr>
        <w:pStyle w:val="a5"/>
        <w:jc w:val="center"/>
        <w:rPr>
          <w:rFonts w:ascii="Times New Roman" w:hAnsi="Times New Roman"/>
          <w:b/>
          <w:sz w:val="24"/>
          <w:szCs w:val="24"/>
          <w:lang w:val="en-US"/>
        </w:rPr>
      </w:pPr>
    </w:p>
    <w:p w:rsidR="00825D8B" w:rsidRDefault="00825D8B" w:rsidP="00825D8B">
      <w:pPr>
        <w:pStyle w:val="a5"/>
        <w:jc w:val="center"/>
        <w:rPr>
          <w:rFonts w:ascii="Times New Roman" w:hAnsi="Times New Roman"/>
          <w:b/>
          <w:sz w:val="28"/>
          <w:szCs w:val="28"/>
        </w:rPr>
      </w:pPr>
      <w:r>
        <w:rPr>
          <w:rFonts w:ascii="Times New Roman" w:hAnsi="Times New Roman"/>
          <w:b/>
          <w:sz w:val="28"/>
          <w:szCs w:val="28"/>
        </w:rPr>
        <w:t>Информационное сообщение</w:t>
      </w:r>
    </w:p>
    <w:p w:rsidR="00446A9E" w:rsidRDefault="00446A9E" w:rsidP="00825D8B">
      <w:pPr>
        <w:pStyle w:val="a5"/>
        <w:jc w:val="center"/>
        <w:rPr>
          <w:rFonts w:ascii="Times New Roman" w:hAnsi="Times New Roman"/>
          <w:b/>
          <w:sz w:val="28"/>
          <w:szCs w:val="28"/>
        </w:rPr>
      </w:pPr>
    </w:p>
    <w:p w:rsidR="007D7F96" w:rsidRDefault="00825D8B" w:rsidP="007D7F96">
      <w:pPr>
        <w:pStyle w:val="a5"/>
        <w:jc w:val="center"/>
        <w:rPr>
          <w:rFonts w:ascii="Times New Roman" w:hAnsi="Times New Roman"/>
          <w:b/>
          <w:sz w:val="24"/>
          <w:szCs w:val="24"/>
        </w:rPr>
      </w:pPr>
      <w:r>
        <w:rPr>
          <w:rFonts w:ascii="Times New Roman" w:eastAsia="Times New Roman" w:hAnsi="Times New Roman"/>
          <w:bCs/>
          <w:color w:val="333333"/>
          <w:sz w:val="24"/>
          <w:szCs w:val="24"/>
          <w:lang w:eastAsia="ru-RU"/>
        </w:rPr>
        <w:tab/>
      </w:r>
      <w:r w:rsidR="007D7F96">
        <w:rPr>
          <w:rFonts w:ascii="Times New Roman" w:hAnsi="Times New Roman"/>
          <w:b/>
          <w:sz w:val="24"/>
          <w:szCs w:val="24"/>
        </w:rPr>
        <w:t>Растет количество вкладчиков, передающих пенсионные накопления УИП.</w:t>
      </w:r>
    </w:p>
    <w:p w:rsidR="007D7F96" w:rsidRDefault="007D7F96" w:rsidP="007D7F96">
      <w:pPr>
        <w:pStyle w:val="a5"/>
        <w:jc w:val="center"/>
        <w:rPr>
          <w:rFonts w:ascii="Times New Roman" w:hAnsi="Times New Roman"/>
          <w:b/>
          <w:i/>
          <w:sz w:val="24"/>
          <w:szCs w:val="24"/>
        </w:rPr>
      </w:pPr>
    </w:p>
    <w:p w:rsidR="007D7F96" w:rsidRDefault="007D7F96" w:rsidP="007D7F96">
      <w:pPr>
        <w:pStyle w:val="a5"/>
        <w:jc w:val="center"/>
        <w:rPr>
          <w:rFonts w:ascii="Times New Roman" w:hAnsi="Times New Roman"/>
          <w:b/>
          <w:i/>
          <w:sz w:val="24"/>
          <w:szCs w:val="24"/>
        </w:rPr>
      </w:pPr>
      <w:r>
        <w:rPr>
          <w:rFonts w:ascii="Times New Roman" w:hAnsi="Times New Roman"/>
          <w:b/>
          <w:i/>
          <w:sz w:val="24"/>
          <w:szCs w:val="24"/>
        </w:rPr>
        <w:t>Чем полезен и удобен инвестпортал invest.enpf.kz?</w:t>
      </w:r>
    </w:p>
    <w:p w:rsidR="007D7F96" w:rsidRDefault="007D7F96" w:rsidP="007D7F96">
      <w:pPr>
        <w:pStyle w:val="a5"/>
        <w:jc w:val="both"/>
        <w:rPr>
          <w:rFonts w:ascii="Times New Roman" w:hAnsi="Times New Roman"/>
          <w:b/>
          <w:sz w:val="28"/>
          <w:szCs w:val="28"/>
        </w:rPr>
      </w:pPr>
    </w:p>
    <w:p w:rsidR="007D7F96" w:rsidRDefault="007D7F96" w:rsidP="007D7F96">
      <w:pPr>
        <w:pStyle w:val="af7"/>
        <w:ind w:left="0" w:firstLine="567"/>
        <w:jc w:val="both"/>
        <w:rPr>
          <w:color w:val="000000" w:themeColor="text1"/>
          <w:u w:val="single"/>
          <w:lang w:eastAsia="en-US"/>
        </w:rPr>
      </w:pPr>
      <w:r>
        <w:rPr>
          <w:color w:val="000000" w:themeColor="text1"/>
          <w:u w:val="single"/>
        </w:rPr>
        <w:t>Как было</w:t>
      </w:r>
    </w:p>
    <w:p w:rsidR="007D7F96" w:rsidRDefault="007D7F96" w:rsidP="007D7F96">
      <w:pPr>
        <w:pStyle w:val="af7"/>
        <w:ind w:left="0" w:firstLine="567"/>
        <w:jc w:val="both"/>
        <w:rPr>
          <w:color w:val="000000" w:themeColor="text1"/>
        </w:rPr>
      </w:pPr>
      <w:r>
        <w:rPr>
          <w:color w:val="000000" w:themeColor="text1"/>
        </w:rPr>
        <w:t xml:space="preserve">С 2021 года вкладчикам было разрешено передавать часть своих накоплений в управление частным компаниям в пределах суммы, превышающей порог минимальной достаточности. С июля 2023 года Социальный Кодекс расширил возможности передачи управляющим инвестиционным портфелем до 50% обязательных и обязательных профессиональных пенсионных взносов и до 100% добровольных.  </w:t>
      </w:r>
    </w:p>
    <w:p w:rsidR="007D7F96" w:rsidRDefault="007D7F96" w:rsidP="007D7F96">
      <w:pPr>
        <w:pStyle w:val="af7"/>
        <w:ind w:left="0" w:firstLine="567"/>
        <w:jc w:val="both"/>
        <w:rPr>
          <w:color w:val="000000" w:themeColor="text1"/>
          <w:u w:val="single"/>
        </w:rPr>
      </w:pPr>
      <w:r>
        <w:rPr>
          <w:color w:val="000000" w:themeColor="text1"/>
          <w:u w:val="single"/>
        </w:rPr>
        <w:t>Как стало</w:t>
      </w:r>
    </w:p>
    <w:p w:rsidR="007D7F96" w:rsidRDefault="007D7F96" w:rsidP="007D7F96">
      <w:pPr>
        <w:pStyle w:val="af7"/>
        <w:ind w:left="0" w:firstLine="567"/>
        <w:jc w:val="both"/>
        <w:rPr>
          <w:b/>
          <w:color w:val="000000" w:themeColor="text1"/>
        </w:rPr>
      </w:pPr>
      <w:r>
        <w:rPr>
          <w:color w:val="000000" w:themeColor="text1"/>
        </w:rPr>
        <w:t xml:space="preserve">С сентября 2026 года вступили в силу законодательные изменения, которые предоставляют вкладчикам право передавать в частное управление по своему выбору как добровольные пенсионные накопления, так и пенсионные накопления, сформированные за счет обязательных пенсионных взносов и обязательных профессиональных пенсионных взносов, </w:t>
      </w:r>
      <w:r>
        <w:rPr>
          <w:b/>
          <w:color w:val="000000" w:themeColor="text1"/>
        </w:rPr>
        <w:t>в полном объеме.</w:t>
      </w:r>
    </w:p>
    <w:p w:rsidR="007D7F96" w:rsidRDefault="007D7F96" w:rsidP="007D7F96">
      <w:pPr>
        <w:pStyle w:val="af7"/>
        <w:ind w:left="0" w:firstLine="567"/>
        <w:jc w:val="both"/>
        <w:rPr>
          <w:color w:val="000000" w:themeColor="text1"/>
          <w:u w:val="single"/>
        </w:rPr>
      </w:pPr>
      <w:r>
        <w:rPr>
          <w:color w:val="000000" w:themeColor="text1"/>
          <w:u w:val="single"/>
        </w:rPr>
        <w:t>Как повлияло</w:t>
      </w:r>
    </w:p>
    <w:p w:rsidR="007D7F96" w:rsidRPr="007D7F96" w:rsidRDefault="007D7F96" w:rsidP="007D7F96">
      <w:pPr>
        <w:pStyle w:val="a7"/>
        <w:spacing w:before="0" w:beforeAutospacing="0" w:after="0" w:afterAutospacing="0" w:line="240" w:lineRule="auto"/>
        <w:ind w:firstLine="709"/>
        <w:jc w:val="both"/>
        <w:rPr>
          <w:rFonts w:ascii="Times New Roman" w:hAnsi="Times New Roman"/>
          <w:sz w:val="24"/>
          <w:szCs w:val="24"/>
        </w:rPr>
      </w:pPr>
      <w:r w:rsidRPr="007D7F96">
        <w:rPr>
          <w:rStyle w:val="af9"/>
          <w:rFonts w:ascii="Times New Roman" w:hAnsi="Times New Roman"/>
          <w:b w:val="0"/>
          <w:sz w:val="24"/>
          <w:szCs w:val="24"/>
        </w:rPr>
        <w:t xml:space="preserve">Принятое нововведение дало вкладчикам больше возможностей самостоятельно влиять на доходность своих накоплений – он </w:t>
      </w:r>
      <w:r w:rsidRPr="007D7F96">
        <w:rPr>
          <w:rFonts w:ascii="Times New Roman" w:hAnsi="Times New Roman"/>
          <w:sz w:val="24"/>
          <w:szCs w:val="24"/>
        </w:rPr>
        <w:t xml:space="preserve">вправе самостоятельно выбирать, кто и по какой инвестиционной стратегии будет управлять его пенсионными активами. При этом накопления можно распределять между несколькими УИП и инвестиционными портфелями и появляется больше вариантов управления пенсионным капиталом. Таким образом, пенсионная система постепенно переходит от модели, где вкладчик выступал в роли пассивного наблюдателя, к системе, предполагающей осознанное участие человека в управлении собственными долгосрочными пенсионными сбережениями.  </w:t>
      </w:r>
    </w:p>
    <w:p w:rsidR="007D7F96" w:rsidRPr="007D7F96" w:rsidRDefault="007D7F96" w:rsidP="007D7F96">
      <w:pPr>
        <w:pStyle w:val="a7"/>
        <w:spacing w:before="0" w:beforeAutospacing="0" w:after="0" w:afterAutospacing="0"/>
        <w:ind w:firstLine="567"/>
        <w:jc w:val="both"/>
        <w:rPr>
          <w:rStyle w:val="af9"/>
          <w:rFonts w:ascii="Times New Roman" w:hAnsi="Times New Roman"/>
          <w:b w:val="0"/>
          <w:u w:val="single"/>
        </w:rPr>
      </w:pPr>
      <w:r w:rsidRPr="007D7F96">
        <w:rPr>
          <w:rStyle w:val="af9"/>
          <w:rFonts w:ascii="Times New Roman" w:hAnsi="Times New Roman"/>
          <w:b w:val="0"/>
          <w:sz w:val="24"/>
          <w:szCs w:val="24"/>
          <w:u w:val="single"/>
        </w:rPr>
        <w:t>Об инвестпортале</w:t>
      </w:r>
    </w:p>
    <w:p w:rsidR="007D7F96" w:rsidRPr="007D7F96" w:rsidRDefault="007D7F96" w:rsidP="007D7F96">
      <w:pPr>
        <w:pStyle w:val="a7"/>
        <w:spacing w:before="0" w:beforeAutospacing="0" w:after="0" w:afterAutospacing="0" w:line="240" w:lineRule="auto"/>
        <w:ind w:firstLine="709"/>
        <w:jc w:val="both"/>
        <w:rPr>
          <w:rFonts w:ascii="Times New Roman" w:hAnsi="Times New Roman"/>
        </w:rPr>
      </w:pPr>
      <w:r w:rsidRPr="007D7F96">
        <w:rPr>
          <w:rFonts w:ascii="Times New Roman" w:hAnsi="Times New Roman"/>
          <w:sz w:val="24"/>
          <w:szCs w:val="24"/>
        </w:rPr>
        <w:t>Последовательное расширение возможностей выбора инвестиционной стратегии, повышение доступности информации об управлении пенсионными активами создают</w:t>
      </w:r>
    </w:p>
    <w:p w:rsidR="007D7F96" w:rsidRPr="007D7F96" w:rsidRDefault="007D7F96" w:rsidP="007D7F96">
      <w:pPr>
        <w:pStyle w:val="a7"/>
        <w:spacing w:before="0" w:beforeAutospacing="0" w:after="0" w:afterAutospacing="0" w:line="240" w:lineRule="auto"/>
        <w:jc w:val="both"/>
        <w:rPr>
          <w:rFonts w:ascii="Times New Roman" w:hAnsi="Times New Roman"/>
          <w:sz w:val="24"/>
          <w:szCs w:val="24"/>
        </w:rPr>
      </w:pPr>
      <w:r w:rsidRPr="007D7F96">
        <w:rPr>
          <w:rFonts w:ascii="Times New Roman" w:hAnsi="Times New Roman"/>
          <w:sz w:val="24"/>
          <w:szCs w:val="24"/>
        </w:rPr>
        <w:t xml:space="preserve">условия для более активного участия вкладчиков в принятии решений, связанных с формированием будущего пенсионного дохода. </w:t>
      </w:r>
    </w:p>
    <w:p w:rsidR="007D7F96" w:rsidRPr="007D7F96" w:rsidRDefault="007D7F96" w:rsidP="007D7F96">
      <w:pPr>
        <w:pStyle w:val="a7"/>
        <w:spacing w:before="0" w:beforeAutospacing="0" w:after="0" w:afterAutospacing="0" w:line="240" w:lineRule="auto"/>
        <w:ind w:firstLine="709"/>
        <w:jc w:val="both"/>
        <w:rPr>
          <w:rFonts w:ascii="Times New Roman" w:hAnsi="Times New Roman"/>
          <w:sz w:val="24"/>
          <w:szCs w:val="24"/>
        </w:rPr>
      </w:pPr>
      <w:r w:rsidRPr="007D7F96">
        <w:rPr>
          <w:rStyle w:val="af9"/>
          <w:rFonts w:ascii="Times New Roman" w:hAnsi="Times New Roman"/>
          <w:b w:val="0"/>
          <w:sz w:val="24"/>
          <w:szCs w:val="24"/>
        </w:rPr>
        <w:t xml:space="preserve">В начале 2026 года ЕНПФ запустил специальный инвестиционный портал </w:t>
      </w:r>
      <w:r w:rsidRPr="007D7F96">
        <w:rPr>
          <w:rFonts w:ascii="Times New Roman" w:hAnsi="Times New Roman"/>
          <w:sz w:val="24"/>
          <w:szCs w:val="24"/>
        </w:rPr>
        <w:t>invest.enpf.kz</w:t>
      </w:r>
      <w:r w:rsidRPr="007D7F96">
        <w:rPr>
          <w:rStyle w:val="af9"/>
          <w:rFonts w:ascii="Times New Roman" w:hAnsi="Times New Roman"/>
          <w:b w:val="0"/>
          <w:sz w:val="24"/>
          <w:szCs w:val="24"/>
        </w:rPr>
        <w:t>, который помогает желающим вкладчикам правильно и оперативно перевести свои накопления в УИП.  В частности,</w:t>
      </w:r>
      <w:r w:rsidRPr="007D7F96">
        <w:rPr>
          <w:rFonts w:ascii="Times New Roman" w:hAnsi="Times New Roman"/>
          <w:sz w:val="24"/>
          <w:szCs w:val="24"/>
        </w:rPr>
        <w:t xml:space="preserve"> основные сведения об управлении пенсионными активами объединены в одном цифровом пространстве и становятся доступным инструментом для принятия собственного решения. </w:t>
      </w:r>
    </w:p>
    <w:p w:rsidR="007D7F96" w:rsidRPr="007D7F96" w:rsidRDefault="007D7F96" w:rsidP="007D7F96">
      <w:pPr>
        <w:pStyle w:val="a7"/>
        <w:spacing w:before="0" w:beforeAutospacing="0" w:after="0" w:afterAutospacing="0" w:line="240" w:lineRule="auto"/>
        <w:ind w:firstLine="708"/>
        <w:jc w:val="both"/>
        <w:rPr>
          <w:rFonts w:ascii="Times New Roman" w:hAnsi="Times New Roman"/>
          <w:sz w:val="24"/>
          <w:szCs w:val="24"/>
        </w:rPr>
      </w:pPr>
      <w:r w:rsidRPr="007D7F96">
        <w:rPr>
          <w:rFonts w:ascii="Times New Roman" w:hAnsi="Times New Roman"/>
          <w:sz w:val="24"/>
          <w:szCs w:val="24"/>
        </w:rPr>
        <w:t>Пользователи инвестпортала имеют возможность:</w:t>
      </w:r>
    </w:p>
    <w:p w:rsidR="007D7F96" w:rsidRPr="007D7F96" w:rsidRDefault="007D7F96" w:rsidP="007D7F96">
      <w:pPr>
        <w:pStyle w:val="a7"/>
        <w:numPr>
          <w:ilvl w:val="0"/>
          <w:numId w:val="31"/>
        </w:numPr>
        <w:spacing w:before="0" w:beforeAutospacing="0" w:after="0" w:afterAutospacing="0" w:line="240" w:lineRule="auto"/>
        <w:jc w:val="both"/>
        <w:rPr>
          <w:rStyle w:val="af9"/>
          <w:rFonts w:ascii="Times New Roman" w:hAnsi="Times New Roman"/>
          <w:b w:val="0"/>
          <w:bCs w:val="0"/>
        </w:rPr>
      </w:pPr>
      <w:r w:rsidRPr="007D7F96">
        <w:rPr>
          <w:rStyle w:val="af9"/>
          <w:rFonts w:ascii="Times New Roman" w:hAnsi="Times New Roman"/>
          <w:b w:val="0"/>
          <w:sz w:val="24"/>
          <w:szCs w:val="24"/>
        </w:rPr>
        <w:t>ознакомиться с базовыми понятиями инвестирования</w:t>
      </w:r>
      <w:r w:rsidRPr="007D7F96">
        <w:rPr>
          <w:rStyle w:val="af9"/>
          <w:rFonts w:ascii="Times New Roman" w:hAnsi="Times New Roman"/>
          <w:b w:val="0"/>
          <w:sz w:val="24"/>
          <w:szCs w:val="24"/>
          <w:lang w:val="kk-KZ"/>
        </w:rPr>
        <w:t>;</w:t>
      </w:r>
    </w:p>
    <w:p w:rsidR="007D7F96" w:rsidRPr="007D7F96" w:rsidRDefault="007D7F96" w:rsidP="007D7F96">
      <w:pPr>
        <w:pStyle w:val="a7"/>
        <w:numPr>
          <w:ilvl w:val="0"/>
          <w:numId w:val="31"/>
        </w:numPr>
        <w:spacing w:before="0" w:beforeAutospacing="0" w:after="0" w:afterAutospacing="0" w:line="240" w:lineRule="auto"/>
        <w:jc w:val="both"/>
        <w:rPr>
          <w:rFonts w:ascii="Times New Roman" w:hAnsi="Times New Roman"/>
        </w:rPr>
      </w:pPr>
      <w:r w:rsidRPr="007D7F96">
        <w:rPr>
          <w:rStyle w:val="af9"/>
          <w:rFonts w:ascii="Times New Roman" w:hAnsi="Times New Roman"/>
          <w:b w:val="0"/>
          <w:sz w:val="24"/>
          <w:szCs w:val="24"/>
          <w:lang w:val="kk-KZ"/>
        </w:rPr>
        <w:t>с</w:t>
      </w:r>
      <w:r w:rsidRPr="007D7F96">
        <w:rPr>
          <w:rStyle w:val="af9"/>
          <w:rFonts w:ascii="Times New Roman" w:hAnsi="Times New Roman"/>
          <w:b w:val="0"/>
          <w:sz w:val="24"/>
          <w:szCs w:val="24"/>
        </w:rPr>
        <w:t>равнить инвестиционную доходность</w:t>
      </w:r>
      <w:r w:rsidRPr="007D7F96">
        <w:rPr>
          <w:rFonts w:ascii="Times New Roman" w:hAnsi="Times New Roman"/>
          <w:sz w:val="24"/>
          <w:szCs w:val="24"/>
        </w:rPr>
        <w:t xml:space="preserve"> управляющих за различные периоды и проследить ее динамику</w:t>
      </w:r>
      <w:r w:rsidRPr="007D7F96">
        <w:rPr>
          <w:rStyle w:val="af9"/>
          <w:rFonts w:ascii="Times New Roman" w:hAnsi="Times New Roman"/>
          <w:b w:val="0"/>
          <w:sz w:val="24"/>
          <w:szCs w:val="24"/>
          <w:lang w:val="kk-KZ"/>
        </w:rPr>
        <w:t>;</w:t>
      </w:r>
    </w:p>
    <w:p w:rsidR="007D7F96" w:rsidRPr="007D7F96" w:rsidRDefault="007D7F96" w:rsidP="007D7F96">
      <w:pPr>
        <w:pStyle w:val="a7"/>
        <w:numPr>
          <w:ilvl w:val="0"/>
          <w:numId w:val="31"/>
        </w:numPr>
        <w:spacing w:before="0" w:beforeAutospacing="0" w:after="0" w:afterAutospacing="0" w:line="240" w:lineRule="auto"/>
        <w:jc w:val="both"/>
        <w:rPr>
          <w:rFonts w:ascii="Times New Roman" w:hAnsi="Times New Roman"/>
          <w:sz w:val="24"/>
          <w:szCs w:val="24"/>
        </w:rPr>
      </w:pPr>
      <w:r w:rsidRPr="007D7F96">
        <w:rPr>
          <w:rStyle w:val="af9"/>
          <w:rFonts w:ascii="Times New Roman" w:hAnsi="Times New Roman"/>
          <w:b w:val="0"/>
          <w:sz w:val="24"/>
          <w:szCs w:val="24"/>
          <w:lang w:val="kk-KZ"/>
        </w:rPr>
        <w:t>и</w:t>
      </w:r>
      <w:r w:rsidRPr="007D7F96">
        <w:rPr>
          <w:rStyle w:val="af9"/>
          <w:rFonts w:ascii="Times New Roman" w:hAnsi="Times New Roman"/>
          <w:b w:val="0"/>
          <w:sz w:val="24"/>
          <w:szCs w:val="24"/>
        </w:rPr>
        <w:t>зучить структуру портфелей</w:t>
      </w:r>
      <w:r w:rsidRPr="007D7F96">
        <w:rPr>
          <w:rFonts w:ascii="Times New Roman" w:hAnsi="Times New Roman"/>
          <w:sz w:val="24"/>
          <w:szCs w:val="24"/>
        </w:rPr>
        <w:t xml:space="preserve"> и узнать, в какие финансовые инструменты размещены пенсионные активы</w:t>
      </w:r>
      <w:r w:rsidRPr="007D7F96">
        <w:rPr>
          <w:rStyle w:val="af9"/>
          <w:rFonts w:ascii="Times New Roman" w:hAnsi="Times New Roman"/>
          <w:b w:val="0"/>
          <w:sz w:val="24"/>
          <w:szCs w:val="24"/>
          <w:lang w:val="kk-KZ"/>
        </w:rPr>
        <w:t>;</w:t>
      </w:r>
    </w:p>
    <w:p w:rsidR="007D7F96" w:rsidRPr="007D7F96" w:rsidRDefault="007D7F96" w:rsidP="007D7F96">
      <w:pPr>
        <w:pStyle w:val="a7"/>
        <w:numPr>
          <w:ilvl w:val="0"/>
          <w:numId w:val="31"/>
        </w:numPr>
        <w:spacing w:before="0" w:beforeAutospacing="0" w:after="0" w:afterAutospacing="0" w:line="240" w:lineRule="auto"/>
        <w:jc w:val="both"/>
        <w:rPr>
          <w:rFonts w:ascii="Times New Roman" w:hAnsi="Times New Roman"/>
          <w:sz w:val="24"/>
          <w:szCs w:val="24"/>
        </w:rPr>
      </w:pPr>
      <w:r w:rsidRPr="007D7F96">
        <w:rPr>
          <w:rStyle w:val="af9"/>
          <w:rFonts w:ascii="Times New Roman" w:hAnsi="Times New Roman"/>
          <w:b w:val="0"/>
          <w:sz w:val="24"/>
          <w:szCs w:val="24"/>
          <w:lang w:val="kk-KZ"/>
        </w:rPr>
        <w:t>изучить</w:t>
      </w:r>
      <w:r w:rsidRPr="007D7F96">
        <w:rPr>
          <w:rStyle w:val="af9"/>
          <w:rFonts w:ascii="Times New Roman" w:hAnsi="Times New Roman"/>
          <w:b w:val="0"/>
          <w:sz w:val="24"/>
          <w:szCs w:val="24"/>
        </w:rPr>
        <w:t xml:space="preserve"> декларации и инвестиционны</w:t>
      </w:r>
      <w:r w:rsidRPr="007D7F96">
        <w:rPr>
          <w:rStyle w:val="af9"/>
          <w:rFonts w:ascii="Times New Roman" w:hAnsi="Times New Roman"/>
          <w:b w:val="0"/>
          <w:sz w:val="24"/>
          <w:szCs w:val="24"/>
          <w:lang w:val="kk-KZ"/>
        </w:rPr>
        <w:t>е</w:t>
      </w:r>
      <w:r w:rsidRPr="007D7F96">
        <w:rPr>
          <w:rStyle w:val="af9"/>
          <w:rFonts w:ascii="Times New Roman" w:hAnsi="Times New Roman"/>
          <w:b w:val="0"/>
          <w:sz w:val="24"/>
          <w:szCs w:val="24"/>
        </w:rPr>
        <w:t xml:space="preserve"> стратегии</w:t>
      </w:r>
      <w:r w:rsidRPr="007D7F96">
        <w:rPr>
          <w:rFonts w:ascii="Times New Roman" w:hAnsi="Times New Roman"/>
          <w:sz w:val="24"/>
          <w:szCs w:val="24"/>
        </w:rPr>
        <w:t>, а также оценить, насколько они подходят именно им</w:t>
      </w:r>
      <w:r w:rsidRPr="007D7F96">
        <w:rPr>
          <w:rStyle w:val="af9"/>
          <w:rFonts w:ascii="Times New Roman" w:hAnsi="Times New Roman"/>
          <w:b w:val="0"/>
          <w:sz w:val="24"/>
          <w:szCs w:val="24"/>
          <w:lang w:val="kk-KZ"/>
        </w:rPr>
        <w:t>;</w:t>
      </w:r>
    </w:p>
    <w:p w:rsidR="007D7F96" w:rsidRPr="007D7F96" w:rsidRDefault="007D7F96" w:rsidP="007D7F96">
      <w:pPr>
        <w:ind w:firstLine="426"/>
        <w:jc w:val="both"/>
        <w:rPr>
          <w:rFonts w:ascii="Times New Roman" w:hAnsi="Times New Roman"/>
          <w:sz w:val="24"/>
          <w:szCs w:val="24"/>
        </w:rPr>
      </w:pPr>
      <w:r w:rsidRPr="007D7F96">
        <w:rPr>
          <w:rFonts w:ascii="Times New Roman" w:hAnsi="Times New Roman"/>
          <w:sz w:val="24"/>
          <w:szCs w:val="24"/>
        </w:rPr>
        <w:t xml:space="preserve">Анализ данных показывает, что вкладчики начинают активнее интересоваться инвестиционными инструментами и стремятся осознанно распоряжаться своими пенсионными накоплениями. Согласно статистике, количество уникальных пользователей порталом invest.enpf.kz </w:t>
      </w:r>
      <w:r w:rsidRPr="007D7F96">
        <w:rPr>
          <w:rFonts w:ascii="Times New Roman" w:hAnsi="Times New Roman"/>
          <w:sz w:val="24"/>
          <w:szCs w:val="24"/>
        </w:rPr>
        <w:lastRenderedPageBreak/>
        <w:t xml:space="preserve">с момента запуска постоянно растет и на 1 октября 2026 года составило порядка 82 тысяч, при этом порядка 27,5 тысяч – в сентябре, когда расширились инвестиционные возможности вкладчиков.  </w:t>
      </w:r>
    </w:p>
    <w:p w:rsidR="007D7F96" w:rsidRDefault="007D7F96" w:rsidP="007D7F96">
      <w:pPr>
        <w:pStyle w:val="a7"/>
        <w:spacing w:before="0" w:beforeAutospacing="0" w:after="0" w:afterAutospacing="0"/>
        <w:ind w:left="720"/>
        <w:jc w:val="both"/>
        <w:rPr>
          <w:rFonts w:ascii="Times New Roman" w:hAnsi="Times New Roman"/>
          <w:sz w:val="24"/>
          <w:szCs w:val="24"/>
          <w:u w:val="single"/>
        </w:rPr>
      </w:pPr>
      <w:r>
        <w:rPr>
          <w:rFonts w:ascii="Times New Roman" w:hAnsi="Times New Roman"/>
          <w:sz w:val="24"/>
          <w:szCs w:val="24"/>
          <w:u w:val="single"/>
        </w:rPr>
        <w:t>Статистика</w:t>
      </w:r>
    </w:p>
    <w:p w:rsidR="007D7F96" w:rsidRDefault="007D7F96" w:rsidP="007D7F96">
      <w:pPr>
        <w:spacing w:after="0" w:line="240" w:lineRule="auto"/>
        <w:ind w:firstLine="426"/>
        <w:contextualSpacing/>
        <w:jc w:val="both"/>
        <w:rPr>
          <w:rFonts w:ascii="Times New Roman" w:hAnsi="Times New Roman"/>
          <w:sz w:val="24"/>
          <w:szCs w:val="24"/>
        </w:rPr>
      </w:pPr>
      <w:r>
        <w:rPr>
          <w:rFonts w:ascii="Times New Roman" w:hAnsi="Times New Roman"/>
          <w:sz w:val="24"/>
          <w:szCs w:val="24"/>
        </w:rPr>
        <w:t>Также статистические данные показывают активный рост количества переводов вкладчиками своих пенсио</w:t>
      </w:r>
      <w:r w:rsidR="000C1F4C">
        <w:rPr>
          <w:rFonts w:ascii="Times New Roman" w:hAnsi="Times New Roman"/>
          <w:sz w:val="24"/>
          <w:szCs w:val="24"/>
        </w:rPr>
        <w:t xml:space="preserve">нных накоплений в УИП. Если за </w:t>
      </w:r>
      <w:r>
        <w:rPr>
          <w:rFonts w:ascii="Times New Roman" w:hAnsi="Times New Roman"/>
          <w:sz w:val="24"/>
          <w:szCs w:val="24"/>
        </w:rPr>
        <w:t>период с 01.01.2026г. по 06.09.2026г. количество таких вкладчиков составило 44 167 человек, а общая сумма – 69,1 млн те</w:t>
      </w:r>
      <w:r>
        <w:rPr>
          <w:rFonts w:ascii="Times New Roman" w:hAnsi="Times New Roman"/>
          <w:sz w:val="24"/>
          <w:szCs w:val="24"/>
          <w:lang w:val="kk-KZ"/>
        </w:rPr>
        <w:t>ңге</w:t>
      </w:r>
      <w:r>
        <w:rPr>
          <w:rFonts w:ascii="Times New Roman" w:hAnsi="Times New Roman"/>
          <w:sz w:val="24"/>
          <w:szCs w:val="24"/>
        </w:rPr>
        <w:t>, то за короткий период с 07.09.2026 г. по 14.10.2026г. общая сумма переведенных накоплений составила уже 92,2 млн те</w:t>
      </w:r>
      <w:r>
        <w:rPr>
          <w:rFonts w:ascii="Times New Roman" w:hAnsi="Times New Roman"/>
          <w:sz w:val="24"/>
          <w:szCs w:val="24"/>
          <w:lang w:val="kk-KZ"/>
        </w:rPr>
        <w:t>ң</w:t>
      </w:r>
      <w:r>
        <w:rPr>
          <w:rFonts w:ascii="Times New Roman" w:hAnsi="Times New Roman"/>
          <w:sz w:val="24"/>
          <w:szCs w:val="24"/>
        </w:rPr>
        <w:t>ге</w:t>
      </w:r>
      <w:r>
        <w:rPr>
          <w:rFonts w:ascii="Times New Roman" w:hAnsi="Times New Roman"/>
          <w:sz w:val="24"/>
          <w:szCs w:val="24"/>
          <w:lang w:val="kk-KZ"/>
        </w:rPr>
        <w:t xml:space="preserve"> от </w:t>
      </w:r>
      <w:r>
        <w:rPr>
          <w:rFonts w:ascii="Times New Roman" w:hAnsi="Times New Roman"/>
          <w:sz w:val="24"/>
          <w:szCs w:val="24"/>
        </w:rPr>
        <w:t xml:space="preserve">32 921 вкладчика.  </w:t>
      </w:r>
    </w:p>
    <w:p w:rsidR="007D7F96" w:rsidRDefault="007D7F96" w:rsidP="007D7F96">
      <w:pPr>
        <w:spacing w:after="0" w:line="240" w:lineRule="auto"/>
        <w:ind w:firstLine="426"/>
        <w:contextualSpacing/>
        <w:jc w:val="both"/>
        <w:rPr>
          <w:rFonts w:ascii="Times New Roman" w:hAnsi="Times New Roman"/>
          <w:sz w:val="24"/>
          <w:szCs w:val="24"/>
        </w:rPr>
      </w:pPr>
    </w:p>
    <w:p w:rsidR="007D7F96" w:rsidRDefault="007D7F96" w:rsidP="007D7F96">
      <w:pPr>
        <w:spacing w:after="0" w:line="240" w:lineRule="auto"/>
        <w:ind w:firstLine="426"/>
        <w:contextualSpacing/>
        <w:jc w:val="both"/>
        <w:rPr>
          <w:rFonts w:ascii="Times New Roman" w:hAnsi="Times New Roman"/>
          <w:i/>
          <w:sz w:val="18"/>
          <w:szCs w:val="18"/>
        </w:rPr>
      </w:pPr>
      <w:r>
        <w:rPr>
          <w:rFonts w:ascii="Times New Roman" w:hAnsi="Times New Roman"/>
          <w:i/>
          <w:sz w:val="18"/>
          <w:szCs w:val="18"/>
        </w:rPr>
        <w:t>Данные за период с 01.01.2026г. по 06.09. 2026г.в разрезе объемов переводов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2049"/>
        <w:gridCol w:w="2485"/>
        <w:gridCol w:w="2139"/>
        <w:gridCol w:w="1765"/>
      </w:tblGrid>
      <w:tr w:rsidR="007D7F96" w:rsidTr="007D7F9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Группа по сумме, теңге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Количество вкладчиков</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Доля вкладчиков</w:t>
            </w:r>
          </w:p>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0"/>
                <w:szCs w:val="20"/>
                <w:lang w:eastAsia="ru-RU"/>
              </w:rPr>
              <w:t xml:space="preserve"> </w:t>
            </w:r>
            <w:r>
              <w:rPr>
                <w:rFonts w:ascii="Times New Roman" w:eastAsia="Times New Roman" w:hAnsi="Times New Roman"/>
                <w:bCs/>
                <w:sz w:val="20"/>
                <w:szCs w:val="20"/>
                <w:lang w:eastAsia="ru-RU"/>
              </w:rPr>
              <w:t>(</w:t>
            </w:r>
            <w:r>
              <w:rPr>
                <w:rFonts w:ascii="Times New Roman" w:eastAsia="Times New Roman" w:hAnsi="Times New Roman"/>
                <w:bCs/>
                <w:i/>
                <w:sz w:val="20"/>
                <w:szCs w:val="20"/>
                <w:lang w:eastAsia="ru-RU"/>
              </w:rPr>
              <w:t>от общего кол-ва, совершивших переводы</w:t>
            </w:r>
            <w:r>
              <w:rPr>
                <w:rFonts w:ascii="Times New Roman" w:eastAsia="Times New Roman" w:hAnsi="Times New Roman"/>
                <w:bCs/>
                <w:sz w:val="20"/>
                <w:szCs w:val="20"/>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Сумма переводов, млн теңге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Доля суммы </w:t>
            </w:r>
          </w:p>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Cs/>
                <w:sz w:val="20"/>
                <w:szCs w:val="20"/>
                <w:lang w:eastAsia="ru-RU"/>
              </w:rPr>
              <w:t>(</w:t>
            </w:r>
            <w:r>
              <w:rPr>
                <w:rFonts w:ascii="Times New Roman" w:eastAsia="Times New Roman" w:hAnsi="Times New Roman"/>
                <w:bCs/>
                <w:i/>
                <w:sz w:val="20"/>
                <w:szCs w:val="20"/>
                <w:lang w:eastAsia="ru-RU"/>
              </w:rPr>
              <w:t>от общей суммы переводов</w:t>
            </w:r>
            <w:r>
              <w:rPr>
                <w:rFonts w:ascii="Times New Roman" w:eastAsia="Times New Roman" w:hAnsi="Times New Roman"/>
                <w:bCs/>
                <w:sz w:val="20"/>
                <w:szCs w:val="20"/>
                <w:lang w:eastAsia="ru-RU"/>
              </w:rPr>
              <w:t>)</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 500 000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15 910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2 582,68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5 443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3 827,41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13 716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26 591,73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38,5%</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8 085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29 434,35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42,6%</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5 717,96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10 000 000 -   2 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734,22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257,22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ИТОГО</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44 167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69 145,57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rPr>
                <w:rFonts w:ascii="Times New Roman" w:eastAsia="Times New Roman" w:hAnsi="Times New Roman"/>
                <w:sz w:val="24"/>
                <w:szCs w:val="24"/>
                <w:lang w:eastAsia="ru-RU"/>
              </w:rPr>
            </w:pPr>
          </w:p>
        </w:tc>
      </w:tr>
    </w:tbl>
    <w:p w:rsidR="007D7F96" w:rsidRDefault="007D7F96" w:rsidP="007D7F96">
      <w:pPr>
        <w:spacing w:after="0" w:line="240" w:lineRule="auto"/>
        <w:contextualSpacing/>
        <w:jc w:val="both"/>
        <w:rPr>
          <w:rFonts w:ascii="Times New Roman" w:hAnsi="Times New Roman"/>
          <w:sz w:val="24"/>
          <w:szCs w:val="24"/>
        </w:rPr>
      </w:pPr>
    </w:p>
    <w:p w:rsidR="007D7F96" w:rsidRDefault="007D7F96" w:rsidP="007D7F96">
      <w:pPr>
        <w:spacing w:after="0" w:line="240" w:lineRule="auto"/>
        <w:ind w:firstLine="426"/>
        <w:contextualSpacing/>
        <w:jc w:val="both"/>
        <w:rPr>
          <w:rFonts w:ascii="Times New Roman" w:hAnsi="Times New Roman"/>
          <w:i/>
          <w:sz w:val="18"/>
          <w:szCs w:val="18"/>
        </w:rPr>
      </w:pPr>
      <w:r>
        <w:rPr>
          <w:rFonts w:ascii="Times New Roman" w:hAnsi="Times New Roman"/>
          <w:i/>
          <w:sz w:val="18"/>
          <w:szCs w:val="18"/>
        </w:rPr>
        <w:t>Данные за период с 07.09.2026 г. по 14.10.2026г.</w:t>
      </w:r>
      <w:r>
        <w:rPr>
          <w:rFonts w:ascii="Times New Roman" w:hAnsi="Times New Roman"/>
          <w:sz w:val="24"/>
          <w:szCs w:val="24"/>
        </w:rPr>
        <w:t xml:space="preserve"> </w:t>
      </w:r>
      <w:r>
        <w:rPr>
          <w:rFonts w:ascii="Times New Roman" w:hAnsi="Times New Roman"/>
          <w:i/>
          <w:sz w:val="18"/>
          <w:szCs w:val="18"/>
        </w:rPr>
        <w:t xml:space="preserve"> в разрезе объемов переводов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2049"/>
        <w:gridCol w:w="2485"/>
        <w:gridCol w:w="2139"/>
        <w:gridCol w:w="1765"/>
      </w:tblGrid>
      <w:tr w:rsidR="007D7F96" w:rsidTr="007D7F9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Группа по сумме, теңге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Количество вкладчиков</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Доля вкладчиков</w:t>
            </w:r>
          </w:p>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0"/>
                <w:szCs w:val="20"/>
                <w:lang w:eastAsia="ru-RU"/>
              </w:rPr>
              <w:t xml:space="preserve"> </w:t>
            </w:r>
            <w:r>
              <w:rPr>
                <w:rFonts w:ascii="Times New Roman" w:eastAsia="Times New Roman" w:hAnsi="Times New Roman"/>
                <w:bCs/>
                <w:sz w:val="20"/>
                <w:szCs w:val="20"/>
                <w:lang w:eastAsia="ru-RU"/>
              </w:rPr>
              <w:t>(</w:t>
            </w:r>
            <w:r>
              <w:rPr>
                <w:rFonts w:ascii="Times New Roman" w:eastAsia="Times New Roman" w:hAnsi="Times New Roman"/>
                <w:bCs/>
                <w:i/>
                <w:sz w:val="20"/>
                <w:szCs w:val="20"/>
                <w:lang w:eastAsia="ru-RU"/>
              </w:rPr>
              <w:t>от общего кол-ва, совершивших переводы</w:t>
            </w:r>
            <w:r>
              <w:rPr>
                <w:rFonts w:ascii="Times New Roman" w:eastAsia="Times New Roman" w:hAnsi="Times New Roman"/>
                <w:bCs/>
                <w:sz w:val="20"/>
                <w:szCs w:val="20"/>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Сумма переводов, млн теңге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Доля суммы </w:t>
            </w:r>
          </w:p>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Cs/>
                <w:sz w:val="20"/>
                <w:szCs w:val="20"/>
                <w:lang w:eastAsia="ru-RU"/>
              </w:rPr>
              <w:t>(</w:t>
            </w:r>
            <w:r>
              <w:rPr>
                <w:rFonts w:ascii="Times New Roman" w:eastAsia="Times New Roman" w:hAnsi="Times New Roman"/>
                <w:bCs/>
                <w:i/>
                <w:sz w:val="20"/>
                <w:szCs w:val="20"/>
                <w:lang w:eastAsia="ru-RU"/>
              </w:rPr>
              <w:t>от общей суммы переводов</w:t>
            </w:r>
            <w:r>
              <w:rPr>
                <w:rFonts w:ascii="Times New Roman" w:eastAsia="Times New Roman" w:hAnsi="Times New Roman"/>
                <w:bCs/>
                <w:sz w:val="20"/>
                <w:szCs w:val="20"/>
                <w:lang w:eastAsia="ru-RU"/>
              </w:rPr>
              <w:t>)</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 500 000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7 325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1 210,96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3 425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2 357,91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28,6%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17 175,42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18,6%</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6 375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23 974,97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26,0%</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5 712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38 356,27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41,6%</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10 000 000 -  20 000 000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7 475,87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8,1%</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1 391,67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214,37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0,2%</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ИТОГО</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32 921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92 157,45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rPr>
                <w:rFonts w:ascii="Times New Roman" w:eastAsia="Times New Roman" w:hAnsi="Times New Roman"/>
                <w:sz w:val="24"/>
                <w:szCs w:val="24"/>
                <w:lang w:eastAsia="ru-RU"/>
              </w:rPr>
            </w:pPr>
          </w:p>
        </w:tc>
      </w:tr>
    </w:tbl>
    <w:p w:rsidR="007D7F96" w:rsidRDefault="007D7F96" w:rsidP="007D7F96">
      <w:pPr>
        <w:spacing w:after="0" w:line="240" w:lineRule="auto"/>
        <w:contextualSpacing/>
        <w:jc w:val="both"/>
        <w:rPr>
          <w:rFonts w:ascii="Times New Roman" w:hAnsi="Times New Roman"/>
          <w:sz w:val="24"/>
          <w:szCs w:val="24"/>
        </w:rPr>
      </w:pPr>
    </w:p>
    <w:p w:rsidR="007D7F96" w:rsidRDefault="007D7F96" w:rsidP="007D7F9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В разрезе возрастных групп статистика за те же периоды выглядит следующим образом:</w:t>
      </w:r>
    </w:p>
    <w:p w:rsidR="007D7F96" w:rsidRDefault="007D7F96" w:rsidP="007D7F96">
      <w:pPr>
        <w:spacing w:after="0" w:line="240" w:lineRule="auto"/>
        <w:contextualSpacing/>
        <w:jc w:val="both"/>
        <w:rPr>
          <w:rFonts w:ascii="Times New Roman" w:hAnsi="Times New Roman"/>
          <w:sz w:val="24"/>
          <w:szCs w:val="24"/>
        </w:rPr>
      </w:pPr>
    </w:p>
    <w:p w:rsidR="007D7F96" w:rsidRDefault="007D7F96" w:rsidP="007D7F96">
      <w:pPr>
        <w:spacing w:after="0" w:line="240" w:lineRule="auto"/>
        <w:contextualSpacing/>
        <w:jc w:val="both"/>
        <w:rPr>
          <w:rFonts w:ascii="Times New Roman" w:hAnsi="Times New Roman"/>
          <w:sz w:val="24"/>
          <w:szCs w:val="24"/>
        </w:rPr>
      </w:pPr>
      <w:r>
        <w:rPr>
          <w:rFonts w:ascii="Times New Roman" w:hAnsi="Times New Roman"/>
          <w:i/>
          <w:sz w:val="18"/>
          <w:szCs w:val="18"/>
        </w:rPr>
        <w:t xml:space="preserve">                 Данные за период с 01.01.2026г. по 06.09. 2026г</w:t>
      </w:r>
    </w:p>
    <w:tbl>
      <w:tblPr>
        <w:tblW w:w="0" w:type="auto"/>
        <w:tblCellSpacing w:w="15"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1938"/>
        <w:gridCol w:w="1742"/>
        <w:gridCol w:w="2163"/>
      </w:tblGrid>
      <w:tr w:rsidR="007D7F96" w:rsidTr="007D7F9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Возрастная группа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Доля переводов</w:t>
            </w:r>
          </w:p>
          <w:p w:rsidR="00EF194C" w:rsidRDefault="00EF194C" w:rsidP="00EF194C">
            <w:pPr>
              <w:spacing w:after="0" w:line="240" w:lineRule="auto"/>
              <w:ind w:left="142"/>
              <w:jc w:val="both"/>
              <w:rPr>
                <w:rFonts w:ascii="Times New Roman" w:eastAsia="Times New Roman" w:hAnsi="Times New Roman"/>
                <w:bCs/>
                <w:i/>
                <w:sz w:val="18"/>
                <w:szCs w:val="18"/>
                <w:lang w:eastAsia="ru-RU"/>
              </w:rPr>
            </w:pPr>
            <w:r w:rsidRPr="00EF194C">
              <w:rPr>
                <w:rFonts w:ascii="Times New Roman" w:eastAsia="Times New Roman" w:hAnsi="Times New Roman"/>
                <w:bCs/>
                <w:i/>
                <w:sz w:val="18"/>
                <w:szCs w:val="18"/>
                <w:lang w:eastAsia="ru-RU"/>
              </w:rPr>
              <w:t>(от общего кол-ва</w:t>
            </w:r>
          </w:p>
          <w:p w:rsidR="00EF194C" w:rsidRPr="00EF194C" w:rsidRDefault="00EF194C" w:rsidP="00820B50">
            <w:pPr>
              <w:spacing w:after="0" w:line="240" w:lineRule="auto"/>
              <w:ind w:left="142"/>
              <w:jc w:val="both"/>
              <w:rPr>
                <w:rFonts w:ascii="Times New Roman" w:eastAsia="Times New Roman" w:hAnsi="Times New Roman"/>
                <w:bCs/>
                <w:i/>
                <w:sz w:val="18"/>
                <w:szCs w:val="18"/>
                <w:lang w:eastAsia="ru-RU"/>
              </w:rPr>
            </w:pPr>
            <w:r>
              <w:rPr>
                <w:rFonts w:ascii="Times New Roman" w:eastAsia="Times New Roman" w:hAnsi="Times New Roman"/>
                <w:bCs/>
                <w:i/>
                <w:sz w:val="18"/>
                <w:szCs w:val="18"/>
                <w:lang w:eastAsia="ru-RU"/>
              </w:rPr>
              <w:t xml:space="preserve"> перевод</w:t>
            </w:r>
            <w:r w:rsidR="00820B50">
              <w:rPr>
                <w:rFonts w:ascii="Times New Roman" w:eastAsia="Times New Roman" w:hAnsi="Times New Roman"/>
                <w:bCs/>
                <w:i/>
                <w:sz w:val="18"/>
                <w:szCs w:val="18"/>
                <w:lang w:eastAsia="ru-RU"/>
              </w:rPr>
              <w:t>ов</w:t>
            </w:r>
            <w:r w:rsidRPr="00EF194C">
              <w:rPr>
                <w:rFonts w:ascii="Times New Roman" w:eastAsia="Times New Roman" w:hAnsi="Times New Roman"/>
                <w:bCs/>
                <w:i/>
                <w:sz w:val="18"/>
                <w:szCs w:val="18"/>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Доля суммы</w:t>
            </w:r>
          </w:p>
          <w:p w:rsidR="00EF194C" w:rsidRDefault="00EF194C" w:rsidP="00EF194C">
            <w:pPr>
              <w:spacing w:after="0" w:line="240" w:lineRule="auto"/>
              <w:ind w:left="142"/>
              <w:jc w:val="both"/>
              <w:rPr>
                <w:rFonts w:ascii="Times New Roman" w:eastAsia="Times New Roman" w:hAnsi="Times New Roman"/>
                <w:bCs/>
                <w:i/>
                <w:sz w:val="20"/>
                <w:szCs w:val="20"/>
                <w:lang w:eastAsia="ru-RU"/>
              </w:rPr>
            </w:pPr>
            <w:r>
              <w:rPr>
                <w:rFonts w:ascii="Times New Roman" w:eastAsia="Times New Roman" w:hAnsi="Times New Roman"/>
                <w:bCs/>
                <w:sz w:val="20"/>
                <w:szCs w:val="20"/>
                <w:lang w:eastAsia="ru-RU"/>
              </w:rPr>
              <w:t>(</w:t>
            </w:r>
            <w:r>
              <w:rPr>
                <w:rFonts w:ascii="Times New Roman" w:eastAsia="Times New Roman" w:hAnsi="Times New Roman"/>
                <w:bCs/>
                <w:i/>
                <w:sz w:val="20"/>
                <w:szCs w:val="20"/>
                <w:lang w:eastAsia="ru-RU"/>
              </w:rPr>
              <w:t>от общей суммы</w:t>
            </w:r>
          </w:p>
          <w:p w:rsidR="00EF194C" w:rsidRDefault="00EF194C" w:rsidP="00EF194C">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Cs/>
                <w:i/>
                <w:sz w:val="20"/>
                <w:szCs w:val="20"/>
                <w:lang w:eastAsia="ru-RU"/>
              </w:rPr>
              <w:t>переводов</w:t>
            </w:r>
            <w:r>
              <w:rPr>
                <w:rFonts w:ascii="Times New Roman" w:eastAsia="Times New Roman" w:hAnsi="Times New Roman"/>
                <w:bCs/>
                <w:sz w:val="20"/>
                <w:szCs w:val="20"/>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Средний перевод, </w:t>
            </w:r>
          </w:p>
          <w:p w:rsidR="007D7F96" w:rsidRDefault="007D7F96">
            <w:pPr>
              <w:spacing w:after="0" w:line="240" w:lineRule="auto"/>
              <w:ind w:left="142"/>
              <w:jc w:val="both"/>
              <w:rPr>
                <w:rFonts w:ascii="Times New Roman" w:eastAsia="Times New Roman" w:hAnsi="Times New Roman"/>
                <w:bCs/>
                <w:i/>
                <w:sz w:val="20"/>
                <w:szCs w:val="20"/>
                <w:lang w:eastAsia="ru-RU"/>
              </w:rPr>
            </w:pPr>
            <w:r>
              <w:rPr>
                <w:rFonts w:ascii="Times New Roman" w:eastAsia="Times New Roman" w:hAnsi="Times New Roman"/>
                <w:bCs/>
                <w:i/>
                <w:sz w:val="20"/>
                <w:szCs w:val="20"/>
                <w:lang w:eastAsia="ru-RU"/>
              </w:rPr>
              <w:t>тыс. теңге</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 30 лет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397</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30–39 лет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922</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40–49 лет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1 188</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50–59 лет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1 318</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60 лет и старше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1 118</w:t>
            </w:r>
          </w:p>
        </w:tc>
      </w:tr>
    </w:tbl>
    <w:p w:rsidR="007D7F96" w:rsidRDefault="007D7F96" w:rsidP="007D7F96">
      <w:pPr>
        <w:spacing w:after="0" w:line="240" w:lineRule="auto"/>
        <w:contextualSpacing/>
        <w:jc w:val="both"/>
        <w:rPr>
          <w:rFonts w:ascii="Times New Roman" w:eastAsiaTheme="minorHAnsi" w:hAnsi="Times New Roman"/>
          <w:sz w:val="24"/>
          <w:szCs w:val="24"/>
        </w:rPr>
      </w:pPr>
    </w:p>
    <w:p w:rsidR="007D7F96" w:rsidRDefault="007D7F96" w:rsidP="007D7F96">
      <w:pPr>
        <w:spacing w:after="0" w:line="240" w:lineRule="auto"/>
        <w:contextualSpacing/>
        <w:jc w:val="both"/>
        <w:rPr>
          <w:rFonts w:ascii="Times New Roman" w:hAnsi="Times New Roman"/>
          <w:sz w:val="24"/>
          <w:szCs w:val="24"/>
        </w:rPr>
      </w:pPr>
      <w:r>
        <w:rPr>
          <w:rFonts w:ascii="Times New Roman" w:hAnsi="Times New Roman"/>
          <w:i/>
          <w:sz w:val="18"/>
          <w:szCs w:val="18"/>
        </w:rPr>
        <w:t xml:space="preserve">                 Данные за период с 07.09.2026 г. по 14.10.2026г.</w:t>
      </w:r>
    </w:p>
    <w:tbl>
      <w:tblPr>
        <w:tblW w:w="0" w:type="auto"/>
        <w:tblCellSpacing w:w="15"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1938"/>
        <w:gridCol w:w="1742"/>
        <w:gridCol w:w="2163"/>
      </w:tblGrid>
      <w:tr w:rsidR="007D7F96" w:rsidTr="007D7F9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Возрастная группа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Доля переводов</w:t>
            </w:r>
          </w:p>
          <w:p w:rsidR="00820B50" w:rsidRDefault="00EF194C" w:rsidP="00820B50">
            <w:pPr>
              <w:spacing w:after="0" w:line="240" w:lineRule="auto"/>
              <w:ind w:left="142"/>
              <w:jc w:val="both"/>
              <w:rPr>
                <w:rFonts w:ascii="Times New Roman" w:eastAsia="Times New Roman" w:hAnsi="Times New Roman"/>
                <w:bCs/>
                <w:i/>
                <w:sz w:val="18"/>
                <w:szCs w:val="18"/>
                <w:lang w:eastAsia="ru-RU"/>
              </w:rPr>
            </w:pPr>
            <w:r w:rsidRPr="00EF194C">
              <w:rPr>
                <w:rFonts w:ascii="Times New Roman" w:eastAsia="Times New Roman" w:hAnsi="Times New Roman"/>
                <w:bCs/>
                <w:i/>
                <w:sz w:val="18"/>
                <w:szCs w:val="18"/>
                <w:lang w:eastAsia="ru-RU"/>
              </w:rPr>
              <w:t>(от общего</w:t>
            </w:r>
            <w:r w:rsidR="00820B50">
              <w:rPr>
                <w:rFonts w:ascii="Times New Roman" w:eastAsia="Times New Roman" w:hAnsi="Times New Roman"/>
                <w:bCs/>
                <w:i/>
                <w:sz w:val="18"/>
                <w:szCs w:val="18"/>
                <w:lang w:eastAsia="ru-RU"/>
              </w:rPr>
              <w:t xml:space="preserve"> </w:t>
            </w:r>
            <w:r w:rsidRPr="00EF194C">
              <w:rPr>
                <w:rFonts w:ascii="Times New Roman" w:eastAsia="Times New Roman" w:hAnsi="Times New Roman"/>
                <w:bCs/>
                <w:i/>
                <w:sz w:val="18"/>
                <w:szCs w:val="18"/>
                <w:lang w:eastAsia="ru-RU"/>
              </w:rPr>
              <w:t>кол-ва</w:t>
            </w:r>
          </w:p>
          <w:p w:rsidR="00EF194C" w:rsidRPr="00EF194C" w:rsidRDefault="00820B50" w:rsidP="00820B50">
            <w:pPr>
              <w:spacing w:after="0" w:line="240" w:lineRule="auto"/>
              <w:ind w:left="142"/>
              <w:jc w:val="both"/>
              <w:rPr>
                <w:rFonts w:ascii="Times New Roman" w:eastAsia="Times New Roman" w:hAnsi="Times New Roman"/>
                <w:bCs/>
                <w:i/>
                <w:sz w:val="18"/>
                <w:szCs w:val="18"/>
                <w:lang w:eastAsia="ru-RU"/>
              </w:rPr>
            </w:pPr>
            <w:bookmarkStart w:id="0" w:name="_GoBack"/>
            <w:bookmarkEnd w:id="0"/>
            <w:r w:rsidRPr="00820B50">
              <w:rPr>
                <w:rFonts w:ascii="Times New Roman" w:eastAsia="Times New Roman" w:hAnsi="Times New Roman"/>
                <w:bCs/>
                <w:i/>
                <w:sz w:val="18"/>
                <w:szCs w:val="18"/>
                <w:lang w:eastAsia="ru-RU"/>
              </w:rPr>
              <w:t xml:space="preserve"> </w:t>
            </w:r>
            <w:r w:rsidR="00EF194C">
              <w:rPr>
                <w:rFonts w:ascii="Times New Roman" w:eastAsia="Times New Roman" w:hAnsi="Times New Roman"/>
                <w:bCs/>
                <w:i/>
                <w:sz w:val="18"/>
                <w:szCs w:val="18"/>
                <w:lang w:eastAsia="ru-RU"/>
              </w:rPr>
              <w:t xml:space="preserve"> перевод</w:t>
            </w:r>
            <w:r>
              <w:rPr>
                <w:rFonts w:ascii="Times New Roman" w:eastAsia="Times New Roman" w:hAnsi="Times New Roman"/>
                <w:bCs/>
                <w:i/>
                <w:sz w:val="18"/>
                <w:szCs w:val="18"/>
                <w:lang w:eastAsia="ru-RU"/>
              </w:rPr>
              <w:t>ов</w:t>
            </w:r>
            <w:r w:rsidR="00EF194C" w:rsidRPr="00EF194C">
              <w:rPr>
                <w:rFonts w:ascii="Times New Roman" w:eastAsia="Times New Roman" w:hAnsi="Times New Roman"/>
                <w:bCs/>
                <w:i/>
                <w:sz w:val="18"/>
                <w:szCs w:val="18"/>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Доля суммы</w:t>
            </w:r>
          </w:p>
          <w:p w:rsidR="00EF194C" w:rsidRDefault="00EF194C" w:rsidP="00EF194C">
            <w:pPr>
              <w:spacing w:after="0" w:line="240" w:lineRule="auto"/>
              <w:ind w:left="142"/>
              <w:jc w:val="both"/>
              <w:rPr>
                <w:rFonts w:ascii="Times New Roman" w:eastAsia="Times New Roman" w:hAnsi="Times New Roman"/>
                <w:bCs/>
                <w:i/>
                <w:sz w:val="20"/>
                <w:szCs w:val="20"/>
                <w:lang w:eastAsia="ru-RU"/>
              </w:rPr>
            </w:pPr>
            <w:r>
              <w:rPr>
                <w:rFonts w:ascii="Times New Roman" w:eastAsia="Times New Roman" w:hAnsi="Times New Roman"/>
                <w:bCs/>
                <w:sz w:val="20"/>
                <w:szCs w:val="20"/>
                <w:lang w:eastAsia="ru-RU"/>
              </w:rPr>
              <w:t>(</w:t>
            </w:r>
            <w:r>
              <w:rPr>
                <w:rFonts w:ascii="Times New Roman" w:eastAsia="Times New Roman" w:hAnsi="Times New Roman"/>
                <w:bCs/>
                <w:i/>
                <w:sz w:val="20"/>
                <w:szCs w:val="20"/>
                <w:lang w:eastAsia="ru-RU"/>
              </w:rPr>
              <w:t>от общей суммы</w:t>
            </w:r>
          </w:p>
          <w:p w:rsidR="00EF194C" w:rsidRDefault="00EF194C" w:rsidP="00EF194C">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Cs/>
                <w:i/>
                <w:sz w:val="20"/>
                <w:szCs w:val="20"/>
                <w:lang w:eastAsia="ru-RU"/>
              </w:rPr>
              <w:t>переводов</w:t>
            </w:r>
            <w:r>
              <w:rPr>
                <w:rFonts w:ascii="Times New Roman" w:eastAsia="Times New Roman" w:hAnsi="Times New Roman"/>
                <w:bCs/>
                <w:sz w:val="20"/>
                <w:szCs w:val="20"/>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Средний перевод, </w:t>
            </w:r>
          </w:p>
          <w:p w:rsidR="007D7F96" w:rsidRDefault="007D7F96">
            <w:pPr>
              <w:spacing w:after="0" w:line="240" w:lineRule="auto"/>
              <w:ind w:left="142"/>
              <w:jc w:val="both"/>
              <w:rPr>
                <w:rFonts w:ascii="Times New Roman" w:eastAsia="Times New Roman" w:hAnsi="Times New Roman"/>
                <w:bCs/>
                <w:i/>
                <w:sz w:val="20"/>
                <w:szCs w:val="20"/>
                <w:lang w:eastAsia="ru-RU"/>
              </w:rPr>
            </w:pPr>
            <w:r>
              <w:rPr>
                <w:rFonts w:ascii="Times New Roman" w:eastAsia="Times New Roman" w:hAnsi="Times New Roman"/>
                <w:bCs/>
                <w:i/>
                <w:sz w:val="20"/>
                <w:szCs w:val="20"/>
                <w:lang w:eastAsia="ru-RU"/>
              </w:rPr>
              <w:t>тыс. теңге</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 30 лет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676</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30–39 лет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38,0%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37,6%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1 631</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40–49 лет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35,2%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2 113</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50–59 лет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2 380</w:t>
            </w:r>
          </w:p>
        </w:tc>
      </w:tr>
      <w:tr w:rsidR="007D7F96"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60 лет и старше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2 975</w:t>
            </w:r>
          </w:p>
        </w:tc>
      </w:tr>
    </w:tbl>
    <w:p w:rsidR="007D7F96" w:rsidRDefault="007D7F96" w:rsidP="007D7F96">
      <w:pPr>
        <w:spacing w:after="0" w:line="240" w:lineRule="auto"/>
        <w:contextualSpacing/>
        <w:jc w:val="both"/>
        <w:rPr>
          <w:rFonts w:ascii="Times New Roman" w:eastAsiaTheme="minorHAnsi" w:hAnsi="Times New Roman"/>
          <w:sz w:val="24"/>
          <w:szCs w:val="24"/>
        </w:rPr>
      </w:pPr>
    </w:p>
    <w:p w:rsidR="007D7F96" w:rsidRDefault="007D7F96" w:rsidP="007D7F96">
      <w:pPr>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Как видно из приведенных данных наиболее активны вкладчики в возрасте </w:t>
      </w:r>
      <w:r>
        <w:rPr>
          <w:rFonts w:ascii="Times New Roman" w:hAnsi="Times New Roman"/>
          <w:bCs/>
          <w:sz w:val="24"/>
          <w:szCs w:val="24"/>
          <w:lang w:eastAsia="ru-RU"/>
        </w:rPr>
        <w:t>30–39 лет</w:t>
      </w:r>
      <w:r>
        <w:rPr>
          <w:rFonts w:ascii="Times New Roman" w:hAnsi="Times New Roman"/>
          <w:sz w:val="24"/>
          <w:szCs w:val="24"/>
          <w:lang w:eastAsia="ru-RU"/>
        </w:rPr>
        <w:t>. На них приходится порядка 40% всех переводов и 40% переведённых сумм.</w:t>
      </w:r>
      <w:r>
        <w:t xml:space="preserve"> </w:t>
      </w:r>
      <w:r>
        <w:rPr>
          <w:rFonts w:ascii="Times New Roman" w:hAnsi="Times New Roman"/>
          <w:sz w:val="24"/>
          <w:szCs w:val="24"/>
          <w:lang w:eastAsia="ru-RU"/>
        </w:rPr>
        <w:t xml:space="preserve">Активность вкладчиков этой возрастной группы может быть связана с тем, что у них уже накопилась значительная сумма, но до выхода на пенсию ещё далеко и есть время выбирать и менять инвестиционную стратегию под свой горизонт и отношение к риску. </w:t>
      </w:r>
    </w:p>
    <w:p w:rsidR="007D7F96" w:rsidRDefault="007D7F96" w:rsidP="007D7F96">
      <w:pPr>
        <w:spacing w:after="0" w:line="240" w:lineRule="auto"/>
        <w:ind w:firstLine="567"/>
        <w:contextualSpacing/>
        <w:jc w:val="both"/>
        <w:rPr>
          <w:rFonts w:ascii="Times New Roman" w:hAnsi="Times New Roman"/>
          <w:sz w:val="24"/>
          <w:szCs w:val="24"/>
        </w:rPr>
      </w:pPr>
      <w:r>
        <w:rPr>
          <w:rFonts w:ascii="Times New Roman" w:hAnsi="Times New Roman"/>
          <w:sz w:val="24"/>
          <w:szCs w:val="24"/>
          <w:lang w:eastAsia="ru-RU"/>
        </w:rPr>
        <w:t>Напомним, что р</w:t>
      </w:r>
      <w:r>
        <w:rPr>
          <w:rFonts w:ascii="Times New Roman" w:hAnsi="Times New Roman"/>
          <w:sz w:val="24"/>
          <w:szCs w:val="24"/>
        </w:rPr>
        <w:t xml:space="preserve">ешение о переводе средств вкладчик принимает самостоятельно. И перед этим важно изучить условия управления, структуру инвестиционного портфеля, комиссионное вознаграждение и показатели доходности за разные периоды. При этом стоит учесть, что прошлые результаты не гарантируют аналогичной доходности в будущем, а стоимость инвестиций может как расти, так и снижаться. </w:t>
      </w:r>
    </w:p>
    <w:p w:rsidR="007D7F96" w:rsidRDefault="007D7F96" w:rsidP="007D7F96">
      <w:pPr>
        <w:spacing w:after="0" w:line="240" w:lineRule="auto"/>
        <w:ind w:firstLine="567"/>
        <w:contextualSpacing/>
        <w:jc w:val="both"/>
        <w:rPr>
          <w:rFonts w:ascii="Times New Roman" w:hAnsi="Times New Roman"/>
          <w:sz w:val="24"/>
          <w:szCs w:val="24"/>
        </w:rPr>
      </w:pPr>
      <w:r>
        <w:rPr>
          <w:rFonts w:ascii="Times New Roman" w:hAnsi="Times New Roman"/>
          <w:sz w:val="24"/>
          <w:szCs w:val="24"/>
        </w:rPr>
        <w:t xml:space="preserve">Актуальные данные и всю необходимую информацию вкладчики всегда могут найти на инвестпортале invest.enpf.kz и на сегодняшний день он помог большому числу вкладчиков </w:t>
      </w:r>
      <w:r>
        <w:rPr>
          <w:rFonts w:ascii="Times New Roman" w:hAnsi="Times New Roman"/>
          <w:sz w:val="24"/>
          <w:szCs w:val="24"/>
        </w:rPr>
        <w:lastRenderedPageBreak/>
        <w:t>разобраться в возможностях управления пенсионными накоплениями и принять решение о переводе накопленных средств управляющим инвестиционным портфелям (УИП).</w:t>
      </w:r>
    </w:p>
    <w:p w:rsidR="00825D8B" w:rsidRDefault="00825D8B" w:rsidP="00825D8B">
      <w:pPr>
        <w:pStyle w:val="a5"/>
        <w:jc w:val="both"/>
        <w:rPr>
          <w:rFonts w:ascii="Arial" w:eastAsia="Times New Roman" w:hAnsi="Arial" w:cs="Arial"/>
          <w:bCs/>
          <w:color w:val="000000" w:themeColor="text1"/>
          <w:sz w:val="24"/>
          <w:szCs w:val="24"/>
          <w:lang w:eastAsia="ru-RU"/>
        </w:rPr>
      </w:pPr>
    </w:p>
    <w:p w:rsidR="00BF5EDE" w:rsidRPr="00020421" w:rsidRDefault="00BF5EDE" w:rsidP="00020421">
      <w:pPr>
        <w:shd w:val="clear" w:color="auto" w:fill="FFFFFF"/>
        <w:spacing w:after="120" w:line="240" w:lineRule="auto"/>
        <w:contextualSpacing/>
        <w:jc w:val="center"/>
        <w:rPr>
          <w:rFonts w:ascii="Times New Roman" w:hAnsi="Times New Roman"/>
          <w:color w:val="000000" w:themeColor="text1"/>
          <w:sz w:val="24"/>
          <w:szCs w:val="24"/>
          <w:lang w:eastAsia="ru-RU"/>
        </w:rPr>
      </w:pPr>
    </w:p>
    <w:p w:rsidR="00540E7F" w:rsidRDefault="00540E7F" w:rsidP="00540E7F">
      <w:pPr>
        <w:tabs>
          <w:tab w:val="left" w:pos="3756"/>
          <w:tab w:val="left" w:pos="7867"/>
        </w:tabs>
        <w:autoSpaceDE w:val="0"/>
        <w:autoSpaceDN w:val="0"/>
        <w:adjustRightInd w:val="0"/>
        <w:spacing w:after="0" w:line="240" w:lineRule="auto"/>
        <w:jc w:val="both"/>
        <w:rPr>
          <w:rFonts w:ascii="Times New Roman" w:eastAsiaTheme="minorHAnsi" w:hAnsi="Times New Roman"/>
          <w:i/>
          <w:sz w:val="20"/>
          <w:szCs w:val="20"/>
        </w:rPr>
      </w:pPr>
      <w:r>
        <w:rPr>
          <w:rFonts w:ascii="Times New Roman" w:hAnsi="Times New Roman"/>
          <w:color w:val="000000"/>
          <w:sz w:val="24"/>
          <w:szCs w:val="24"/>
          <w:lang w:eastAsia="ru-RU"/>
        </w:rPr>
        <w:t xml:space="preserve">         </w:t>
      </w:r>
    </w:p>
    <w:p w:rsidR="00540E7F" w:rsidRPr="00102585" w:rsidRDefault="00540E7F" w:rsidP="00540E7F">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rPr>
      </w:pPr>
      <w:r w:rsidRPr="00102585">
        <w:rPr>
          <w:rFonts w:ascii="Times New Roman" w:eastAsiaTheme="minorHAnsi"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102585">
        <w:rPr>
          <w:rFonts w:ascii="Times New Roman" w:hAnsi="Times New Roman"/>
          <w:i/>
          <w:color w:val="000000"/>
          <w:sz w:val="20"/>
          <w:szCs w:val="20"/>
          <w:lang w:eastAsia="ru-RU"/>
        </w:rPr>
        <w:t xml:space="preserve">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 Также Фонд осуществляет учет целевых активов и целевых требований, учет и зачисление целевых накоплений (ЦН)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sidRPr="00102585">
        <w:rPr>
          <w:rFonts w:ascii="Times New Roman" w:eastAsiaTheme="minorHAnsi" w:hAnsi="Times New Roman"/>
          <w:i/>
          <w:sz w:val="20"/>
          <w:szCs w:val="20"/>
        </w:rPr>
        <w:t xml:space="preserve">(Подробнее на </w:t>
      </w:r>
      <w:hyperlink r:id="rId8" w:history="1">
        <w:r w:rsidRPr="00102585">
          <w:rPr>
            <w:rFonts w:ascii="Times New Roman" w:eastAsiaTheme="minorHAnsi" w:hAnsi="Times New Roman"/>
            <w:i/>
            <w:color w:val="001CAC"/>
            <w:sz w:val="20"/>
            <w:szCs w:val="20"/>
          </w:rPr>
          <w:t>www.enpf.kz</w:t>
        </w:r>
      </w:hyperlink>
      <w:r w:rsidRPr="00102585">
        <w:rPr>
          <w:rFonts w:ascii="Times New Roman" w:eastAsiaTheme="minorHAnsi" w:hAnsi="Times New Roman"/>
          <w:i/>
          <w:sz w:val="20"/>
          <w:szCs w:val="20"/>
        </w:rPr>
        <w:t>).</w:t>
      </w:r>
    </w:p>
    <w:p w:rsidR="00540E7F" w:rsidRPr="00102585" w:rsidRDefault="00540E7F" w:rsidP="00540E7F">
      <w:pPr>
        <w:rPr>
          <w:rFonts w:asciiTheme="minorHAnsi" w:eastAsiaTheme="minorHAnsi" w:hAnsiTheme="minorHAnsi" w:cstheme="minorBidi"/>
        </w:rPr>
      </w:pPr>
    </w:p>
    <w:p w:rsidR="00540E7F" w:rsidRPr="003E4600" w:rsidRDefault="00540E7F" w:rsidP="00540E7F">
      <w:pPr>
        <w:rPr>
          <w:rFonts w:asciiTheme="minorHAnsi" w:eastAsiaTheme="minorHAnsi" w:hAnsiTheme="minorHAnsi" w:cstheme="minorBidi"/>
        </w:rPr>
      </w:pPr>
    </w:p>
    <w:p w:rsidR="00540E7F" w:rsidRDefault="00540E7F" w:rsidP="00540E7F">
      <w:pPr>
        <w:spacing w:after="0" w:line="240" w:lineRule="auto"/>
        <w:ind w:firstLine="708"/>
        <w:rPr>
          <w:rFonts w:ascii="Times New Roman" w:eastAsiaTheme="minorHAnsi" w:hAnsi="Times New Roman"/>
          <w:sz w:val="24"/>
          <w:szCs w:val="24"/>
        </w:rPr>
      </w:pPr>
    </w:p>
    <w:p w:rsidR="00540E7F" w:rsidRDefault="00540E7F" w:rsidP="00540E7F">
      <w:pPr>
        <w:spacing w:after="0" w:line="240" w:lineRule="auto"/>
        <w:ind w:firstLine="708"/>
        <w:rPr>
          <w:rFonts w:ascii="Times New Roman" w:eastAsiaTheme="minorHAnsi" w:hAnsi="Times New Roman"/>
          <w:sz w:val="24"/>
          <w:szCs w:val="24"/>
        </w:rPr>
      </w:pPr>
    </w:p>
    <w:p w:rsidR="00540E7F" w:rsidRDefault="00540E7F" w:rsidP="00540E7F">
      <w:pPr>
        <w:suppressAutoHyphens/>
        <w:autoSpaceDN w:val="0"/>
        <w:spacing w:after="0" w:line="240" w:lineRule="auto"/>
        <w:ind w:firstLine="708"/>
        <w:jc w:val="center"/>
        <w:rPr>
          <w:rFonts w:ascii="Times New Roman" w:eastAsia="Yu Mincho" w:hAnsi="Times New Roman"/>
          <w:kern w:val="3"/>
          <w:sz w:val="24"/>
          <w:szCs w:val="24"/>
          <w:lang w:eastAsia="ru-RU"/>
        </w:rPr>
      </w:pPr>
    </w:p>
    <w:p w:rsidR="00540E7F" w:rsidRPr="00435876" w:rsidRDefault="00540E7F" w:rsidP="00540E7F">
      <w:pPr>
        <w:spacing w:line="259" w:lineRule="auto"/>
        <w:ind w:firstLine="360"/>
        <w:jc w:val="both"/>
        <w:rPr>
          <w:rFonts w:ascii="Times New Roman" w:eastAsiaTheme="minorHAnsi" w:hAnsi="Times New Roman"/>
          <w:color w:val="000000" w:themeColor="text1"/>
          <w:sz w:val="24"/>
          <w:szCs w:val="24"/>
        </w:rPr>
      </w:pPr>
    </w:p>
    <w:p w:rsidR="00540E7F" w:rsidRPr="00406B10" w:rsidRDefault="00540E7F" w:rsidP="00540E7F">
      <w:pPr>
        <w:pStyle w:val="a5"/>
        <w:jc w:val="center"/>
        <w:rPr>
          <w:rFonts w:ascii="Times New Roman" w:hAnsi="Times New Roman"/>
          <w:b/>
          <w:sz w:val="24"/>
          <w:szCs w:val="24"/>
        </w:rPr>
      </w:pPr>
    </w:p>
    <w:p w:rsidR="00A071FA" w:rsidRDefault="00A071FA" w:rsidP="00A071FA">
      <w:pPr>
        <w:rPr>
          <w:rFonts w:asciiTheme="minorHAnsi" w:eastAsiaTheme="minorHAnsi" w:hAnsiTheme="minorHAnsi" w:cstheme="minorBidi"/>
        </w:rPr>
      </w:pPr>
    </w:p>
    <w:p w:rsidR="00A071FA" w:rsidRDefault="00A071FA" w:rsidP="00A071FA">
      <w:pPr>
        <w:rPr>
          <w:rFonts w:asciiTheme="minorHAnsi" w:eastAsiaTheme="minorHAnsi" w:hAnsiTheme="minorHAnsi" w:cstheme="minorBidi"/>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uppressAutoHyphens/>
        <w:autoSpaceDN w:val="0"/>
        <w:spacing w:after="0" w:line="240" w:lineRule="auto"/>
        <w:ind w:firstLine="708"/>
        <w:jc w:val="center"/>
        <w:rPr>
          <w:rFonts w:ascii="Times New Roman" w:eastAsia="Yu Mincho" w:hAnsi="Times New Roman"/>
          <w:kern w:val="3"/>
          <w:sz w:val="24"/>
          <w:szCs w:val="24"/>
          <w:lang w:eastAsia="ru-RU"/>
        </w:rPr>
      </w:pPr>
    </w:p>
    <w:p w:rsidR="00A071FA" w:rsidRDefault="00A071FA" w:rsidP="00A071FA">
      <w:pPr>
        <w:ind w:firstLine="360"/>
        <w:jc w:val="both"/>
        <w:rPr>
          <w:rFonts w:ascii="Times New Roman" w:eastAsiaTheme="minorHAnsi" w:hAnsi="Times New Roman"/>
          <w:color w:val="000000" w:themeColor="text1"/>
          <w:sz w:val="24"/>
          <w:szCs w:val="24"/>
        </w:rPr>
      </w:pPr>
    </w:p>
    <w:p w:rsidR="00A071FA" w:rsidRDefault="00A071FA" w:rsidP="00A071FA">
      <w:pPr>
        <w:pStyle w:val="a5"/>
        <w:jc w:val="center"/>
        <w:rPr>
          <w:rFonts w:ascii="Times New Roman" w:hAnsi="Times New Roman"/>
          <w:b/>
          <w:sz w:val="24"/>
          <w:szCs w:val="24"/>
        </w:rPr>
      </w:pPr>
    </w:p>
    <w:p w:rsidR="000749C1" w:rsidRPr="00441A4C" w:rsidRDefault="000749C1" w:rsidP="000749C1">
      <w:pPr>
        <w:pStyle w:val="a5"/>
        <w:jc w:val="center"/>
        <w:rPr>
          <w:rFonts w:ascii="Times New Roman" w:hAnsi="Times New Roman"/>
          <w:b/>
          <w:sz w:val="24"/>
          <w:szCs w:val="24"/>
          <w:lang w:val="en-US"/>
        </w:rPr>
      </w:pPr>
    </w:p>
    <w:sectPr w:rsidR="000749C1" w:rsidRPr="00441A4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293" w:rsidRDefault="00AF1293" w:rsidP="005E4B51">
      <w:pPr>
        <w:spacing w:after="0" w:line="240" w:lineRule="auto"/>
      </w:pPr>
      <w:r>
        <w:separator/>
      </w:r>
    </w:p>
  </w:endnote>
  <w:endnote w:type="continuationSeparator" w:id="0">
    <w:p w:rsidR="00AF1293" w:rsidRDefault="00AF129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293" w:rsidRDefault="00AF1293" w:rsidP="005E4B51">
      <w:pPr>
        <w:spacing w:after="0" w:line="240" w:lineRule="auto"/>
      </w:pPr>
      <w:r>
        <w:separator/>
      </w:r>
    </w:p>
  </w:footnote>
  <w:footnote w:type="continuationSeparator" w:id="0">
    <w:p w:rsidR="00AF1293" w:rsidRDefault="00AF129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7013AE" w:rsidRDefault="002B6DFC"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013AE">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013AE">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EF194C"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F194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F194C">
      <w:rPr>
        <w:rFonts w:ascii="Times New Roman" w:hAnsi="Times New Roman"/>
        <w:sz w:val="24"/>
        <w:szCs w:val="24"/>
        <w:lang w:val="en-US" w:eastAsia="ru-RU"/>
      </w:rPr>
      <w:t xml:space="preserve">: </w:t>
    </w:r>
    <w:r w:rsidR="00AF1293">
      <w:fldChar w:fldCharType="begin"/>
    </w:r>
    <w:r w:rsidR="00AF1293" w:rsidRPr="00820B50">
      <w:rPr>
        <w:lang w:val="en-US"/>
      </w:rPr>
      <w:instrText xml:space="preserve"> HYPERLINK "http://www.enpf.kz" </w:instrText>
    </w:r>
    <w:r w:rsidR="00AF1293">
      <w:fldChar w:fldCharType="separate"/>
    </w:r>
    <w:r w:rsidRPr="00B20726">
      <w:rPr>
        <w:rStyle w:val="a8"/>
        <w:rFonts w:ascii="Times New Roman" w:hAnsi="Times New Roman"/>
        <w:sz w:val="24"/>
        <w:szCs w:val="24"/>
        <w:lang w:val="en-US" w:eastAsia="ru-RU"/>
      </w:rPr>
      <w:t>www</w:t>
    </w:r>
    <w:r w:rsidRPr="00EF194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EF194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r w:rsidR="00AF1293">
      <w:rPr>
        <w:rStyle w:val="a8"/>
        <w:rFonts w:ascii="Times New Roman" w:hAnsi="Times New Roman"/>
        <w:sz w:val="24"/>
        <w:szCs w:val="24"/>
        <w:lang w:val="en-US" w:eastAsia="ru-RU"/>
      </w:rPr>
      <w:fldChar w:fldCharType="end"/>
    </w:r>
    <w:r w:rsidRPr="00EF194C">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2"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
  </w:num>
  <w:num w:numId="4">
    <w:abstractNumId w:val="13"/>
  </w:num>
  <w:num w:numId="5">
    <w:abstractNumId w:val="8"/>
  </w:num>
  <w:num w:numId="6">
    <w:abstractNumId w:val="5"/>
  </w:num>
  <w:num w:numId="7">
    <w:abstractNumId w:val="9"/>
  </w:num>
  <w:num w:numId="8">
    <w:abstractNumId w:val="15"/>
  </w:num>
  <w:num w:numId="9">
    <w:abstractNumId w:val="9"/>
  </w:num>
  <w:num w:numId="10">
    <w:abstractNumId w:val="15"/>
  </w:num>
  <w:num w:numId="11">
    <w:abstractNumId w:val="15"/>
  </w:num>
  <w:num w:numId="12">
    <w:abstractNumId w:val="7"/>
  </w:num>
  <w:num w:numId="13">
    <w:abstractNumId w:val="7"/>
  </w:num>
  <w:num w:numId="14">
    <w:abstractNumId w:val="7"/>
  </w:num>
  <w:num w:numId="15">
    <w:abstractNumId w:val="7"/>
  </w:num>
  <w:num w:numId="16">
    <w:abstractNumId w:val="7"/>
  </w:num>
  <w:num w:numId="17">
    <w:abstractNumId w:val="6"/>
  </w:num>
  <w:num w:numId="18">
    <w:abstractNumId w:val="2"/>
  </w:num>
  <w:num w:numId="19">
    <w:abstractNumId w:val="14"/>
  </w:num>
  <w:num w:numId="20">
    <w:abstractNumId w:val="10"/>
  </w:num>
  <w:num w:numId="21">
    <w:abstractNumId w:val="10"/>
  </w:num>
  <w:num w:numId="22">
    <w:abstractNumId w:val="14"/>
  </w:num>
  <w:num w:numId="23">
    <w:abstractNumId w:val="0"/>
  </w:num>
  <w:num w:numId="24">
    <w:abstractNumId w:val="14"/>
  </w:num>
  <w:num w:numId="25">
    <w:abstractNumId w:val="10"/>
  </w:num>
  <w:num w:numId="26">
    <w:abstractNumId w:val="14"/>
  </w:num>
  <w:num w:numId="27">
    <w:abstractNumId w:val="10"/>
  </w:num>
  <w:num w:numId="28">
    <w:abstractNumId w:val="14"/>
  </w:num>
  <w:num w:numId="29">
    <w:abstractNumId w:val="3"/>
  </w:num>
  <w:num w:numId="30">
    <w:abstractNumId w:val="4"/>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B2814"/>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194C"/>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FCA44"/>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4388C-E475-4991-8F49-60201EC16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29</TotalTime>
  <Pages>4</Pages>
  <Words>1100</Words>
  <Characters>6693</Characters>
  <Application>Microsoft Office Word</Application>
  <DocSecurity>0</DocSecurity>
  <Lines>299</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Жиренов Сакен Сабитович</cp:lastModifiedBy>
  <cp:revision>8</cp:revision>
  <cp:lastPrinted>2025-06-12T10:00:00Z</cp:lastPrinted>
  <dcterms:created xsi:type="dcterms:W3CDTF">2026-10-19T08:10:00Z</dcterms:created>
  <dcterms:modified xsi:type="dcterms:W3CDTF">2026-10-20T05:20:00Z</dcterms:modified>
</cp:coreProperties>
</file>