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2.0 -->
  <w:body>
    <w:p>
      <w:pPr>
        <w:pStyle w:val="Heading2"/>
        <w:keepNext w:val="0"/>
        <w:spacing w:before="0" w:after="299"/>
        <w:rPr>
          <w:rFonts w:ascii="Times New Roman" w:eastAsia="Times New Roman" w:hAnsi="Times New Roman" w:cs="Times New Roman"/>
          <w:b/>
          <w:bCs/>
          <w:sz w:val="36"/>
          <w:szCs w:val="36"/>
        </w:rPr>
      </w:pPr>
      <w:r>
        <w:rPr>
          <w:rFonts w:ascii="Times New Roman" w:eastAsia="Times New Roman" w:hAnsi="Times New Roman" w:cs="Times New Roman"/>
          <w:i w:val="0"/>
          <w:iCs w:val="0"/>
          <w:sz w:val="36"/>
          <w:szCs w:val="36"/>
        </w:rPr>
        <w:t xml:space="preserve">Қазақстан Республикасы Өнеркәсіп және құрылыс министрінің «Қазақстан Республикасы Инвестициялар және даму министрінің 2018 жылғы 5 мамырдағы № 312 «Жер қойнауына мемлекеттік мониторингті жүзеге асыру кағидаларын бекіту туралы» бұйрығына өзгеріс енгізу туралы» бұйрығының жобасы </w:t>
      </w:r>
    </w:p>
    <w:tbl>
      <w:tblPr>
        <w:tblW w:w="5000" w:type="pct"/>
        <w:tblCellSpacing w:w="0" w:type="dxa"/>
        <w:tblInd w:w="16" w:type="dxa"/>
        <w:tblBorders>
          <w:top w:val="outset" w:sz="6" w:space="0" w:color="808080"/>
          <w:left w:val="outset" w:sz="6" w:space="0" w:color="808080"/>
          <w:bottom w:val="outset" w:sz="6" w:space="0" w:color="808080"/>
          <w:right w:val="outset" w:sz="6" w:space="0" w:color="808080"/>
        </w:tblBorders>
        <w:tblCellMar>
          <w:top w:w="0" w:type="dxa"/>
          <w:left w:w="0" w:type="dxa"/>
          <w:bottom w:w="0" w:type="dxa"/>
          <w:right w:w="0" w:type="dxa"/>
        </w:tblCellMar>
      </w:tblPr>
      <w:tblGrid>
        <w:gridCol w:w="256"/>
        <w:gridCol w:w="4657"/>
        <w:gridCol w:w="4401"/>
      </w:tblGrid>
      <w:tr>
        <w:tblPrEx>
          <w:tblW w:w="5000" w:type="pct"/>
          <w:tblCellSpacing w:w="0" w:type="dxa"/>
          <w:tblInd w:w="16" w:type="dxa"/>
          <w:tblBorders>
            <w:top w:val="outset" w:sz="6" w:space="0" w:color="808080"/>
            <w:left w:val="outset" w:sz="6" w:space="0" w:color="808080"/>
            <w:bottom w:val="outset" w:sz="6" w:space="0" w:color="808080"/>
            <w:right w:val="outset" w:sz="6" w:space="0" w:color="808080"/>
          </w:tblBorders>
          <w:tblCellMar>
            <w:top w:w="0" w:type="dxa"/>
            <w:left w:w="0" w:type="dxa"/>
            <w:bottom w:w="0" w:type="dxa"/>
            <w:right w:w="0" w:type="dxa"/>
          </w:tblCellMar>
        </w:tblPrEx>
        <w:trPr>
          <w:tblCellSpacing w:w="0" w:type="dxa"/>
        </w:trPr>
        <w:tc>
          <w:tcPr>
            <w:tcW w:w="240" w:type="dxa"/>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1</w:t>
            </w:r>
          </w:p>
        </w:tc>
        <w:tc>
          <w:tcPr>
            <w:tcW w:w="2500" w:type="pct"/>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жобасының атауы (НҚА түрін көрсете отырып)</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 xml:space="preserve">Қазақстан Республикасы Өнеркәсіп және құрылыс министрінің «Қазақстан Республикасы Инвестициялар және даму министрінің 2018 жылғы 5 мамырдағы № 312 «Жер қойнауына мемлекеттік мониторингті жүзеге асыру кағидаларын бекіту туралы» бұйрығына өзгеріс енгізу туралы» бұйрығының жобасы </w:t>
            </w:r>
            <w:r>
              <w:rPr>
                <w:rFonts w:ascii="Times New Roman" w:eastAsia="Times New Roman" w:hAnsi="Times New Roman" w:cs="Times New Roman"/>
                <w:b w:val="0"/>
                <w:bCs w:val="0"/>
                <w:i/>
                <w:iCs/>
                <w:smallCaps w:val="0"/>
                <w:color w:val="000000"/>
              </w:rPr>
              <w:t>(</w:t>
            </w:r>
            <w:r>
              <w:rPr>
                <w:rFonts w:ascii="Times New Roman" w:eastAsia="Times New Roman" w:hAnsi="Times New Roman" w:cs="Times New Roman"/>
                <w:b w:val="0"/>
                <w:bCs w:val="0"/>
                <w:i/>
                <w:iCs/>
                <w:smallCaps w:val="0"/>
                <w:color w:val="000000"/>
              </w:rPr>
              <w:t>бұдан әрі - бұйрық).</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2</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Әзірлеуші мемлекеттік орган</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Қазақстан Республикасы Өнекәсіп және құрылыс министрлігі.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3</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 әзірлеу үшін негіздер (тиісті НҚА немесе тапсырмаға сілтеме жасай отырып (бар болса))</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2026 жылғы 15 наурыздағы республикалық референдумда қабылданған Қазақстан Республикасының Конституциясы.</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4</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жобасының қысқаша мазмұны, негізгі ережелердің сипаттамасы</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Бұйрық жобасымен Қағидалардың 12-тармағына өзгеріс енгізу көзделеді, оған сәйкес жер қойнауының мемлекеттік мониторингін жүргізу кезінде алынатын жер қойнауының жай-күйі туралы ақпаратты уәкілетті орган жыл сайын ағымдағы жылдың бірінші тоқсанында жалпыланған түрде табиғат пайдалану саласындағы шешімдерді қабылдау кезінде қолдану үшін мемлекеттік органдарға, астананың, облыстардың және республикалық маңызы бар қалалардың жергілікті атқарушы органдарына жібереді.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5</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Күтілетін нәтижелердің нақты мақсаттары мен мерзімдері</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Бұйрық жобасы 2026 жылғы 15 наурызда республикалық референдумда қабылданған Қазақстан Республикасының Конституциясына сәйкестендіру мақсатында әзірленді.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6</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 қабылданған жағдайда болжанатын әлеуметтік-экономикалық, құқықтық және (немесе) өзге де салдар</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Болжанбайды.</w:t>
            </w:r>
          </w:p>
        </w:tc>
      </w:tr>
    </w:tbl>
    <w:p w:rsidR="00A77B3E"/>
    <w:sectPr>
      <w:headerReference w:type="even" r:id="rId4"/>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50" type="#_x0000_t136" style="width:406.67pt;height:34.92pt;margin-top:0;margin-left:0;mso-position-horizontal:center;mso-position-horizontal-relative:margin;mso-position-vertical:center;mso-position-vertical-relative:margin;position:absolute;rotation:315;z-index:251659264" fillcolor="red" strokecolor="red">
          <v:fill opacity="0.5"/>
          <v:textpath style="font-family:Arial" string="ПРОЕКТ  ПРОЕКТ  ПРОЕКТ"/>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51" type="#_x0000_t136" style="width:406.67pt;height:34.92pt;margin-top:0;margin-left:0;mso-position-horizontal:center;mso-position-horizontal-relative:margin;mso-position-vertical:center;mso-position-vertical-relative:margin;position:absolute;rotation:315;z-index:251660288" fillcolor="red" strokecolor="red">
          <v:fill opacity="0.5"/>
          <v:textpath style="font-family:Arial" string="ПРОЕКТ  ПРОЕКТ  ПРОЕКТ"/>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49" type="#_x0000_t136" style="width:406.67pt;height:34.92pt;margin-top:0;margin-left:0;mso-position-horizontal:center;mso-position-horizontal-relative:margin;mso-position-vertical:center;mso-position-vertical-relative:margin;position:absolute;rotation:315;z-index:251658240" fillcolor="red" strokecolor="red">
          <v:fill opacity="0.5"/>
          <v:textpath style="font-family:Arial" string="ПРОЕКТ  ПРОЕКТ  ПРОЕКТ"/>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