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C0E116" w14:textId="77777777" w:rsidR="00BC19AB" w:rsidRPr="00852F6B" w:rsidRDefault="00BC19AB" w:rsidP="00F51099">
      <w:pPr>
        <w:pStyle w:val="a5"/>
        <w:jc w:val="center"/>
        <w:rPr>
          <w:rFonts w:ascii="Times New Roman" w:hAnsi="Times New Roman"/>
          <w:b/>
          <w:color w:val="000000"/>
          <w:sz w:val="24"/>
          <w:szCs w:val="24"/>
          <w:lang w:val="kk-KZ"/>
        </w:rPr>
      </w:pPr>
      <w:bookmarkStart w:id="0" w:name="_GoBack"/>
      <w:bookmarkEnd w:id="0"/>
    </w:p>
    <w:p w14:paraId="36BE607B" w14:textId="7C9D2367" w:rsidR="00852F6B" w:rsidRDefault="00852F6B" w:rsidP="00F51099">
      <w:pPr>
        <w:pStyle w:val="a5"/>
        <w:jc w:val="center"/>
        <w:rPr>
          <w:rFonts w:ascii="Times New Roman" w:hAnsi="Times New Roman"/>
          <w:b/>
          <w:color w:val="000000"/>
          <w:sz w:val="24"/>
          <w:szCs w:val="24"/>
          <w:lang w:val="kk-KZ"/>
        </w:rPr>
      </w:pPr>
      <w:r>
        <w:rPr>
          <w:rFonts w:ascii="Times New Roman" w:hAnsi="Times New Roman"/>
          <w:b/>
          <w:color w:val="000000"/>
          <w:sz w:val="24"/>
          <w:szCs w:val="24"/>
          <w:lang w:val="kk-KZ"/>
        </w:rPr>
        <w:t xml:space="preserve">Отандастарымыздың </w:t>
      </w:r>
      <w:r w:rsidR="00BC19AB">
        <w:rPr>
          <w:rFonts w:ascii="Times New Roman" w:hAnsi="Times New Roman"/>
          <w:b/>
          <w:color w:val="000000"/>
          <w:sz w:val="24"/>
          <w:szCs w:val="24"/>
          <w:lang w:val="kk-KZ"/>
        </w:rPr>
        <w:t xml:space="preserve">12 айдағы инвестициялық кірісі </w:t>
      </w:r>
      <w:r w:rsidR="00BC19AB" w:rsidRPr="00BC19AB">
        <w:rPr>
          <w:rFonts w:ascii="Times New Roman" w:hAnsi="Times New Roman"/>
          <w:b/>
          <w:color w:val="000000"/>
          <w:sz w:val="24"/>
          <w:szCs w:val="24"/>
          <w:lang w:val="kk-KZ"/>
        </w:rPr>
        <w:t>2</w:t>
      </w:r>
      <w:r w:rsidR="00694F61">
        <w:rPr>
          <w:rFonts w:ascii="Times New Roman" w:hAnsi="Times New Roman"/>
          <w:b/>
          <w:color w:val="000000"/>
          <w:sz w:val="24"/>
          <w:szCs w:val="24"/>
          <w:lang w:val="kk-KZ"/>
        </w:rPr>
        <w:t>,</w:t>
      </w:r>
      <w:r w:rsidR="00BC19AB">
        <w:rPr>
          <w:rFonts w:ascii="Times New Roman" w:hAnsi="Times New Roman"/>
          <w:b/>
          <w:color w:val="000000"/>
          <w:sz w:val="24"/>
          <w:szCs w:val="24"/>
          <w:lang w:val="kk-KZ"/>
        </w:rPr>
        <w:t>8 трлн теңгеден асты</w:t>
      </w:r>
    </w:p>
    <w:tbl>
      <w:tblPr>
        <w:tblW w:w="10205"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10205"/>
      </w:tblGrid>
      <w:tr w:rsidR="00CF3F8A" w:rsidRPr="00CF3F8A" w14:paraId="3949F625" w14:textId="77777777" w:rsidTr="00CF3F8A">
        <w:tc>
          <w:tcPr>
            <w:tcW w:w="10205" w:type="dxa"/>
            <w:tcBorders>
              <w:top w:val="nil"/>
              <w:left w:val="nil"/>
              <w:bottom w:val="nil"/>
              <w:right w:val="nil"/>
            </w:tcBorders>
            <w:shd w:val="clear" w:color="auto" w:fill="FFFFFF"/>
            <w:tcMar>
              <w:top w:w="113" w:type="dxa"/>
              <w:left w:w="108" w:type="dxa"/>
              <w:bottom w:w="113" w:type="dxa"/>
              <w:right w:w="108" w:type="dxa"/>
            </w:tcMar>
            <w:hideMark/>
          </w:tcPr>
          <w:p w14:paraId="68F27A47" w14:textId="77777777" w:rsidR="00CF3F8A" w:rsidRPr="00CF3F8A" w:rsidRDefault="00CF3F8A" w:rsidP="00CF3F8A">
            <w:pPr>
              <w:pStyle w:val="a5"/>
              <w:rPr>
                <w:rFonts w:ascii="Times New Roman" w:hAnsi="Times New Roman"/>
                <w:b/>
                <w:color w:val="000000"/>
                <w:sz w:val="24"/>
                <w:szCs w:val="24"/>
                <w:lang w:val="kk-KZ"/>
              </w:rPr>
            </w:pPr>
          </w:p>
        </w:tc>
      </w:tr>
      <w:tr w:rsidR="00CF3F8A" w:rsidRPr="00CF3F8A" w14:paraId="5F8E0FBF" w14:textId="77777777" w:rsidTr="00CF3F8A">
        <w:tblPrEx>
          <w:jc w:val="center"/>
          <w:shd w:val="clear" w:color="auto" w:fill="auto"/>
        </w:tblPrEx>
        <w:trPr>
          <w:jc w:val="center"/>
        </w:trPr>
        <w:tc>
          <w:tcPr>
            <w:tcW w:w="10205" w:type="dxa"/>
            <w:tcBorders>
              <w:top w:val="nil"/>
              <w:left w:val="nil"/>
              <w:bottom w:val="nil"/>
              <w:right w:val="nil"/>
            </w:tcBorders>
            <w:tcMar>
              <w:top w:w="113" w:type="dxa"/>
              <w:left w:w="108" w:type="dxa"/>
              <w:bottom w:w="113" w:type="dxa"/>
              <w:right w:w="108" w:type="dxa"/>
            </w:tcMar>
          </w:tcPr>
          <w:p w14:paraId="7D3F5D12" w14:textId="485AEE7D"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Салымшылардың инвестициялық кірісі Қазақстан Ұлттық Банкінің (ҚРҰБ), сондай-ақ инвестициялық портфельді жеке басқарушылардың (ИПБ) зейнетақы активтерін басқару есебінен қалыптастырылады. </w:t>
            </w:r>
          </w:p>
          <w:p w14:paraId="02E269FD" w14:textId="2893DEC4" w:rsidR="00CF3F8A" w:rsidRPr="00CF3F8A" w:rsidRDefault="00694F61"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CF3F8A" w:rsidRPr="00CF3F8A">
              <w:rPr>
                <w:rFonts w:ascii="Times New Roman" w:hAnsi="Times New Roman"/>
                <w:color w:val="000000"/>
                <w:sz w:val="24"/>
                <w:szCs w:val="24"/>
                <w:lang w:val="kk-KZ"/>
              </w:rPr>
              <w:t>ҚРҰБ-тың міндетті зейнетақы жарналары (МЗЖ), міндетті кәсіптік зейнетақы жарналары (МКЗЖ), ерікті зейнетақы жарналары (ЕЗЖ) есебінен зейнетақы активтерін басқару жөніндегі инвестициялық қызметінің нәтижесінде 2025 жылдың маусымынан бастап 2026 жылдың мамырына дейінгі 12 айда есептелген инвестициялық кірістің мөлшері шамамен 2,71 трлн теңгені құра</w:t>
            </w:r>
            <w:r>
              <w:rPr>
                <w:rFonts w:ascii="Times New Roman" w:hAnsi="Times New Roman"/>
                <w:color w:val="000000"/>
                <w:sz w:val="24"/>
                <w:szCs w:val="24"/>
                <w:lang w:val="kk-KZ"/>
              </w:rPr>
              <w:t>ды, осы кезеңдегі кірістілік 11,</w:t>
            </w:r>
            <w:r w:rsidR="00CF3F8A" w:rsidRPr="00CF3F8A">
              <w:rPr>
                <w:rFonts w:ascii="Times New Roman" w:hAnsi="Times New Roman"/>
                <w:color w:val="000000"/>
                <w:sz w:val="24"/>
                <w:szCs w:val="24"/>
                <w:lang w:val="kk-KZ"/>
              </w:rPr>
              <w:t xml:space="preserve">46% болды. </w:t>
            </w:r>
          </w:p>
          <w:p w14:paraId="4308B87F" w14:textId="713B45CA"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Жұмыс берушінің міндетті зейнетақы жарналары (ЖМЗЖ) есебінен 2026 жылғы 1 маусымдағы жағдай бойынша соңғы 12 айда есе</w:t>
            </w:r>
            <w:r w:rsidR="00694F61">
              <w:rPr>
                <w:rFonts w:ascii="Times New Roman" w:hAnsi="Times New Roman"/>
                <w:color w:val="000000"/>
                <w:sz w:val="24"/>
                <w:szCs w:val="24"/>
                <w:lang w:val="kk-KZ"/>
              </w:rPr>
              <w:t>птелген инвестициялық кіріс 115,</w:t>
            </w:r>
            <w:r w:rsidRPr="00CF3F8A">
              <w:rPr>
                <w:rFonts w:ascii="Times New Roman" w:hAnsi="Times New Roman"/>
                <w:color w:val="000000"/>
                <w:sz w:val="24"/>
                <w:szCs w:val="24"/>
                <w:lang w:val="kk-KZ"/>
              </w:rPr>
              <w:t xml:space="preserve">29 млрд теңгені құрады, кірістілік 17,12%. </w:t>
            </w:r>
          </w:p>
          <w:p w14:paraId="409AB2B6" w14:textId="75D869FA"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Еске сала кетейік, зейнетақы активтерінің жекелеген қысқа мерзімді кезеңдердегі кірістілігі оларды ұзақ мерзімді басқару тиімділігінің көрсеткіші бола алмайды. Кірістілік деңгейі қаржы құралдарының, валюта бағамдарының және кезеңнен кезеңге дейінгі өзге де көрсеткіштердің нарықтық құнының құбылмалылығына байланысты екенін атап өту маңызды. Сондықтан инвестициялық кірістің мөлшерін объективті талдауды ұзақ мерзімді кезеңге жасаған жөн.</w:t>
            </w:r>
          </w:p>
          <w:p w14:paraId="09C6C10B" w14:textId="77777777" w:rsidR="00CF3F8A" w:rsidRPr="00CF3F8A" w:rsidRDefault="00CF3F8A" w:rsidP="00CF3F8A">
            <w:p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 xml:space="preserve">1998 жылы жинақтаушы зейнетақы жүйесі құрылған сәттен бастап жинақталған инвестициялық кірістілік 2026 жылғы 1 маусымдағы жағдай бойынша өспелі қорытындымен бүкіл кезеңдегі </w:t>
            </w:r>
            <w:r w:rsidRPr="00CF3F8A">
              <w:rPr>
                <w:rFonts w:ascii="Times New Roman" w:hAnsi="Times New Roman"/>
                <w:b/>
                <w:bCs/>
                <w:color w:val="000000"/>
                <w:sz w:val="24"/>
                <w:szCs w:val="24"/>
                <w:lang w:val="kk-KZ"/>
              </w:rPr>
              <w:t>986,70%</w:t>
            </w:r>
            <w:r w:rsidRPr="00CF3F8A">
              <w:rPr>
                <w:rFonts w:ascii="Times New Roman" w:hAnsi="Times New Roman"/>
                <w:color w:val="000000"/>
                <w:sz w:val="24"/>
                <w:szCs w:val="24"/>
                <w:lang w:val="kk-KZ"/>
              </w:rPr>
              <w:t xml:space="preserve"> инфляция кезінде </w:t>
            </w:r>
            <w:r w:rsidRPr="00CF3F8A">
              <w:rPr>
                <w:rFonts w:ascii="Times New Roman" w:hAnsi="Times New Roman"/>
                <w:b/>
                <w:bCs/>
                <w:color w:val="000000"/>
                <w:sz w:val="24"/>
                <w:szCs w:val="24"/>
                <w:lang w:val="kk-KZ"/>
              </w:rPr>
              <w:t>1 095,39%</w:t>
            </w:r>
            <w:r w:rsidRPr="00CF3F8A">
              <w:rPr>
                <w:rFonts w:ascii="Times New Roman" w:hAnsi="Times New Roman"/>
                <w:color w:val="000000"/>
                <w:sz w:val="24"/>
                <w:szCs w:val="24"/>
                <w:lang w:val="kk-KZ"/>
              </w:rPr>
              <w:t xml:space="preserve"> құрады. </w:t>
            </w:r>
          </w:p>
          <w:p w14:paraId="28E87D11" w14:textId="14E3E5FE" w:rsidR="00CF3F8A" w:rsidRPr="00CF3F8A" w:rsidRDefault="00CF3F8A" w:rsidP="00CF3F8A">
            <w:p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 xml:space="preserve">2026 жылғы 1 маусымдағы жағдай бойынша 01.04.2014 жылдан бастап (зейнетақы активтері БЖЗҚ-ға біріктірілгеннен кейін) жинақталған, ҚРҰБ тапқан таза инвестициялық кіріс – </w:t>
            </w:r>
            <w:r w:rsidRPr="00CF3F8A">
              <w:rPr>
                <w:rFonts w:ascii="Times New Roman" w:hAnsi="Times New Roman"/>
                <w:b/>
                <w:bCs/>
                <w:color w:val="000000"/>
                <w:sz w:val="24"/>
                <w:szCs w:val="24"/>
                <w:lang w:val="kk-KZ"/>
              </w:rPr>
              <w:t>10,94 трлн теңге</w:t>
            </w:r>
            <w:r w:rsidRPr="00CF3F8A">
              <w:rPr>
                <w:rFonts w:ascii="Times New Roman" w:hAnsi="Times New Roman"/>
                <w:color w:val="000000"/>
                <w:sz w:val="24"/>
                <w:szCs w:val="24"/>
                <w:lang w:val="kk-KZ"/>
              </w:rPr>
              <w:t xml:space="preserve">. Оның салымшылардың (алушылардың) зейнетақы жинақтарының жалпы көлеміндегі үлесі – жүргізілген төлемдер есебімен </w:t>
            </w:r>
            <w:r w:rsidR="007E3637">
              <w:rPr>
                <w:rFonts w:ascii="Times New Roman" w:hAnsi="Times New Roman"/>
                <w:b/>
                <w:bCs/>
                <w:color w:val="000000"/>
                <w:sz w:val="24"/>
                <w:szCs w:val="24"/>
                <w:lang w:val="kk-KZ"/>
              </w:rPr>
              <w:t>41,</w:t>
            </w:r>
            <w:r w:rsidRPr="00CF3F8A">
              <w:rPr>
                <w:rFonts w:ascii="Times New Roman" w:hAnsi="Times New Roman"/>
                <w:b/>
                <w:bCs/>
                <w:color w:val="000000"/>
                <w:sz w:val="24"/>
                <w:szCs w:val="24"/>
                <w:lang w:val="kk-KZ"/>
              </w:rPr>
              <w:t>2%</w:t>
            </w:r>
            <w:r w:rsidRPr="00CF3F8A">
              <w:rPr>
                <w:rFonts w:ascii="Times New Roman" w:hAnsi="Times New Roman"/>
                <w:color w:val="000000"/>
                <w:sz w:val="24"/>
                <w:szCs w:val="24"/>
                <w:lang w:val="kk-KZ"/>
              </w:rPr>
              <w:t xml:space="preserve"> құрайды, бұл инвестициялық қызметтің зейнетақы жинақтары құрылымындағы маңыздылығының айғағы.</w:t>
            </w:r>
          </w:p>
          <w:p w14:paraId="7A12C63F" w14:textId="2A408F0F"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Естеріңізге сала кетейік, салымшылар зейнетақы активтерінің бір бөлігін (міндетті зейнетақы жарналары есебінен зейнетақы жинақтарының 50%-на дейін және ерікті зейнетақы жарналары есебінен зейнетақы жинақтарының 100%-на дейін) реттеушінің талаптарына сәйкес келетін жеке инвестициялық портфельді басқарушыға (ИПБ) басқаруға аударуға құқылы. </w:t>
            </w:r>
          </w:p>
          <w:p w14:paraId="3D4C4D42" w14:textId="77777777" w:rsidR="00CF3F8A" w:rsidRPr="00CF3F8A" w:rsidRDefault="00CF3F8A" w:rsidP="00CF3F8A">
            <w:p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Бұл ретте салымшылар ИПБ жұмыс істейтін үш инвестициялық портфельдің бірін таңдай алады:</w:t>
            </w:r>
          </w:p>
          <w:p w14:paraId="333CA5E2"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жасына қарамастан барлық салымшыларға сәйкес келетін Ki (12) портфелі. Ол бойынша ең төменгі кірістілік деңгейі соңғы 12 айда бағаланады;</w:t>
            </w:r>
          </w:p>
          <w:p w14:paraId="38B49ED3"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Ki (36) портфелі, ол зейнетке шыққанға дейін кемінде 3 жыл қалғандарға арналған. Кірістіліктің ең төменгі деңгейі 36 айдың қорытындысы бойынша бағаланады;</w:t>
            </w:r>
          </w:p>
          <w:p w14:paraId="043DE8B0" w14:textId="77777777" w:rsidR="00CF3F8A" w:rsidRPr="00CF3F8A" w:rsidRDefault="00CF3F8A" w:rsidP="00CF3F8A">
            <w:pPr>
              <w:numPr>
                <w:ilvl w:val="0"/>
                <w:numId w:val="10"/>
              </w:numPr>
              <w:spacing w:after="0" w:line="240" w:lineRule="auto"/>
              <w:jc w:val="both"/>
              <w:rPr>
                <w:rFonts w:ascii="Times New Roman" w:hAnsi="Times New Roman"/>
                <w:color w:val="000000"/>
                <w:sz w:val="24"/>
                <w:szCs w:val="24"/>
                <w:lang w:val="kk-KZ"/>
              </w:rPr>
            </w:pPr>
            <w:r w:rsidRPr="00CF3F8A">
              <w:rPr>
                <w:rFonts w:ascii="Times New Roman" w:hAnsi="Times New Roman"/>
                <w:color w:val="000000"/>
                <w:sz w:val="24"/>
                <w:szCs w:val="24"/>
                <w:lang w:val="kk-KZ"/>
              </w:rPr>
              <w:t>ұзақ мерзімді көкжиегі (зейнеткерлікке шыққанға дейін 13 жылдан астам) бар салымшыларға арналған Ki (60) портфелі. Ең төменгі кірістілік деңгейі 60 ай ішінде анықталады.</w:t>
            </w:r>
          </w:p>
          <w:p w14:paraId="561447DB" w14:textId="77777777" w:rsidR="00CF3F8A" w:rsidRPr="00CF3F8A" w:rsidRDefault="00CF3F8A" w:rsidP="00CF3F8A">
            <w:pPr>
              <w:spacing w:after="0" w:line="240" w:lineRule="auto"/>
              <w:jc w:val="both"/>
              <w:rPr>
                <w:rFonts w:ascii="Times New Roman" w:hAnsi="Times New Roman"/>
                <w:color w:val="000000"/>
                <w:sz w:val="24"/>
                <w:szCs w:val="24"/>
                <w:lang w:val="kk-KZ"/>
              </w:rPr>
            </w:pPr>
          </w:p>
          <w:p w14:paraId="631584EF" w14:textId="2AB63D29" w:rsidR="00CF3F8A" w:rsidRPr="00CF3F8A" w:rsidRDefault="00CF3F8A" w:rsidP="00CF3F8A">
            <w:pPr>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F3F8A">
              <w:rPr>
                <w:rFonts w:ascii="Times New Roman" w:hAnsi="Times New Roman"/>
                <w:color w:val="000000"/>
                <w:sz w:val="24"/>
                <w:szCs w:val="24"/>
                <w:lang w:val="kk-KZ"/>
              </w:rPr>
              <w:t xml:space="preserve">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4B999FA3" w14:textId="77777777" w:rsidR="00CF3F8A" w:rsidRPr="00CF3F8A" w:rsidRDefault="00CF3F8A" w:rsidP="00CF3F8A">
            <w:pPr>
              <w:spacing w:after="0" w:line="240" w:lineRule="auto"/>
              <w:jc w:val="both"/>
              <w:rPr>
                <w:rFonts w:ascii="Times New Roman" w:hAnsi="Times New Roman"/>
                <w:b/>
                <w:color w:val="000000"/>
                <w:sz w:val="24"/>
                <w:szCs w:val="24"/>
                <w:lang w:val="kk-KZ"/>
              </w:rPr>
            </w:pPr>
            <w:r w:rsidRPr="00CF3F8A">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CF3F8A">
                <w:rPr>
                  <w:rFonts w:ascii="Times New Roman" w:hAnsi="Times New Roman"/>
                  <w:color w:val="001CAC"/>
                  <w:sz w:val="24"/>
                  <w:szCs w:val="24"/>
                  <w:lang w:val="kk-KZ"/>
                </w:rPr>
                <w:t>www.enpf.kz</w:t>
              </w:r>
            </w:hyperlink>
            <w:r w:rsidRPr="00CF3F8A">
              <w:rPr>
                <w:rFonts w:ascii="Times New Roman" w:hAnsi="Times New Roman"/>
                <w:color w:val="000000"/>
                <w:sz w:val="24"/>
                <w:szCs w:val="24"/>
                <w:lang w:val="kk-KZ"/>
              </w:rPr>
              <w:t>) "Статистика және аналитика/зейнетақы активтерін инвестициялық басқару" бөлімінде, сондай-ақ invest.enpf.kz порталында жарияланады.</w:t>
            </w:r>
          </w:p>
        </w:tc>
      </w:tr>
      <w:tr w:rsidR="00CF3F8A" w:rsidRPr="00CF3F8A" w14:paraId="3D20378F" w14:textId="77777777" w:rsidTr="00CF3F8A">
        <w:tblPrEx>
          <w:jc w:val="center"/>
          <w:shd w:val="clear" w:color="auto" w:fill="auto"/>
        </w:tblPrEx>
        <w:trPr>
          <w:jc w:val="center"/>
        </w:trPr>
        <w:tc>
          <w:tcPr>
            <w:tcW w:w="10205" w:type="dxa"/>
            <w:tcBorders>
              <w:top w:val="nil"/>
              <w:left w:val="nil"/>
              <w:bottom w:val="nil"/>
              <w:right w:val="nil"/>
            </w:tcBorders>
            <w:tcMar>
              <w:top w:w="113" w:type="dxa"/>
              <w:left w:w="108" w:type="dxa"/>
              <w:bottom w:w="113" w:type="dxa"/>
              <w:right w:w="108" w:type="dxa"/>
            </w:tcMar>
            <w:hideMark/>
          </w:tcPr>
          <w:p w14:paraId="67FF02ED" w14:textId="77777777" w:rsidR="00CF3F8A" w:rsidRPr="00CF3F8A" w:rsidRDefault="00CF3F8A" w:rsidP="00CF3F8A">
            <w:pPr>
              <w:spacing w:line="254" w:lineRule="auto"/>
              <w:rPr>
                <w:rFonts w:ascii="Times New Roman" w:hAnsi="Times New Roman"/>
                <w:b/>
                <w:color w:val="000000"/>
                <w:sz w:val="24"/>
                <w:szCs w:val="24"/>
                <w:lang w:val="kk-KZ"/>
              </w:rPr>
            </w:pPr>
          </w:p>
        </w:tc>
      </w:tr>
    </w:tbl>
    <w:p w14:paraId="1C7C4422" w14:textId="77777777" w:rsidR="00CF3F8A" w:rsidRDefault="00CF3F8A" w:rsidP="00CF3F8A">
      <w:pPr>
        <w:pStyle w:val="a5"/>
        <w:jc w:val="both"/>
        <w:rPr>
          <w:rFonts w:ascii="Times New Roman" w:hAnsi="Times New Roman"/>
          <w:i/>
          <w:sz w:val="20"/>
          <w:szCs w:val="20"/>
          <w:lang w:val="kk-KZ" w:eastAsia="ru-RU"/>
        </w:rPr>
      </w:pPr>
    </w:p>
    <w:p w14:paraId="70730CAE" w14:textId="77777777" w:rsidR="00CF3F8A" w:rsidRDefault="00CF3F8A" w:rsidP="00CF3F8A">
      <w:pPr>
        <w:pStyle w:val="a5"/>
        <w:jc w:val="both"/>
        <w:rPr>
          <w:rFonts w:ascii="Times New Roman" w:hAnsi="Times New Roman"/>
          <w:i/>
          <w:sz w:val="20"/>
          <w:szCs w:val="20"/>
          <w:lang w:val="kk-KZ" w:eastAsia="ru-RU"/>
        </w:rPr>
      </w:pPr>
    </w:p>
    <w:p w14:paraId="6574C90C" w14:textId="664E99E6" w:rsidR="00CF3F8A" w:rsidRPr="00CF3F8A" w:rsidRDefault="00CF3F8A" w:rsidP="00CF3F8A">
      <w:pPr>
        <w:pStyle w:val="a5"/>
        <w:jc w:val="both"/>
        <w:rPr>
          <w:rFonts w:ascii="Times New Roman" w:hAnsi="Times New Roman"/>
          <w:i/>
          <w:sz w:val="20"/>
          <w:szCs w:val="20"/>
          <w:lang w:val="kk-KZ" w:eastAsia="ru-RU"/>
        </w:rPr>
      </w:pPr>
      <w:r w:rsidRPr="00CF3F8A">
        <w:rPr>
          <w:rFonts w:ascii="Times New Roman" w:hAnsi="Times New Roman"/>
          <w:i/>
          <w:sz w:val="20"/>
          <w:szCs w:val="20"/>
          <w:lang w:val="kk-KZ" w:eastAsia="ru-RU"/>
        </w:rPr>
        <w:t>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w:t>
      </w:r>
      <w:r>
        <w:rPr>
          <w:rFonts w:ascii="Times New Roman" w:hAnsi="Times New Roman"/>
          <w:i/>
          <w:sz w:val="20"/>
          <w:szCs w:val="20"/>
          <w:lang w:val="kk-KZ" w:eastAsia="ru-RU"/>
        </w:rPr>
        <w:t xml:space="preserve"> </w:t>
      </w:r>
      <w:hyperlink r:id="rId8" w:history="1">
        <w:r w:rsidRPr="00CD3399">
          <w:rPr>
            <w:rFonts w:ascii="Times New Roman" w:hAnsi="Times New Roman"/>
            <w:i/>
            <w:color w:val="001CAC"/>
            <w:sz w:val="20"/>
            <w:szCs w:val="20"/>
            <w:u w:val="single"/>
            <w:lang w:val="kk-KZ" w:eastAsia="ru-RU" w:bidi="hi-IN"/>
          </w:rPr>
          <w:t>www.enpf.kz</w:t>
        </w:r>
      </w:hyperlink>
      <w:r w:rsidRPr="00CF3F8A">
        <w:rPr>
          <w:rFonts w:ascii="Times New Roman" w:hAnsi="Times New Roman"/>
          <w:i/>
          <w:sz w:val="20"/>
          <w:szCs w:val="20"/>
          <w:lang w:val="kk-KZ" w:eastAsia="ru-RU"/>
        </w:rPr>
        <w:t xml:space="preserve"> сайтында). </w:t>
      </w:r>
    </w:p>
    <w:p w14:paraId="4C51C8DF" w14:textId="77777777" w:rsidR="00CF3F8A" w:rsidRPr="00CF3F8A" w:rsidRDefault="00CF3F8A" w:rsidP="00CF3F8A">
      <w:pPr>
        <w:pStyle w:val="a5"/>
        <w:rPr>
          <w:rFonts w:ascii="Times New Roman" w:hAnsi="Times New Roman"/>
          <w:b/>
          <w:color w:val="000000"/>
          <w:sz w:val="24"/>
          <w:szCs w:val="24"/>
          <w:lang w:val="kk-KZ"/>
        </w:rPr>
      </w:pPr>
    </w:p>
    <w:p w14:paraId="1BA663F6" w14:textId="77777777" w:rsidR="00535DF9" w:rsidRPr="00BC19AB" w:rsidRDefault="00535DF9" w:rsidP="00F51099">
      <w:pPr>
        <w:pStyle w:val="a5"/>
        <w:jc w:val="center"/>
        <w:rPr>
          <w:rFonts w:ascii="Times New Roman" w:hAnsi="Times New Roman"/>
          <w:b/>
          <w:color w:val="000000"/>
          <w:sz w:val="24"/>
          <w:szCs w:val="24"/>
          <w:lang w:val="kk-KZ"/>
        </w:rPr>
      </w:pPr>
    </w:p>
    <w:sectPr w:rsidR="00535DF9" w:rsidRPr="00BC19AB"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DBD796" w14:textId="77777777" w:rsidR="007E7ED6" w:rsidRDefault="007E7ED6" w:rsidP="005E4B51">
      <w:pPr>
        <w:spacing w:after="0" w:line="240" w:lineRule="auto"/>
      </w:pPr>
      <w:r>
        <w:separator/>
      </w:r>
    </w:p>
  </w:endnote>
  <w:endnote w:type="continuationSeparator" w:id="0">
    <w:p w14:paraId="4392EF00" w14:textId="77777777" w:rsidR="007E7ED6" w:rsidRDefault="007E7ED6"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6D3CF1" w14:textId="7A527178" w:rsidR="00464AE8" w:rsidRPr="00852F6B" w:rsidRDefault="00852F6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930CCB" w14:textId="77777777" w:rsidR="007E7ED6" w:rsidRDefault="007E7ED6" w:rsidP="005E4B51">
      <w:pPr>
        <w:spacing w:after="0" w:line="240" w:lineRule="auto"/>
      </w:pPr>
      <w:r>
        <w:separator/>
      </w:r>
    </w:p>
  </w:footnote>
  <w:footnote w:type="continuationSeparator" w:id="0">
    <w:p w14:paraId="67A34693" w14:textId="77777777" w:rsidR="007E7ED6" w:rsidRDefault="007E7ED6" w:rsidP="005E4B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7461A8" w14:textId="7C74916C"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852F6B">
      <w:rPr>
        <w:rFonts w:ascii="Times New Roman" w:hAnsi="Times New Roman"/>
        <w:sz w:val="24"/>
        <w:szCs w:val="24"/>
      </w:rPr>
      <w:t>БА</w:t>
    </w:r>
    <w:r w:rsidR="00852F6B">
      <w:rPr>
        <w:rFonts w:ascii="Times New Roman" w:hAnsi="Times New Roman"/>
        <w:sz w:val="24"/>
        <w:szCs w:val="24"/>
        <w:lang w:val="kk-KZ"/>
      </w:rPr>
      <w:t>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F39BEB4" w:rsidR="00464AE8" w:rsidRPr="00852F6B" w:rsidRDefault="00852F6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852F6B">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852F6B">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852F6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852F6B">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852F6B">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cx1="http://schemas.microsoft.com/office/drawing/2015/9/8/chartex" xmlns:cx="http://schemas.microsoft.com/office/drawing/2014/chartex">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852F6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852F6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852F6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852F6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852F6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852F6B">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cx1="http://schemas.microsoft.com/office/drawing/2015/9/8/chartex" xmlns:cx="http://schemas.microsoft.com/office/drawing/2014/chartex">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AD32CC"/>
    <w:multiLevelType w:val="hybridMultilevel"/>
    <w:tmpl w:val="12C80902"/>
    <w:lvl w:ilvl="0" w:tplc="FA10D982">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nsid w:val="3166474B"/>
    <w:multiLevelType w:val="hybridMultilevel"/>
    <w:tmpl w:val="B3623A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C676B91"/>
    <w:multiLevelType w:val="hybridMultilevel"/>
    <w:tmpl w:val="06681D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8"/>
  </w:num>
  <w:num w:numId="3">
    <w:abstractNumId w:val="0"/>
  </w:num>
  <w:num w:numId="4">
    <w:abstractNumId w:val="3"/>
  </w:num>
  <w:num w:numId="5">
    <w:abstractNumId w:val="2"/>
  </w:num>
  <w:num w:numId="6">
    <w:abstractNumId w:val="6"/>
  </w:num>
  <w:num w:numId="7">
    <w:abstractNumId w:val="7"/>
  </w:num>
  <w:num w:numId="8">
    <w:abstractNumId w:val="5"/>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AA1"/>
    <w:rsid w:val="000D026B"/>
    <w:rsid w:val="000D284A"/>
    <w:rsid w:val="000D5BF8"/>
    <w:rsid w:val="000D76F5"/>
    <w:rsid w:val="000E173B"/>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6D65"/>
    <w:rsid w:val="001C7996"/>
    <w:rsid w:val="001C7C95"/>
    <w:rsid w:val="001D33B6"/>
    <w:rsid w:val="001D415B"/>
    <w:rsid w:val="001D6020"/>
    <w:rsid w:val="001E0745"/>
    <w:rsid w:val="001E17B7"/>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30AD1"/>
    <w:rsid w:val="002320AC"/>
    <w:rsid w:val="0023252A"/>
    <w:rsid w:val="00232AAC"/>
    <w:rsid w:val="002346F2"/>
    <w:rsid w:val="00234B0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B2B77"/>
    <w:rsid w:val="002B39A1"/>
    <w:rsid w:val="002B3AF3"/>
    <w:rsid w:val="002B49F6"/>
    <w:rsid w:val="002B575E"/>
    <w:rsid w:val="002D62A9"/>
    <w:rsid w:val="002D7EE8"/>
    <w:rsid w:val="002E0CE5"/>
    <w:rsid w:val="002E7C7B"/>
    <w:rsid w:val="002F1A10"/>
    <w:rsid w:val="002F38C1"/>
    <w:rsid w:val="00300D07"/>
    <w:rsid w:val="0030300E"/>
    <w:rsid w:val="0030377A"/>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2D7F"/>
    <w:rsid w:val="00353FAE"/>
    <w:rsid w:val="00365163"/>
    <w:rsid w:val="00365A51"/>
    <w:rsid w:val="003666EB"/>
    <w:rsid w:val="00375843"/>
    <w:rsid w:val="00391897"/>
    <w:rsid w:val="00392E7D"/>
    <w:rsid w:val="00396221"/>
    <w:rsid w:val="00397C99"/>
    <w:rsid w:val="003A471F"/>
    <w:rsid w:val="003A6BBC"/>
    <w:rsid w:val="003B5636"/>
    <w:rsid w:val="003B5E6C"/>
    <w:rsid w:val="003C3790"/>
    <w:rsid w:val="003C60D4"/>
    <w:rsid w:val="003C68BD"/>
    <w:rsid w:val="003C7B4E"/>
    <w:rsid w:val="003C7CA3"/>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294D"/>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B7B34"/>
    <w:rsid w:val="004C0968"/>
    <w:rsid w:val="004C3479"/>
    <w:rsid w:val="004D011C"/>
    <w:rsid w:val="004D02B5"/>
    <w:rsid w:val="004E03C3"/>
    <w:rsid w:val="004E142A"/>
    <w:rsid w:val="004E3880"/>
    <w:rsid w:val="004E623D"/>
    <w:rsid w:val="004E63A4"/>
    <w:rsid w:val="004F1912"/>
    <w:rsid w:val="004F6F3B"/>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5DF9"/>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B7FD2"/>
    <w:rsid w:val="005C45A6"/>
    <w:rsid w:val="005C5635"/>
    <w:rsid w:val="005D4AF7"/>
    <w:rsid w:val="005D5BBE"/>
    <w:rsid w:val="005D656C"/>
    <w:rsid w:val="005E0EC9"/>
    <w:rsid w:val="005E29F2"/>
    <w:rsid w:val="005E4B51"/>
    <w:rsid w:val="005E7E74"/>
    <w:rsid w:val="005F1FB0"/>
    <w:rsid w:val="005F3656"/>
    <w:rsid w:val="005F4165"/>
    <w:rsid w:val="005F70D1"/>
    <w:rsid w:val="005F76E8"/>
    <w:rsid w:val="00601824"/>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50234"/>
    <w:rsid w:val="00651BC7"/>
    <w:rsid w:val="00653C28"/>
    <w:rsid w:val="00654A0B"/>
    <w:rsid w:val="006560A8"/>
    <w:rsid w:val="006637D8"/>
    <w:rsid w:val="006662FF"/>
    <w:rsid w:val="00666BD8"/>
    <w:rsid w:val="00670897"/>
    <w:rsid w:val="00674FF0"/>
    <w:rsid w:val="00683A3D"/>
    <w:rsid w:val="00684D2D"/>
    <w:rsid w:val="00687122"/>
    <w:rsid w:val="006911E7"/>
    <w:rsid w:val="00691BD0"/>
    <w:rsid w:val="00693EE4"/>
    <w:rsid w:val="00694F61"/>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4B45"/>
    <w:rsid w:val="006D68BF"/>
    <w:rsid w:val="006E6E25"/>
    <w:rsid w:val="006E714C"/>
    <w:rsid w:val="006F1493"/>
    <w:rsid w:val="006F49AA"/>
    <w:rsid w:val="006F7120"/>
    <w:rsid w:val="00700812"/>
    <w:rsid w:val="00706A84"/>
    <w:rsid w:val="00713720"/>
    <w:rsid w:val="007162ED"/>
    <w:rsid w:val="00722E03"/>
    <w:rsid w:val="00733DAB"/>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C09CE"/>
    <w:rsid w:val="007C2B4C"/>
    <w:rsid w:val="007C3CA6"/>
    <w:rsid w:val="007C469A"/>
    <w:rsid w:val="007D5598"/>
    <w:rsid w:val="007D6358"/>
    <w:rsid w:val="007E0E94"/>
    <w:rsid w:val="007E3637"/>
    <w:rsid w:val="007E3DD2"/>
    <w:rsid w:val="007E7ED6"/>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27D4"/>
    <w:rsid w:val="00852F6B"/>
    <w:rsid w:val="00853A3E"/>
    <w:rsid w:val="008600C0"/>
    <w:rsid w:val="008615BC"/>
    <w:rsid w:val="00862514"/>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EE"/>
    <w:rsid w:val="00986108"/>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75E3"/>
    <w:rsid w:val="009F0F1E"/>
    <w:rsid w:val="009F5277"/>
    <w:rsid w:val="00A02A20"/>
    <w:rsid w:val="00A03192"/>
    <w:rsid w:val="00A04786"/>
    <w:rsid w:val="00A07284"/>
    <w:rsid w:val="00A0761C"/>
    <w:rsid w:val="00A136F9"/>
    <w:rsid w:val="00A15B79"/>
    <w:rsid w:val="00A169E9"/>
    <w:rsid w:val="00A27D24"/>
    <w:rsid w:val="00A31078"/>
    <w:rsid w:val="00A31CA0"/>
    <w:rsid w:val="00A31CDC"/>
    <w:rsid w:val="00A32675"/>
    <w:rsid w:val="00A331E0"/>
    <w:rsid w:val="00A41696"/>
    <w:rsid w:val="00A43C21"/>
    <w:rsid w:val="00A44ED9"/>
    <w:rsid w:val="00A52456"/>
    <w:rsid w:val="00A62A32"/>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3639F"/>
    <w:rsid w:val="00B36C8C"/>
    <w:rsid w:val="00B50535"/>
    <w:rsid w:val="00B5093A"/>
    <w:rsid w:val="00B52200"/>
    <w:rsid w:val="00B564D4"/>
    <w:rsid w:val="00B57841"/>
    <w:rsid w:val="00B71D49"/>
    <w:rsid w:val="00B72A81"/>
    <w:rsid w:val="00B8655B"/>
    <w:rsid w:val="00B97199"/>
    <w:rsid w:val="00BA04FF"/>
    <w:rsid w:val="00BA257E"/>
    <w:rsid w:val="00BC19AB"/>
    <w:rsid w:val="00BD59C7"/>
    <w:rsid w:val="00BD652F"/>
    <w:rsid w:val="00BE0A48"/>
    <w:rsid w:val="00BE407E"/>
    <w:rsid w:val="00BE4AC9"/>
    <w:rsid w:val="00BE703D"/>
    <w:rsid w:val="00BF15BD"/>
    <w:rsid w:val="00BF4BDD"/>
    <w:rsid w:val="00C01112"/>
    <w:rsid w:val="00C028F9"/>
    <w:rsid w:val="00C07C71"/>
    <w:rsid w:val="00C12DF1"/>
    <w:rsid w:val="00C13B16"/>
    <w:rsid w:val="00C14453"/>
    <w:rsid w:val="00C15EB4"/>
    <w:rsid w:val="00C179E0"/>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1E2A"/>
    <w:rsid w:val="00C70B46"/>
    <w:rsid w:val="00C710A4"/>
    <w:rsid w:val="00C721FE"/>
    <w:rsid w:val="00C8183C"/>
    <w:rsid w:val="00C853FF"/>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C34"/>
    <w:rsid w:val="00CF3F8A"/>
    <w:rsid w:val="00CF45AB"/>
    <w:rsid w:val="00CF4B77"/>
    <w:rsid w:val="00CF55DB"/>
    <w:rsid w:val="00CF6316"/>
    <w:rsid w:val="00CF66E6"/>
    <w:rsid w:val="00CF7D2E"/>
    <w:rsid w:val="00D05A79"/>
    <w:rsid w:val="00D0778C"/>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61A8"/>
    <w:rsid w:val="00D7014E"/>
    <w:rsid w:val="00D73C07"/>
    <w:rsid w:val="00D75DE0"/>
    <w:rsid w:val="00D777C0"/>
    <w:rsid w:val="00D77D04"/>
    <w:rsid w:val="00D82181"/>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237E"/>
    <w:rsid w:val="00E02937"/>
    <w:rsid w:val="00E02CE9"/>
    <w:rsid w:val="00E03250"/>
    <w:rsid w:val="00E0407C"/>
    <w:rsid w:val="00E15458"/>
    <w:rsid w:val="00E17D4E"/>
    <w:rsid w:val="00E2106D"/>
    <w:rsid w:val="00E21A06"/>
    <w:rsid w:val="00E251D1"/>
    <w:rsid w:val="00E256E2"/>
    <w:rsid w:val="00E323ED"/>
    <w:rsid w:val="00E3254D"/>
    <w:rsid w:val="00E34C9F"/>
    <w:rsid w:val="00E425DC"/>
    <w:rsid w:val="00E44941"/>
    <w:rsid w:val="00E53F8D"/>
    <w:rsid w:val="00E63501"/>
    <w:rsid w:val="00E65D06"/>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82DF9"/>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166"/>
    <w:rsid w:val="00FD264A"/>
    <w:rsid w:val="00FD4F08"/>
    <w:rsid w:val="00FD6DEC"/>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84511057">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598319971">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09389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суд.dotx</Template>
  <TotalTime>0</TotalTime>
  <Pages>2</Pages>
  <Words>719</Words>
  <Characters>4104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User</cp:lastModifiedBy>
  <cp:revision>2</cp:revision>
  <cp:lastPrinted>2026-06-23T09:28:00Z</cp:lastPrinted>
  <dcterms:created xsi:type="dcterms:W3CDTF">2026-07-20T10:46:00Z</dcterms:created>
  <dcterms:modified xsi:type="dcterms:W3CDTF">2026-07-20T10:46:00Z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