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99E06" w14:textId="77777777" w:rsidR="00EA2A70" w:rsidRPr="00EA2A70" w:rsidRDefault="00EA2A70" w:rsidP="00EA2A70">
      <w:pPr>
        <w:spacing w:after="0" w:line="240" w:lineRule="auto"/>
        <w:jc w:val="center"/>
        <w:rPr>
          <w:rFonts w:ascii="Times New Roman" w:hAnsi="Times New Roman"/>
          <w:b/>
          <w:color w:val="000000" w:themeColor="text1"/>
          <w:sz w:val="28"/>
          <w:szCs w:val="28"/>
        </w:rPr>
      </w:pPr>
      <w:bookmarkStart w:id="0" w:name="_GoBack"/>
      <w:bookmarkEnd w:id="0"/>
      <w:r w:rsidRPr="00EA2A70">
        <w:rPr>
          <w:rFonts w:ascii="Times New Roman" w:hAnsi="Times New Roman"/>
          <w:b/>
          <w:color w:val="000000" w:themeColor="text1"/>
          <w:sz w:val="28"/>
          <w:szCs w:val="28"/>
        </w:rPr>
        <w:t xml:space="preserve">2025 жылдың қорытындысы бойынша </w:t>
      </w:r>
    </w:p>
    <w:p w14:paraId="30A00846" w14:textId="77777777" w:rsidR="00EA2A70" w:rsidRPr="00EA2A70" w:rsidRDefault="00EA2A70" w:rsidP="00EA2A70">
      <w:pPr>
        <w:spacing w:after="0" w:line="240" w:lineRule="auto"/>
        <w:jc w:val="center"/>
        <w:rPr>
          <w:rFonts w:ascii="Times New Roman" w:hAnsi="Times New Roman"/>
          <w:b/>
          <w:color w:val="000000" w:themeColor="text1"/>
          <w:sz w:val="28"/>
          <w:szCs w:val="28"/>
        </w:rPr>
      </w:pPr>
      <w:r w:rsidRPr="00EA2A70">
        <w:rPr>
          <w:rFonts w:ascii="Times New Roman" w:hAnsi="Times New Roman"/>
          <w:b/>
          <w:color w:val="000000" w:themeColor="text1"/>
          <w:sz w:val="28"/>
          <w:szCs w:val="28"/>
        </w:rPr>
        <w:t>Қазақстанның</w:t>
      </w:r>
      <w:r w:rsidRPr="00EA2A70">
        <w:rPr>
          <w:rFonts w:ascii="Times New Roman" w:hAnsi="Times New Roman"/>
          <w:b/>
          <w:color w:val="000000" w:themeColor="text1"/>
          <w:sz w:val="28"/>
          <w:szCs w:val="28"/>
          <w:lang w:val="kk-KZ"/>
        </w:rPr>
        <w:t xml:space="preserve"> </w:t>
      </w:r>
      <w:r w:rsidRPr="00EA2A70">
        <w:rPr>
          <w:rFonts w:ascii="Times New Roman" w:hAnsi="Times New Roman"/>
          <w:b/>
          <w:color w:val="000000" w:themeColor="text1"/>
          <w:sz w:val="28"/>
          <w:szCs w:val="28"/>
        </w:rPr>
        <w:t xml:space="preserve">демографиялық </w:t>
      </w:r>
      <w:r w:rsidRPr="00EA2A70">
        <w:rPr>
          <w:rFonts w:ascii="Times New Roman" w:hAnsi="Times New Roman"/>
          <w:b/>
          <w:color w:val="000000" w:themeColor="text1"/>
          <w:sz w:val="28"/>
          <w:szCs w:val="28"/>
          <w:lang w:val="kk-KZ"/>
        </w:rPr>
        <w:t xml:space="preserve">сипаттамасы </w:t>
      </w:r>
      <w:r w:rsidRPr="00EA2A70">
        <w:rPr>
          <w:rFonts w:ascii="Times New Roman" w:hAnsi="Times New Roman"/>
          <w:b/>
          <w:color w:val="000000" w:themeColor="text1"/>
          <w:sz w:val="28"/>
          <w:szCs w:val="28"/>
        </w:rPr>
        <w:t>және болашаққа болжамдар</w:t>
      </w:r>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2026 жылғы 1 қаңтардағы жағдай бойынша Қазақстан халқының саны шамамен </w:t>
      </w:r>
      <w:r w:rsidRPr="00EA2A70">
        <w:rPr>
          <w:rFonts w:ascii="Times New Roman" w:hAnsi="Times New Roman"/>
          <w:b/>
          <w:color w:val="000000" w:themeColor="text1"/>
          <w:sz w:val="24"/>
          <w:szCs w:val="24"/>
        </w:rPr>
        <w:t>20,5 млн адам</w:t>
      </w:r>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Оның ішінде 25 жасқа дейінгі азаматтар – 8,79 млн адам (42,9%), 25 жастан 65 жасқа дейінгілер – 9,73 млн адам (47,5%), 65 жастан асқандар – 1,98 млн адам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Демографиялық болжамдарға сәйкес, 2050 жылға қарай халық саны </w:t>
      </w:r>
      <w:r w:rsidRPr="00EA2A70">
        <w:rPr>
          <w:rFonts w:ascii="Times New Roman" w:hAnsi="Times New Roman"/>
          <w:b/>
          <w:color w:val="000000" w:themeColor="text1"/>
          <w:sz w:val="24"/>
          <w:szCs w:val="24"/>
        </w:rPr>
        <w:t>26,5 млн адамға</w:t>
      </w:r>
      <w:r w:rsidRPr="00EA2A70">
        <w:rPr>
          <w:rFonts w:ascii="Times New Roman" w:hAnsi="Times New Roman"/>
          <w:color w:val="000000" w:themeColor="text1"/>
          <w:sz w:val="24"/>
          <w:szCs w:val="24"/>
        </w:rPr>
        <w:t xml:space="preserve"> дейін өседі.</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Қазақстан халқы санының өсуімен қатар оның </w:t>
      </w:r>
      <w:r w:rsidRPr="00EA2A70">
        <w:rPr>
          <w:rFonts w:ascii="Times New Roman" w:hAnsi="Times New Roman"/>
          <w:b/>
          <w:color w:val="000000" w:themeColor="text1"/>
          <w:sz w:val="24"/>
          <w:szCs w:val="24"/>
        </w:rPr>
        <w:t>жас құрылымы</w:t>
      </w:r>
      <w:r w:rsidRPr="00EA2A70">
        <w:rPr>
          <w:rFonts w:ascii="Times New Roman" w:hAnsi="Times New Roman"/>
          <w:color w:val="000000" w:themeColor="text1"/>
          <w:sz w:val="24"/>
          <w:szCs w:val="24"/>
        </w:rPr>
        <w:t xml:space="preserve"> да өзгеруде: өмір сүру ұзақтығы артып, туу деңгейі төмендеп, егде жастағы азаматтардың үлесі өсуде, сондай-ақ еңбекке қабілетті халық санының зейнеткерлер санына арақатынасы қысқаруда. Бұл өзгерістер елдің әлеуметтік-экономикалық жүйесіне, оның ішінде зейнетақы жүйесіне елеулі ықпал етуде.</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Демография мен еңбек нарығындағы жаһандық үрдістерді</w:t>
      </w:r>
      <w:r w:rsidRPr="00EA2A70">
        <w:rPr>
          <w:rFonts w:ascii="Times New Roman" w:hAnsi="Times New Roman"/>
          <w:color w:val="000000" w:themeColor="text1"/>
          <w:sz w:val="24"/>
          <w:szCs w:val="24"/>
        </w:rPr>
        <w:t xml:space="preserve"> ескере отырып, Мемлекет басшысы өз Жолдауында </w:t>
      </w:r>
      <w:r w:rsidRPr="00EA2A70">
        <w:rPr>
          <w:rFonts w:ascii="Times New Roman" w:hAnsi="Times New Roman"/>
          <w:i/>
          <w:color w:val="000000" w:themeColor="text1"/>
          <w:sz w:val="24"/>
          <w:szCs w:val="24"/>
        </w:rPr>
        <w:t>«зейнетақы жүйесінің қаржылық тұрақтылығын нығайту, ұзақ мерзімді теңгерімді және зейнетақылардың лайықты деңгейін қамтамасыз ету жөнінде шаралар қабылдау»</w:t>
      </w:r>
      <w:r w:rsidRPr="00EA2A70">
        <w:rPr>
          <w:rFonts w:ascii="Times New Roman" w:hAnsi="Times New Roman"/>
          <w:color w:val="000000" w:themeColor="text1"/>
          <w:sz w:val="24"/>
          <w:szCs w:val="24"/>
        </w:rPr>
        <w:t xml:space="preserve"> міндетін қойды.</w:t>
      </w:r>
    </w:p>
    <w:p w14:paraId="535B11C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Өмір сүру ұзақтығы және егде жастағы адамдардың үлесі</w:t>
      </w:r>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r w:rsidRPr="00EA2A70">
        <w:rPr>
          <w:rFonts w:ascii="Times New Roman" w:hAnsi="Times New Roman"/>
          <w:color w:val="000000" w:themeColor="text1"/>
          <w:sz w:val="24"/>
          <w:szCs w:val="24"/>
        </w:rPr>
        <w:t>үтілетін өмір сүру ұзақтығы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жылдары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байланысты төмендеген 2021 жылғы 70,23 жастан 2025 жылы </w:t>
      </w:r>
      <w:r w:rsidRPr="00EA2A70">
        <w:rPr>
          <w:rFonts w:ascii="Times New Roman" w:hAnsi="Times New Roman"/>
          <w:b/>
          <w:color w:val="000000" w:themeColor="text1"/>
          <w:sz w:val="24"/>
          <w:szCs w:val="24"/>
        </w:rPr>
        <w:t>75,97 жасқа</w:t>
      </w:r>
      <w:r w:rsidRPr="00EA2A70">
        <w:rPr>
          <w:rFonts w:ascii="Times New Roman" w:hAnsi="Times New Roman"/>
          <w:color w:val="000000" w:themeColor="text1"/>
          <w:sz w:val="24"/>
          <w:szCs w:val="24"/>
        </w:rPr>
        <w:t xml:space="preserve"> дейін өсті.</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Осындай үрдіс жаһандық деңгейде де байқалады: Дүниежүзілік денсаулық сақтау ұйымының (ДДҰ) бағалауынша,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жасқа дейін төмендеген әлемдегі орташа күтілетін өмір сүру ұзақтығы 2025 жылға қарай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дейінгі деңгейіне қайта оралып, орта есеппен </w:t>
      </w:r>
      <w:r w:rsidRPr="00EA2A70">
        <w:rPr>
          <w:rFonts w:ascii="Times New Roman" w:hAnsi="Times New Roman"/>
          <w:b/>
          <w:color w:val="000000" w:themeColor="text1"/>
          <w:sz w:val="24"/>
          <w:szCs w:val="24"/>
        </w:rPr>
        <w:t>73,8 жас</w:t>
      </w:r>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Осылайша, Қазақстан күтілетін өмір сүру ұзақтығы көрсеткішінің өсуі бойынша </w:t>
      </w:r>
      <w:r w:rsidRPr="00EA2A70">
        <w:rPr>
          <w:rFonts w:ascii="Times New Roman" w:hAnsi="Times New Roman"/>
          <w:b/>
          <w:color w:val="000000" w:themeColor="text1"/>
          <w:sz w:val="24"/>
          <w:szCs w:val="24"/>
        </w:rPr>
        <w:t xml:space="preserve">әлемдік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келеді (кестені қараңыз):</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Бұл ретте егде жастағы халық үлесінің айтарлықтай өсуі болжанады.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болжамдарына сәйкес</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жылға қарай </w:t>
      </w:r>
      <w:r w:rsidRPr="00EA2A70">
        <w:rPr>
          <w:rFonts w:ascii="Times New Roman" w:hAnsi="Times New Roman"/>
          <w:b/>
          <w:color w:val="000000" w:themeColor="text1"/>
          <w:sz w:val="24"/>
          <w:szCs w:val="24"/>
        </w:rPr>
        <w:t>60 және одан жоғары жастағы</w:t>
      </w:r>
      <w:r w:rsidRPr="00EA2A70">
        <w:rPr>
          <w:rFonts w:ascii="Times New Roman" w:hAnsi="Times New Roman"/>
          <w:color w:val="000000" w:themeColor="text1"/>
          <w:sz w:val="24"/>
          <w:szCs w:val="24"/>
        </w:rPr>
        <w:t xml:space="preserve"> азаматтардың үлесі Қазақстандағы халықтың жалпы көлемінің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жетеді, бұл халықаралық жіктеу бойынша "демографиялық кәріліктің өте жоғары деңгейі"</w:t>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көрсеткішіне сәйкес келеді. Басқаша айтқанда, ғасырдың ортасына қарай орта есеппен әрбір алтыншы қазақстандық 60 жастан асқан болады.</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r w:rsidRPr="00EA2A70">
        <w:rPr>
          <w:rFonts w:ascii="Times New Roman" w:hAnsi="Times New Roman"/>
          <w:b/>
          <w:i/>
          <w:color w:val="000000" w:themeColor="text1"/>
          <w:sz w:val="24"/>
          <w:szCs w:val="24"/>
        </w:rPr>
        <w:lastRenderedPageBreak/>
        <w:t>Халықтың жалпы көлеміндегі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r w:rsidRPr="00EA2A70">
        <w:rPr>
          <w:rFonts w:ascii="Times New Roman" w:hAnsi="Times New Roman"/>
          <w:b/>
          <w:i/>
          <w:color w:val="000000" w:themeColor="text1"/>
          <w:sz w:val="24"/>
          <w:szCs w:val="24"/>
        </w:rPr>
        <w:t>адамдардың үлес</w:t>
      </w:r>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болжамы</w:t>
      </w:r>
    </w:p>
    <w:p w14:paraId="2C614C58" w14:textId="77777777" w:rsidR="00EA2A70" w:rsidRPr="00EA2A70" w:rsidRDefault="00EA2A70" w:rsidP="00EA2A70">
      <w:pPr>
        <w:spacing w:after="0" w:line="240" w:lineRule="auto"/>
        <w:ind w:firstLine="709"/>
        <w:jc w:val="center"/>
        <w:rPr>
          <w:rFonts w:ascii="Times New Roman" w:hAnsi="Times New Roman"/>
          <w:color w:val="000000" w:themeColor="text1"/>
          <w:sz w:val="24"/>
          <w:szCs w:val="24"/>
        </w:rPr>
      </w:pPr>
      <w:r w:rsidRPr="00EA2A70">
        <w:rPr>
          <w:rFonts w:ascii="Times New Roman" w:hAnsi="Times New Roman"/>
          <w:noProof/>
          <w:color w:val="000000" w:themeColor="text1"/>
          <w:sz w:val="24"/>
          <w:szCs w:val="24"/>
          <w:lang w:eastAsia="ru-RU"/>
        </w:rPr>
        <w:drawing>
          <wp:inline distT="0" distB="0" distL="0" distR="0" wp14:anchorId="44A46A8B" wp14:editId="729831AE">
            <wp:extent cx="5961380" cy="2059388"/>
            <wp:effectExtent l="0" t="0" r="1270" b="1714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Туудың жиынтық коэффициенті</w:t>
      </w:r>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Халықтың құрылымына айтарлықтай әсер ететін көрсеткіштердің бірі – </w:t>
      </w:r>
      <w:r w:rsidRPr="00EA2A70">
        <w:rPr>
          <w:rFonts w:ascii="Times New Roman" w:hAnsi="Times New Roman"/>
          <w:b/>
          <w:color w:val="000000" w:themeColor="text1"/>
          <w:sz w:val="24"/>
          <w:szCs w:val="24"/>
        </w:rPr>
        <w:t>туудың жиынтық коэффициенті (ТЖК)</w:t>
      </w:r>
      <w:r w:rsidRPr="00EA2A70">
        <w:rPr>
          <w:rFonts w:ascii="Times New Roman" w:hAnsi="Times New Roman"/>
          <w:color w:val="000000" w:themeColor="text1"/>
          <w:sz w:val="24"/>
          <w:szCs w:val="24"/>
        </w:rPr>
        <w:t>. Ол бір әйелдің бүкіл репродуктивтік кезеңі ішінде (яғни шамамен 15 жастан 50 жасқа дейін) орта есеппен қанша бала туатынын көрсетеді.</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2020–2021 жылдар</w:t>
      </w:r>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ТЖК-нің қалыпты өсуі</w:t>
      </w:r>
      <w:r w:rsidRPr="00EA2A70">
        <w:rPr>
          <w:rFonts w:ascii="Times New Roman" w:hAnsi="Times New Roman"/>
          <w:color w:val="000000" w:themeColor="text1"/>
          <w:sz w:val="24"/>
          <w:szCs w:val="24"/>
          <w:lang w:val="kk-KZ"/>
        </w:rPr>
        <w:t xml:space="preserve">нен </w:t>
      </w:r>
      <w:r w:rsidRPr="00EA2A70">
        <w:rPr>
          <w:rFonts w:ascii="Times New Roman" w:hAnsi="Times New Roman"/>
          <w:color w:val="000000" w:themeColor="text1"/>
          <w:sz w:val="24"/>
          <w:szCs w:val="24"/>
        </w:rPr>
        <w:t xml:space="preserve">кейін, оның тұрақты төмендеу үрдісі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жылғы 3,32-ден 2022 жылы 3,06-ға дейін, ал </w:t>
      </w:r>
      <w:r w:rsidRPr="00EA2A70">
        <w:rPr>
          <w:rFonts w:ascii="Times New Roman" w:hAnsi="Times New Roman"/>
          <w:b/>
          <w:color w:val="000000" w:themeColor="text1"/>
          <w:sz w:val="24"/>
          <w:szCs w:val="24"/>
        </w:rPr>
        <w:t>2025 жылы</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дейін төмендеді. БҰҰ-ның ұзақ мерзімді болжамына сәйкес, </w:t>
      </w:r>
      <w:r w:rsidRPr="00EA2A70">
        <w:rPr>
          <w:rFonts w:ascii="Times New Roman" w:hAnsi="Times New Roman"/>
          <w:b/>
          <w:color w:val="000000" w:themeColor="text1"/>
          <w:sz w:val="24"/>
          <w:szCs w:val="24"/>
        </w:rPr>
        <w:t>2050 жылға қарай</w:t>
      </w:r>
      <w:r w:rsidRPr="00EA2A70">
        <w:rPr>
          <w:rFonts w:ascii="Times New Roman" w:hAnsi="Times New Roman"/>
          <w:color w:val="000000" w:themeColor="text1"/>
          <w:sz w:val="24"/>
          <w:szCs w:val="24"/>
        </w:rPr>
        <w:t xml:space="preserve"> Қазақстандағы ТЖК-нің бір әйелге шаққанда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деңгейіне дейін төменде</w:t>
      </w:r>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Қазақстандағы 2015–2025 жылдар аралығындағы ТЖК-нің нақты мәндері төмендегі кестеде көрсетілген:</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Туу деңгейінің төмендеуі – әлемдік деңгейде байқалып отырған үрдіс. Бұл өмір сүру ұзақтығының артуымен қатар жүріп, еңбекке қабілетті жастағы халық үлесінің қысқаруына алып келеді. Соның салдарынан экономикалық белсенді халыққа түсетін демографиялық жүктеме артады.</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Көші-қон сальдосы</w:t>
      </w:r>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Қазақстандағы БҰҰ-ның Халықтың қоныстануы саласындағы қорының (UNFPA) өкілдігі «Қазақстан Республикасындағы халықтың ахуалын талдау» атты есебінде </w:t>
      </w:r>
      <w:r w:rsidRPr="00EA2A70">
        <w:rPr>
          <w:rFonts w:ascii="Times New Roman" w:hAnsi="Times New Roman"/>
          <w:b/>
          <w:color w:val="000000" w:themeColor="text1"/>
          <w:sz w:val="24"/>
          <w:szCs w:val="24"/>
        </w:rPr>
        <w:t>2050 жылға қарай</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көші-қон сальдосының біртіндеп нөлдік деңгейге</w:t>
      </w:r>
      <w:r w:rsidRPr="00EA2A70">
        <w:rPr>
          <w:rFonts w:ascii="Times New Roman" w:hAnsi="Times New Roman"/>
          <w:color w:val="000000" w:themeColor="text1"/>
          <w:sz w:val="24"/>
          <w:szCs w:val="24"/>
        </w:rPr>
        <w:t xml:space="preserve"> (1000 адамға шаққанда 0) жететінін болжайды. Бұл болжам республиканың еңбек күшіне деген жоғары сұраныспен қатар жүретін экономикалық дамуына, этникалық эмиграция әлеуетінің біртіндеп сарқылуына, сондай-ақ Қазақстанның оңтүстігіндегі елдер халқының жылдам өсуіне негізделген.</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Төменде 2021–2025 жылдар аралығындағы иммигранттар мен эмигранттар саны келтірілген:</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r w:rsidRPr="00EA2A70">
              <w:rPr>
                <w:rFonts w:ascii="Times New Roman" w:eastAsia="Times New Roman" w:hAnsi="Times New Roman"/>
                <w:b/>
                <w:color w:val="000000" w:themeColor="text1"/>
                <w:sz w:val="20"/>
                <w:szCs w:val="20"/>
                <w:lang w:eastAsia="ru-RU"/>
              </w:rPr>
              <w:t>альдо</w:t>
            </w:r>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Осылайша,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кейін Қазақстанға келушілердің жыл сайынғы саны 2021 жылдан бастап 2,15 есе өсті, ал кеткендердің саны 4,24 есе азайды.</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қолдау коэффициенті</w:t>
      </w:r>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қолдау коэффициенті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ҚК) – әлемде еңбекке қабілетті жастағы адамдар санының (25-тен 64 жасқа дейін) 65 жастағы және одан асқан адамдар санына қатынасы ретінде есептелетін көрсеткіш. Бұл коэффициенттің төмендеу үрдісі жалғасып келеді.</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color w:val="000000" w:themeColor="text1"/>
          <w:sz w:val="24"/>
          <w:szCs w:val="24"/>
        </w:rPr>
        <w:t xml:space="preserve">Еңбекке қабілетті жастағы адамдардың (25–64 жас) егде жастағы адамдарға (65 жас және одан жоғары) арақатынасы 2012 жылғы 7,68-ден </w:t>
      </w:r>
      <w:r w:rsidRPr="00EA2A70">
        <w:rPr>
          <w:rFonts w:ascii="Times New Roman" w:hAnsi="Times New Roman"/>
          <w:b/>
          <w:color w:val="000000" w:themeColor="text1"/>
          <w:sz w:val="24"/>
          <w:szCs w:val="24"/>
        </w:rPr>
        <w:t>2025 жылы 4,95-ке</w:t>
      </w:r>
      <w:r w:rsidRPr="00EA2A70">
        <w:rPr>
          <w:rFonts w:ascii="Times New Roman" w:hAnsi="Times New Roman"/>
          <w:color w:val="000000" w:themeColor="text1"/>
          <w:sz w:val="24"/>
          <w:szCs w:val="24"/>
        </w:rPr>
        <w:t xml:space="preserve"> дейін төмендеді. Егде жастағы халық санының күтілетін өс</w:t>
      </w:r>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жасқа дейінгі халық үлесінің қысқаруымен ұштастыра отырып (диаграмманы қараңыз)</w:t>
      </w:r>
      <w:r w:rsidRPr="00EA2A70">
        <w:rPr>
          <w:rFonts w:ascii="Times New Roman" w:hAnsi="Times New Roman"/>
          <w:color w:val="000000" w:themeColor="text1"/>
          <w:sz w:val="24"/>
          <w:szCs w:val="24"/>
          <w:lang w:val="kk-KZ"/>
        </w:rPr>
        <w:t xml:space="preserve"> жасалған </w:t>
      </w:r>
      <w:r w:rsidRPr="00EA2A70">
        <w:rPr>
          <w:rFonts w:ascii="Times New Roman" w:hAnsi="Times New Roman"/>
          <w:color w:val="000000" w:themeColor="text1"/>
          <w:sz w:val="24"/>
          <w:szCs w:val="24"/>
        </w:rPr>
        <w:t>болжамдарға сәйкес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Қазақстанда 2025-2050 жылдар кезеңінде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1,4 еседен</w:t>
      </w:r>
      <w:r w:rsidRPr="00EA2A70">
        <w:rPr>
          <w:rFonts w:ascii="Times New Roman" w:hAnsi="Times New Roman"/>
          <w:color w:val="000000" w:themeColor="text1"/>
          <w:sz w:val="24"/>
          <w:szCs w:val="24"/>
        </w:rPr>
        <w:t xml:space="preserve"> астам төмендейтінін білдіреді: 65+ жастағы 1 адамға шаққанда еңбекке қабілетті жастағы 3,42 адам ғана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1C6210B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noProof/>
          <w:color w:val="000000" w:themeColor="text1"/>
          <w:sz w:val="24"/>
          <w:szCs w:val="24"/>
          <w:lang w:eastAsia="ru-RU"/>
        </w:rPr>
        <w:drawing>
          <wp:inline distT="0" distB="0" distL="0" distR="0" wp14:anchorId="53B6E296" wp14:editId="2A1F706E">
            <wp:extent cx="4716145" cy="2203450"/>
            <wp:effectExtent l="0" t="0" r="8255" b="63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27BEC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r w:rsidRPr="00EA2A70">
        <w:rPr>
          <w:rFonts w:ascii="Times New Roman" w:hAnsi="Times New Roman"/>
          <w:color w:val="000000" w:themeColor="text1"/>
          <w:sz w:val="24"/>
          <w:szCs w:val="24"/>
        </w:rPr>
        <w:t xml:space="preserve">Осылайша, </w:t>
      </w:r>
      <w:r w:rsidRPr="00EA2A70">
        <w:rPr>
          <w:rFonts w:ascii="Times New Roman" w:hAnsi="Times New Roman"/>
          <w:color w:val="000000" w:themeColor="text1"/>
          <w:sz w:val="24"/>
          <w:szCs w:val="24"/>
          <w:lang w:val="kk-KZ"/>
        </w:rPr>
        <w:t xml:space="preserve">бүкіл </w:t>
      </w:r>
      <w:r w:rsidRPr="00EA2A70">
        <w:rPr>
          <w:rFonts w:ascii="Times New Roman" w:hAnsi="Times New Roman"/>
          <w:color w:val="000000" w:themeColor="text1"/>
          <w:sz w:val="24"/>
          <w:szCs w:val="24"/>
        </w:rPr>
        <w:t xml:space="preserve">әлемдегідей, Қазақстандағы демографиялық өзгерістер де ел бюджетіне түсетін әлеуметтік жүктемені күшейтетін болады. Мұндай жағдайда жинақтаушы зейнетақы жүйесінің маңызы арта түседі. Бұл жүйеде болашақ зейнетақы жұмыскер мен жұмыс берушінің жарналары есебінен қалыптастырылады, соның нәтижесінде бюджетке ұзақ мерзімді кейінге қалдырылған міндеттемелер жүктелмейді, зейнетақы жүйесінің </w:t>
      </w:r>
      <w:r w:rsidRPr="00EA2A70">
        <w:rPr>
          <w:rFonts w:ascii="Times New Roman" w:hAnsi="Times New Roman"/>
          <w:b/>
          <w:color w:val="000000" w:themeColor="text1"/>
          <w:sz w:val="24"/>
          <w:szCs w:val="24"/>
        </w:rPr>
        <w:t xml:space="preserve">теңгерімділігі мен қаржылық тұрақтылығы </w:t>
      </w:r>
      <w:r w:rsidRPr="00EA2A70">
        <w:rPr>
          <w:rFonts w:ascii="Times New Roman" w:hAnsi="Times New Roman"/>
          <w:color w:val="000000" w:themeColor="text1"/>
          <w:sz w:val="24"/>
          <w:szCs w:val="24"/>
        </w:rPr>
        <w:t xml:space="preserve">қамтамасыз етіледі және оның </w:t>
      </w:r>
      <w:r w:rsidRPr="00EA2A70">
        <w:rPr>
          <w:rFonts w:ascii="Times New Roman" w:hAnsi="Times New Roman"/>
          <w:b/>
          <w:color w:val="000000" w:themeColor="text1"/>
          <w:sz w:val="24"/>
          <w:szCs w:val="24"/>
        </w:rPr>
        <w:t>демографиялық факторларға тәуелділігі</w:t>
      </w:r>
      <w:r w:rsidRPr="00EA2A70">
        <w:rPr>
          <w:rFonts w:ascii="Times New Roman" w:hAnsi="Times New Roman"/>
          <w:color w:val="000000" w:themeColor="text1"/>
          <w:sz w:val="24"/>
          <w:szCs w:val="24"/>
        </w:rPr>
        <w:t xml:space="preserve"> төмендейді.</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Демографиялық өзгерістер жағдайындағы жеке зейнетақыны жоспарлау</w:t>
      </w:r>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Демографиялық өзгерістер (халықтың қартаюы, өмір сүру ұзақтығының артуы, бала туу деңгейінің төмендеуі) жағдайында жеке зейнетақыны жоспарлаудың рөлі артып келеді.</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Жинақтаушы зейнетақы жүйесі азаматтарға тұрақты жарналар мен инвестициялық </w:t>
      </w:r>
      <w:r w:rsidRPr="00EA2A70">
        <w:rPr>
          <w:rFonts w:ascii="Times New Roman" w:hAnsi="Times New Roman"/>
          <w:color w:val="000000" w:themeColor="text1"/>
          <w:sz w:val="24"/>
          <w:szCs w:val="24"/>
          <w:lang w:val="kk-KZ"/>
        </w:rPr>
        <w:t xml:space="preserve">кіріс </w:t>
      </w:r>
      <w:r w:rsidRPr="00EA2A70">
        <w:rPr>
          <w:rFonts w:ascii="Times New Roman" w:hAnsi="Times New Roman"/>
          <w:color w:val="000000" w:themeColor="text1"/>
          <w:sz w:val="24"/>
          <w:szCs w:val="24"/>
        </w:rPr>
        <w:t xml:space="preserve">есебінен өздерінің болашақ зейнетақы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өз бетінше ықпал етуге мүмкіндік береді.</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жылғы 7 қыркүйектен бастап күшіне енетін Қазақстан Республикасының Әлеуметтік кодексіне енгізілген өзгерістер зейнетақы жинақтарын басқарудың қосымша мүмкіндіктерін ұсынады. БЖЗҚ салымшылары өздерінің зейнетақы жинақтарының </w:t>
      </w:r>
      <w:r w:rsidRPr="00EA2A70">
        <w:rPr>
          <w:rFonts w:ascii="Times New Roman" w:hAnsi="Times New Roman"/>
          <w:b/>
          <w:color w:val="000000" w:themeColor="text1"/>
          <w:sz w:val="24"/>
          <w:szCs w:val="24"/>
        </w:rPr>
        <w:t>100%-ына</w:t>
      </w:r>
      <w:r w:rsidRPr="00EA2A70">
        <w:rPr>
          <w:rFonts w:ascii="Times New Roman" w:hAnsi="Times New Roman"/>
          <w:color w:val="000000" w:themeColor="text1"/>
          <w:sz w:val="24"/>
          <w:szCs w:val="24"/>
        </w:rPr>
        <w:t xml:space="preserve"> дейін инвестициялық портфельді басқарушыларға (ИПБ) сенімгерлік басқаруға бере алады. Бұдан басқа, әрбір ИПБ тәуекел деңгейі, күтілетін кірістілігі және инвестициялар құрылымы бойынша ерекшеленетін </w:t>
      </w:r>
      <w:r w:rsidRPr="00EA2A70">
        <w:rPr>
          <w:rFonts w:ascii="Times New Roman" w:hAnsi="Times New Roman"/>
          <w:b/>
          <w:color w:val="000000" w:themeColor="text1"/>
          <w:sz w:val="24"/>
          <w:szCs w:val="24"/>
        </w:rPr>
        <w:t>үш инвестициялық портфельге дейін</w:t>
      </w:r>
      <w:r w:rsidRPr="00EA2A70">
        <w:rPr>
          <w:rFonts w:ascii="Times New Roman" w:hAnsi="Times New Roman"/>
          <w:color w:val="000000" w:themeColor="text1"/>
          <w:sz w:val="24"/>
          <w:szCs w:val="24"/>
        </w:rPr>
        <w:t xml:space="preserve"> (консервативті, қалыпты және тәуекелі</w:t>
      </w:r>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ұсына алады. Бұл салымшыларға өздерінің қаржылық мақсаттарына сәйкес келетін инвестициялық стратегияны таңдауға мүмкіндік береді.</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ҚРҰБ мен ИПБ-ның инвестициялау нәтижелері туралы толық ақпаратты </w:t>
      </w:r>
      <w:r w:rsidRPr="00EA2A70">
        <w:rPr>
          <w:rFonts w:ascii="Times New Roman" w:hAnsi="Times New Roman"/>
          <w:b/>
          <w:color w:val="000000" w:themeColor="text1"/>
          <w:sz w:val="24"/>
          <w:szCs w:val="24"/>
        </w:rPr>
        <w:t>БЖЗҚ-ның invest.enpf.kz арнайы порталынан</w:t>
      </w:r>
      <w:r w:rsidRPr="00EA2A70">
        <w:rPr>
          <w:rFonts w:ascii="Times New Roman" w:hAnsi="Times New Roman"/>
          <w:color w:val="000000" w:themeColor="text1"/>
          <w:sz w:val="24"/>
          <w:szCs w:val="24"/>
        </w:rPr>
        <w:t xml:space="preserve"> алуға болады. Зейнетақыны болжау және жоспарлау үшін БЖЗҚ екі ыңғайлы сервис – «Зейнетақы калькуляторы» және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зейнетақы жоспарын» ұсынады. Олар БЖЗҚ сайтында және мобильді қосымшасында қолжетімді. Осы сервистердің көмегімен болашақ зейнетақы мөлшерін есептеп,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кіріс</w:t>
      </w:r>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арттырудың ықтимал жолдарын анықтауға болады.</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4AAEA" w14:textId="77777777" w:rsidR="00B50067" w:rsidRDefault="00B50067" w:rsidP="005E4B51">
      <w:pPr>
        <w:spacing w:after="0" w:line="240" w:lineRule="auto"/>
      </w:pPr>
      <w:r>
        <w:separator/>
      </w:r>
    </w:p>
  </w:endnote>
  <w:endnote w:type="continuationSeparator" w:id="0">
    <w:p w14:paraId="4F0ABFE1" w14:textId="77777777" w:rsidR="00B50067" w:rsidRDefault="00B5006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794D6" w14:textId="77777777" w:rsidR="00B50067" w:rsidRDefault="00B50067" w:rsidP="005E4B51">
      <w:pPr>
        <w:spacing w:after="0" w:line="240" w:lineRule="auto"/>
      </w:pPr>
      <w:r>
        <w:separator/>
      </w:r>
    </w:p>
  </w:footnote>
  <w:footnote w:type="continuationSeparator" w:id="0">
    <w:p w14:paraId="52A9A3D2" w14:textId="77777777" w:rsidR="00B50067" w:rsidRDefault="00B50067"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Қазақстан Республикасы Стратегиялық жоспарлау және реформалар агенттігі Ұлттық статистика бюросының (ҚР СЖРА ҰСБ) деректері бойынша</w:t>
      </w:r>
    </w:p>
  </w:footnote>
  <w:footnote w:id="2">
    <w:p w14:paraId="2715838D" w14:textId="77777777" w:rsidR="00EA2A70" w:rsidRPr="00427986" w:rsidRDefault="00EA2A70" w:rsidP="00EA2A70">
      <w:pPr>
        <w:pStyle w:val="af5"/>
      </w:pPr>
      <w:r>
        <w:rPr>
          <w:rStyle w:val="af6"/>
        </w:rPr>
        <w:footnoteRef/>
      </w:r>
      <w:r>
        <w:t xml:space="preserve"> Халықтың өлім-жітім деңгейі қарастырылып отырған жылғыдай сақталған жағдайда, адамның орташа өмір сүру ұзақтығының күтілетін мәні</w:t>
      </w:r>
    </w:p>
  </w:footnote>
  <w:footnote w:id="3">
    <w:p w14:paraId="7F6490EF" w14:textId="77777777" w:rsidR="00EA2A70" w:rsidRPr="00D60C46" w:rsidRDefault="00EA2A70" w:rsidP="00EA2A70">
      <w:pPr>
        <w:pStyle w:val="af5"/>
      </w:pPr>
      <w:r>
        <w:rPr>
          <w:rStyle w:val="af6"/>
        </w:rPr>
        <w:footnoteRef/>
      </w:r>
      <w:r>
        <w:t xml:space="preserve"> Белгілі бір кезең ішінде қандай да бір аумаққа келгендер саны мен одан кеткендер (қоныс аударғандар) санының арасындағы айырмашылық.</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50067"/>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A5"/>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c:ext xmlns:c16="http://schemas.microsoft.com/office/drawing/2014/chart" uri="{C3380CC4-5D6E-409C-BE32-E72D297353CC}">
              <c16:uniqueId val="{00000000-8F7F-4871-91AF-00EC2BAA9F10}"/>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c:ext xmlns:c16="http://schemas.microsoft.com/office/drawing/2014/chart" uri="{C3380CC4-5D6E-409C-BE32-E72D297353CC}">
              <c16:uniqueId val="{00000001-8F7F-4871-91AF-00EC2BAA9F10}"/>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c:ext xmlns:c16="http://schemas.microsoft.com/office/drawing/2014/chart" uri="{C3380CC4-5D6E-409C-BE32-E72D297353CC}">
              <c16:uniqueId val="{00000002-8F7F-4871-91AF-00EC2BAA9F10}"/>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c:ext xmlns:c16="http://schemas.microsoft.com/office/drawing/2014/chart" uri="{C3380CC4-5D6E-409C-BE32-E72D297353CC}">
              <c16:uniqueId val="{00000003-8F7F-4871-91AF-00EC2BAA9F10}"/>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c:ext xmlns:c16="http://schemas.microsoft.com/office/drawing/2014/chart" uri="{C3380CC4-5D6E-409C-BE32-E72D297353CC}">
              <c16:uniqueId val="{00000004-8F7F-4871-91AF-00EC2BAA9F10}"/>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c:ext xmlns:c16="http://schemas.microsoft.com/office/drawing/2014/chart" uri="{C3380CC4-5D6E-409C-BE32-E72D297353CC}">
              <c16:uniqueId val="{00000005-8F7F-4871-91AF-00EC2BAA9F10}"/>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c:ext xmlns:c16="http://schemas.microsoft.com/office/drawing/2014/chart" uri="{C3380CC4-5D6E-409C-BE32-E72D297353CC}">
              <c16:uniqueId val="{00000006-8F7F-4871-91AF-00EC2BAA9F10}"/>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majorUnit val="1.0000000000000002E-2"/>
      </c:valAx>
      <c:valAx>
        <c:axId val="1533075231"/>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c:ext xmlns:c16="http://schemas.microsoft.com/office/drawing/2014/chart" uri="{C3380CC4-5D6E-409C-BE32-E72D297353CC}">
              <c16:uniqueId val="{00000000-642C-4096-BA23-94ABA3526EDB}"/>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c:ext xmlns:c16="http://schemas.microsoft.com/office/drawing/2014/chart" uri="{C3380CC4-5D6E-409C-BE32-E72D297353CC}">
              <c16:uniqueId val="{00000001-642C-4096-BA23-94ABA3526EDB}"/>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c:ext xmlns:c16="http://schemas.microsoft.com/office/drawing/2014/chart" uri="{C3380CC4-5D6E-409C-BE32-E72D297353CC}">
              <c16:uniqueId val="{00000002-642C-4096-BA23-94ABA3526EDB}"/>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c:ext xmlns:c16="http://schemas.microsoft.com/office/drawing/2014/chart" uri="{C3380CC4-5D6E-409C-BE32-E72D297353CC}">
              <c16:uniqueId val="{00000003-642C-4096-BA23-94ABA3526EDB}"/>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c:ext xmlns:c16="http://schemas.microsoft.com/office/drawing/2014/chart" uri="{C3380CC4-5D6E-409C-BE32-E72D297353CC}">
              <c16:uniqueId val="{00000004-642C-4096-BA23-94ABA3526EDB}"/>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c:ext xmlns:c16="http://schemas.microsoft.com/office/drawing/2014/chart" uri="{C3380CC4-5D6E-409C-BE32-E72D297353CC}">
              <c16:uniqueId val="{00000005-642C-4096-BA23-94ABA3526EDB}"/>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c:ext xmlns:c16="http://schemas.microsoft.com/office/drawing/2014/chart" uri="{C3380CC4-5D6E-409C-BE32-E72D297353CC}">
              <c16:uniqueId val="{00000006-642C-4096-BA23-94ABA3526EDB}"/>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valAx>
      <c:valAx>
        <c:axId val="1533075231"/>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5CE49-624B-4CC6-B76E-08CFB9D79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1120</Words>
  <Characters>7684</Characters>
  <Application>Microsoft Office Word</Application>
  <DocSecurity>0</DocSecurity>
  <Lines>240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Исабаев Абдымурат Джунусович</cp:lastModifiedBy>
  <cp:revision>2</cp:revision>
  <cp:lastPrinted>2026-07-21T11:38:00Z</cp:lastPrinted>
  <dcterms:created xsi:type="dcterms:W3CDTF">2026-08-10T05:43:00Z</dcterms:created>
  <dcterms:modified xsi:type="dcterms:W3CDTF">2026-08-10T05:43:00Z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