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5.0.0 -->
  <w:body>
    <w:p>
      <w:pPr>
        <w:pStyle w:val="Heading2"/>
        <w:jc w:val="center"/>
        <w:rPr>
          <w:rFonts w:eastAsia="PMingLiU"/>
          <w:lang w:val="kk-KZ"/>
        </w:rPr>
      </w:pPr>
      <w:r>
        <w:rPr>
          <w:spacing w:val="140"/>
          <w:sz w:val="32"/>
          <w:szCs w:val="32"/>
        </w:rPr>
        <w:drawing>
          <wp:inline distT="0" distB="0" distL="0" distR="0">
            <wp:extent cx="1121665" cy="1158241"/>
            <wp:effectExtent l="19049" t="0" r="2283" b="0"/>
            <wp:docPr id="1" name="Рисунок 1" hidden="0"/>
            <wp:cNvGraphicFramePr/>
            <a:graphic xmlns:a="http://schemas.openxmlformats.org/drawingml/2006/main">
              <a:graphicData uri="http://schemas.openxmlformats.org/drawingml/2006/picture">
                <pic:pic xmlns:pic="http://schemas.openxmlformats.org/drawingml/2006/picture">
                  <pic:nvPicPr>
                    <pic:cNvPr id="4" name="Без имени-1.png"/>
                    <pic:cNvPicPr/>
                  </pic:nvPicPr>
                  <pic:blipFill>
                    <a:blip xmlns:r="http://schemas.openxmlformats.org/officeDocument/2006/relationships" r:embed="rId4"/>
                    <a:stretch>
                      <a:fillRect/>
                    </a:stretch>
                  </pic:blipFill>
                  <pic:spPr bwMode="auto">
                    <a:xfrm>
                      <a:off x="0" y="0"/>
                      <a:ext cx="1121666" cy="1158242"/>
                    </a:xfrm>
                    <a:prstGeom prst="rect">
                      <a:avLst/>
                    </a:prstGeom>
                  </pic:spPr>
                </pic:pic>
              </a:graphicData>
            </a:graphic>
          </wp:inline>
        </w:drawing>
      </w:r>
    </w:p>
    <w:p>
      <w:pPr>
        <w:rPr>
          <w:rFonts w:eastAsia="PMingLiU"/>
          <w:lang w:val="kk-KZ"/>
        </w:rPr>
      </w:pPr>
    </w:p>
    <w:p>
      <w:pPr>
        <w:widowControl/>
        <w:jc w:val="center"/>
        <w:rPr>
          <w:rFonts w:eastAsia="PMingLiU"/>
          <w:b/>
          <w:sz w:val="28"/>
          <w:szCs w:val="28"/>
          <w:lang w:val="kk-KZ"/>
        </w:rPr>
      </w:pPr>
      <w:r>
        <w:rPr>
          <w:rFonts w:eastAsia="PMingLiU"/>
          <w:b/>
          <w:sz w:val="28"/>
          <w:szCs w:val="28"/>
          <w:lang w:val="kk-KZ"/>
        </w:rPr>
        <w:t xml:space="preserve">ҚАЗАҚСТАН РЕСПУБЛИКАСЫНЫҢ АТЫНАН </w:t>
      </w:r>
    </w:p>
    <w:p>
      <w:pPr>
        <w:widowControl/>
        <w:jc w:val="center"/>
        <w:rPr>
          <w:rFonts w:eastAsia="PMingLiU"/>
          <w:b/>
          <w:sz w:val="28"/>
          <w:szCs w:val="28"/>
          <w:lang w:val="kk-KZ"/>
        </w:rPr>
      </w:pPr>
      <w:r>
        <w:rPr>
          <w:rFonts w:eastAsia="PMingLiU"/>
          <w:b/>
          <w:spacing w:val="140"/>
          <w:sz w:val="28"/>
          <w:szCs w:val="28"/>
          <w:lang w:val="kk-KZ"/>
        </w:rPr>
        <w:t>ШЕШІМ</w:t>
      </w:r>
    </w:p>
    <w:p>
      <w:pPr>
        <w:widowControl/>
        <w:jc w:val="center"/>
        <w:rPr>
          <w:rFonts w:eastAsia="PMingLiU"/>
          <w:lang w:val="kk-KZ"/>
        </w:rPr>
      </w:pPr>
    </w:p>
    <w:p>
      <w:pPr>
        <w:spacing w:line="0" w:lineRule="atLeast"/>
        <w:jc w:val="both"/>
        <w:rPr>
          <w:sz w:val="28"/>
          <w:szCs w:val="28"/>
          <w:lang w:val="kk-KZ"/>
        </w:rPr>
      </w:pPr>
      <w:r>
        <w:rPr>
          <w:sz w:val="28"/>
          <w:szCs w:val="28"/>
          <w:lang w:val="kk-KZ"/>
        </w:rPr>
        <w:t>2026 жылғы</w:t>
      </w:r>
      <w:r>
        <w:rPr>
          <w:sz w:val="28"/>
          <w:szCs w:val="28"/>
          <w:lang w:val="kk-KZ"/>
        </w:rPr>
        <w:t xml:space="preserve"> </w:t>
      </w:r>
      <w:r>
        <w:rPr>
          <w:sz w:val="28"/>
          <w:szCs w:val="28"/>
          <w:lang w:val="kk-KZ"/>
        </w:rPr>
        <w:t>8</w:t>
      </w:r>
      <w:r>
        <w:rPr>
          <w:sz w:val="28"/>
          <w:szCs w:val="28"/>
          <w:lang w:val="kk-KZ"/>
        </w:rPr>
        <w:t>-маусым</w:t>
      </w:r>
      <w:r>
        <w:rPr>
          <w:sz w:val="28"/>
          <w:szCs w:val="28"/>
          <w:lang w:val="kk-KZ"/>
        </w:rPr>
        <w:tab/>
      </w:r>
      <w:r>
        <w:rPr>
          <w:sz w:val="28"/>
          <w:szCs w:val="28"/>
          <w:lang w:val="kk-KZ"/>
        </w:rPr>
        <w:tab/>
      </w:r>
      <w:r>
        <w:rPr>
          <w:sz w:val="28"/>
          <w:szCs w:val="28"/>
          <w:lang w:val="kk-KZ"/>
        </w:rPr>
        <w:t>№4712-26-00-2/</w:t>
      </w:r>
      <w:r>
        <w:rPr>
          <w:sz w:val="28"/>
          <w:szCs w:val="28"/>
          <w:lang w:val="kk-KZ"/>
        </w:rPr>
        <w:t>864</w:t>
      </w:r>
      <w:r>
        <w:rPr>
          <w:sz w:val="28"/>
          <w:szCs w:val="28"/>
          <w:lang w:val="kk-KZ"/>
        </w:rPr>
        <w:t xml:space="preserve">  </w:t>
      </w:r>
      <w:r>
        <w:rPr>
          <w:sz w:val="28"/>
          <w:szCs w:val="28"/>
          <w:lang w:val="kk-KZ"/>
        </w:rPr>
        <w:tab/>
      </w:r>
      <w:r>
        <w:rPr>
          <w:sz w:val="28"/>
          <w:szCs w:val="28"/>
          <w:lang w:val="kk-KZ"/>
        </w:rPr>
        <w:t xml:space="preserve">       </w:t>
      </w:r>
      <w:r>
        <w:rPr>
          <w:sz w:val="28"/>
          <w:szCs w:val="28"/>
          <w:lang w:val="kk-KZ"/>
        </w:rPr>
        <w:t>Ақтау қаласы</w:t>
      </w:r>
    </w:p>
    <w:p>
      <w:pPr>
        <w:spacing w:line="0" w:lineRule="atLeast"/>
        <w:ind w:firstLine="709"/>
        <w:jc w:val="both"/>
        <w:rPr>
          <w:sz w:val="28"/>
          <w:szCs w:val="28"/>
          <w:lang w:val="kk-KZ"/>
        </w:rPr>
      </w:pPr>
    </w:p>
    <w:p>
      <w:pPr>
        <w:spacing w:line="0" w:lineRule="atLeast"/>
        <w:ind w:firstLine="709"/>
        <w:jc w:val="both"/>
        <w:rPr>
          <w:sz w:val="28"/>
          <w:szCs w:val="28"/>
          <w:lang w:val="kk-KZ"/>
        </w:rPr>
      </w:pPr>
      <w:r>
        <w:rPr>
          <w:sz w:val="28"/>
          <w:szCs w:val="28"/>
          <w:lang w:val="kk-KZ"/>
        </w:rPr>
        <w:t xml:space="preserve">Маңғыстау облысының мамандандырылған ауданаралық экономикалық соты құрамында төрағалық етуші судья </w:t>
      </w:r>
      <w:r>
        <w:rPr>
          <w:sz w:val="28"/>
          <w:szCs w:val="28"/>
          <w:lang w:val="kk-KZ"/>
        </w:rPr>
        <w:t>Р.С.Бейсенов</w:t>
      </w:r>
      <w:r>
        <w:rPr>
          <w:sz w:val="28"/>
          <w:szCs w:val="28"/>
          <w:lang w:val="kk-KZ"/>
        </w:rPr>
        <w:t xml:space="preserve">, </w:t>
      </w:r>
    </w:p>
    <w:p>
      <w:pPr>
        <w:spacing w:line="0" w:lineRule="atLeast"/>
        <w:jc w:val="both"/>
        <w:rPr>
          <w:sz w:val="28"/>
          <w:szCs w:val="28"/>
          <w:lang w:val="kk-KZ"/>
        </w:rPr>
      </w:pPr>
      <w:r>
        <w:rPr>
          <w:sz w:val="28"/>
          <w:szCs w:val="28"/>
          <w:lang w:val="kk-KZ"/>
        </w:rPr>
        <w:t xml:space="preserve">сот отырысының хатшысы </w:t>
      </w:r>
      <w:r>
        <w:rPr>
          <w:sz w:val="28"/>
          <w:szCs w:val="28"/>
          <w:lang w:val="kk-KZ"/>
        </w:rPr>
        <w:t>А.Джуматовтың</w:t>
      </w:r>
      <w:r>
        <w:rPr>
          <w:sz w:val="28"/>
          <w:szCs w:val="28"/>
          <w:lang w:val="kk-KZ"/>
        </w:rPr>
        <w:t xml:space="preserve"> </w:t>
      </w:r>
      <w:r>
        <w:rPr>
          <w:sz w:val="28"/>
          <w:szCs w:val="28"/>
          <w:lang w:val="kk-KZ"/>
        </w:rPr>
        <w:t xml:space="preserve">қатысуларымен </w:t>
      </w:r>
      <w:r>
        <w:rPr>
          <w:sz w:val="28"/>
          <w:szCs w:val="28"/>
          <w:lang w:val="kk-KZ"/>
        </w:rPr>
        <w:t>ашық сот отырысында қойылған талап бойынша электронды азаматтық іс қаралды:</w:t>
      </w:r>
    </w:p>
    <w:p>
      <w:pPr>
        <w:spacing w:line="0" w:lineRule="atLeast"/>
        <w:ind w:firstLine="709"/>
        <w:jc w:val="both"/>
        <w:rPr>
          <w:sz w:val="28"/>
          <w:szCs w:val="28"/>
          <w:lang w:val="kk-KZ"/>
        </w:rPr>
      </w:pPr>
    </w:p>
    <w:p>
      <w:pPr>
        <w:spacing w:line="0" w:lineRule="atLeast"/>
        <w:jc w:val="both"/>
        <w:rPr>
          <w:b/>
          <w:sz w:val="28"/>
          <w:szCs w:val="28"/>
          <w:lang w:val="kk-KZ"/>
        </w:rPr>
      </w:pPr>
      <w:r>
        <w:rPr>
          <w:b/>
          <w:sz w:val="28"/>
          <w:szCs w:val="28"/>
          <w:lang w:val="kk-KZ"/>
        </w:rPr>
        <w:t xml:space="preserve">ТАЛАП ҚОЮШЫ: </w:t>
      </w:r>
    </w:p>
    <w:p>
      <w:pPr>
        <w:spacing w:line="0" w:lineRule="atLeast"/>
        <w:jc w:val="both"/>
        <w:rPr>
          <w:sz w:val="28"/>
          <w:szCs w:val="28"/>
          <w:lang w:val="kk-KZ"/>
        </w:rPr>
      </w:pPr>
      <w:r>
        <w:rPr>
          <w:sz w:val="28"/>
          <w:szCs w:val="28"/>
          <w:lang w:val="kk-KZ"/>
        </w:rPr>
        <w:t>Маңғыстау облысының білім басқармасының Ақтау қаласы бойынша білім бөлімінің «№ 59 С.Н. Шапағатов атындағы бөбекжайы» жедел басқару құқығындағы мемлекеттік коммуналдық қазыналық кәсіпорны</w:t>
      </w:r>
    </w:p>
    <w:p>
      <w:pPr>
        <w:spacing w:line="0" w:lineRule="atLeast"/>
        <w:jc w:val="both"/>
        <w:rPr>
          <w:sz w:val="28"/>
          <w:szCs w:val="28"/>
          <w:lang w:val="kk-KZ"/>
        </w:rPr>
      </w:pPr>
    </w:p>
    <w:p>
      <w:pPr>
        <w:spacing w:line="0" w:lineRule="atLeast"/>
        <w:jc w:val="both"/>
        <w:rPr>
          <w:b/>
          <w:sz w:val="28"/>
          <w:szCs w:val="28"/>
          <w:lang w:val="kk-KZ"/>
        </w:rPr>
      </w:pPr>
      <w:r>
        <w:rPr>
          <w:b/>
          <w:sz w:val="28"/>
          <w:szCs w:val="28"/>
          <w:lang w:val="kk-KZ"/>
        </w:rPr>
        <w:t xml:space="preserve">ЖАУАПКЕР: </w:t>
      </w:r>
    </w:p>
    <w:p>
      <w:pPr>
        <w:spacing w:line="0" w:lineRule="atLeast"/>
        <w:jc w:val="both"/>
        <w:rPr>
          <w:sz w:val="28"/>
          <w:szCs w:val="28"/>
          <w:lang w:val="kk-KZ"/>
        </w:rPr>
      </w:pPr>
      <w:r>
        <w:rPr>
          <w:sz w:val="28"/>
          <w:szCs w:val="28"/>
          <w:lang w:val="kk-KZ"/>
        </w:rPr>
        <w:t>"Aurum" жеке</w:t>
      </w:r>
      <w:r>
        <w:rPr>
          <w:sz w:val="28"/>
          <w:szCs w:val="28"/>
          <w:lang w:val="kk-KZ"/>
        </w:rPr>
        <w:t xml:space="preserve"> </w:t>
      </w:r>
      <w:r>
        <w:rPr>
          <w:sz w:val="28"/>
          <w:szCs w:val="28"/>
          <w:lang w:val="kk-KZ"/>
        </w:rPr>
        <w:t>кәсіпкері, басшысы Жібек Теңгілбекқызы Чанбаева</w:t>
      </w:r>
    </w:p>
    <w:p>
      <w:pPr>
        <w:spacing w:line="0" w:lineRule="atLeast"/>
        <w:jc w:val="both"/>
        <w:rPr>
          <w:sz w:val="28"/>
          <w:szCs w:val="28"/>
          <w:lang w:val="kk-KZ"/>
        </w:rPr>
      </w:pPr>
    </w:p>
    <w:p>
      <w:pPr>
        <w:spacing w:line="0" w:lineRule="atLeast"/>
        <w:jc w:val="both"/>
        <w:rPr>
          <w:b/>
          <w:sz w:val="28"/>
          <w:szCs w:val="28"/>
          <w:lang w:val="kk-KZ"/>
        </w:rPr>
      </w:pPr>
      <w:r>
        <w:rPr>
          <w:b/>
          <w:sz w:val="28"/>
          <w:szCs w:val="28"/>
          <w:lang w:val="kk-KZ"/>
        </w:rPr>
        <w:t>ТАЛАП ҚОЮШЫНЫҢ ТАЛАБ</w:t>
      </w:r>
      <w:r>
        <w:rPr>
          <w:b/>
          <w:sz w:val="28"/>
          <w:szCs w:val="28"/>
          <w:lang w:val="kk-KZ"/>
        </w:rPr>
        <w:t>Ы:</w:t>
      </w:r>
    </w:p>
    <w:p>
      <w:pPr>
        <w:spacing w:line="0" w:lineRule="atLeast"/>
        <w:jc w:val="both"/>
        <w:rPr>
          <w:sz w:val="28"/>
          <w:szCs w:val="28"/>
          <w:lang w:val="kk-KZ"/>
        </w:rPr>
      </w:pPr>
      <w:r>
        <w:rPr>
          <w:sz w:val="28"/>
          <w:szCs w:val="28"/>
          <w:lang w:val="kk-KZ"/>
        </w:rPr>
        <w:t>М</w:t>
      </w:r>
      <w:r>
        <w:rPr>
          <w:sz w:val="28"/>
          <w:szCs w:val="28"/>
          <w:lang w:val="kk-KZ"/>
        </w:rPr>
        <w:t>емлекеттік са</w:t>
      </w:r>
      <w:r>
        <w:rPr>
          <w:sz w:val="28"/>
          <w:szCs w:val="28"/>
          <w:lang w:val="kk-KZ"/>
        </w:rPr>
        <w:t xml:space="preserve">тып алуға жосықсыз </w:t>
      </w:r>
      <w:r>
        <w:rPr>
          <w:sz w:val="28"/>
          <w:szCs w:val="28"/>
          <w:lang w:val="kk-KZ"/>
        </w:rPr>
        <w:t xml:space="preserve">қатысушы </w:t>
      </w:r>
      <w:r>
        <w:rPr>
          <w:sz w:val="28"/>
          <w:szCs w:val="28"/>
          <w:lang w:val="kk-KZ"/>
        </w:rPr>
        <w:t xml:space="preserve">деп тану </w:t>
      </w:r>
    </w:p>
    <w:p>
      <w:pPr>
        <w:spacing w:line="0" w:lineRule="atLeast"/>
        <w:jc w:val="both"/>
        <w:rPr>
          <w:sz w:val="28"/>
          <w:szCs w:val="28"/>
          <w:lang w:val="kk-KZ"/>
        </w:rPr>
      </w:pPr>
    </w:p>
    <w:p>
      <w:pPr>
        <w:spacing w:line="0" w:lineRule="atLeast"/>
        <w:jc w:val="both"/>
        <w:rPr>
          <w:b/>
          <w:sz w:val="28"/>
          <w:szCs w:val="28"/>
          <w:lang w:val="kk-KZ"/>
        </w:rPr>
      </w:pPr>
      <w:r>
        <w:rPr>
          <w:b/>
          <w:sz w:val="28"/>
          <w:szCs w:val="28"/>
          <w:lang w:val="kk-KZ"/>
        </w:rPr>
        <w:t>СОТҚА ҚАТЫСҚАНДАР:</w:t>
      </w:r>
    </w:p>
    <w:p>
      <w:pPr>
        <w:spacing w:line="0" w:lineRule="atLeast"/>
        <w:jc w:val="both"/>
        <w:rPr>
          <w:sz w:val="28"/>
          <w:szCs w:val="28"/>
          <w:lang w:val="kk-KZ"/>
        </w:rPr>
      </w:pPr>
      <w:r>
        <w:rPr>
          <w:sz w:val="28"/>
          <w:szCs w:val="28"/>
          <w:lang w:val="kk-KZ"/>
        </w:rPr>
        <w:t xml:space="preserve">Талап қоюшы өкілі </w:t>
      </w:r>
      <w:r>
        <w:rPr>
          <w:sz w:val="28"/>
          <w:szCs w:val="28"/>
          <w:lang w:val="kk-KZ"/>
        </w:rPr>
        <w:t>Т.Қ.Мұханбедиева</w:t>
      </w:r>
    </w:p>
    <w:p>
      <w:pPr>
        <w:spacing w:line="0" w:lineRule="atLeast"/>
        <w:jc w:val="both"/>
        <w:rPr>
          <w:sz w:val="28"/>
          <w:szCs w:val="28"/>
          <w:lang w:val="kk-KZ"/>
        </w:rPr>
      </w:pPr>
      <w:r>
        <w:rPr>
          <w:sz w:val="28"/>
          <w:szCs w:val="28"/>
          <w:lang w:val="kk-KZ"/>
        </w:rPr>
        <w:t>Жауапкер</w:t>
      </w:r>
      <w:r>
        <w:rPr>
          <w:sz w:val="28"/>
          <w:szCs w:val="28"/>
          <w:lang w:val="kk-KZ"/>
        </w:rPr>
        <w:t xml:space="preserve"> </w:t>
      </w:r>
      <w:r>
        <w:rPr>
          <w:sz w:val="28"/>
          <w:szCs w:val="28"/>
          <w:lang w:val="kk-KZ"/>
        </w:rPr>
        <w:t xml:space="preserve">өкілі </w:t>
      </w:r>
      <w:r>
        <w:rPr>
          <w:sz w:val="28"/>
          <w:szCs w:val="28"/>
          <w:lang w:val="kk-KZ"/>
        </w:rPr>
        <w:t>С.И.</w:t>
      </w:r>
      <w:r>
        <w:rPr>
          <w:sz w:val="28"/>
          <w:szCs w:val="28"/>
          <w:lang w:val="kk-KZ"/>
        </w:rPr>
        <w:t>Чанбаев</w:t>
      </w:r>
      <w:r>
        <w:rPr>
          <w:sz w:val="28"/>
          <w:szCs w:val="28"/>
          <w:lang w:val="kk-KZ"/>
        </w:rPr>
        <w:t xml:space="preserve"> </w:t>
      </w:r>
    </w:p>
    <w:p>
      <w:pPr>
        <w:spacing w:line="0" w:lineRule="atLeast"/>
        <w:jc w:val="both"/>
        <w:rPr>
          <w:sz w:val="28"/>
          <w:szCs w:val="28"/>
          <w:lang w:val="kk-KZ"/>
        </w:rPr>
      </w:pPr>
    </w:p>
    <w:p>
      <w:pPr>
        <w:spacing w:line="0" w:lineRule="atLeast"/>
        <w:jc w:val="both"/>
        <w:rPr>
          <w:sz w:val="28"/>
          <w:szCs w:val="28"/>
          <w:lang w:val="kk-KZ"/>
        </w:rPr>
      </w:pPr>
      <w:r>
        <w:rPr>
          <w:b/>
          <w:sz w:val="28"/>
          <w:szCs w:val="28"/>
          <w:lang w:val="kk-KZ"/>
        </w:rPr>
        <w:t>СИПАТТАУ БӨЛІГІ:</w:t>
      </w:r>
      <w:r>
        <w:rPr>
          <w:b/>
          <w:sz w:val="28"/>
          <w:szCs w:val="28"/>
          <w:lang w:val="kk-KZ"/>
        </w:rPr>
        <w:tab/>
      </w:r>
    </w:p>
    <w:p>
      <w:pPr>
        <w:spacing w:line="0" w:lineRule="atLeast"/>
        <w:jc w:val="both"/>
        <w:rPr>
          <w:sz w:val="28"/>
          <w:szCs w:val="28"/>
          <w:lang w:val="kk-KZ"/>
        </w:rPr>
      </w:pPr>
    </w:p>
    <w:p>
      <w:pPr>
        <w:spacing w:line="0" w:lineRule="atLeast"/>
        <w:ind w:firstLine="708"/>
        <w:jc w:val="both"/>
        <w:rPr>
          <w:sz w:val="28"/>
          <w:szCs w:val="28"/>
          <w:lang w:val="kk-KZ"/>
        </w:rPr>
      </w:pPr>
      <w:r>
        <w:rPr>
          <w:sz w:val="28"/>
          <w:szCs w:val="28"/>
          <w:lang w:val="kk-KZ"/>
        </w:rPr>
        <w:t xml:space="preserve">Талап қоюшы </w:t>
      </w:r>
      <w:r>
        <w:rPr>
          <w:sz w:val="28"/>
          <w:szCs w:val="28"/>
          <w:lang w:val="kk-KZ"/>
        </w:rPr>
        <w:t xml:space="preserve">Қазақстан Республикасы Білім және ғылым министрінің 2018 жылғы 31 қазандағы №598 бұйрығымен бекітілген Мемлекеттік орта, техникалық және кәсіптік, орта білімнен кейінгі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сатып алу қағидаларына (бұдан әрі </w:t>
      </w:r>
      <w:r>
        <w:rPr>
          <w:sz w:val="28"/>
          <w:szCs w:val="28"/>
          <w:lang w:val="kk-KZ"/>
        </w:rPr>
        <w:noBreakHyphen/>
        <w:t xml:space="preserve"> №598 </w:t>
      </w:r>
      <w:r>
        <w:rPr>
          <w:sz w:val="28"/>
          <w:szCs w:val="28"/>
          <w:lang w:val="kk-KZ"/>
        </w:rPr>
        <w:t>Қағида) сәйкес азық-түлік өнімдерін сатып алу бойынш</w:t>
      </w:r>
      <w:r>
        <w:rPr>
          <w:sz w:val="28"/>
          <w:szCs w:val="28"/>
          <w:lang w:val="kk-KZ"/>
        </w:rPr>
        <w:t>а</w:t>
      </w:r>
      <w:r>
        <w:rPr>
          <w:sz w:val="28"/>
          <w:szCs w:val="28"/>
          <w:lang w:val="kk-KZ"/>
        </w:rPr>
        <w:t xml:space="preserve"> № 15933146-1</w:t>
      </w:r>
      <w:r>
        <w:rPr>
          <w:sz w:val="28"/>
          <w:szCs w:val="28"/>
          <w:lang w:val="kk-KZ"/>
        </w:rPr>
        <w:t xml:space="preserve"> </w:t>
      </w:r>
      <w:r>
        <w:rPr>
          <w:sz w:val="28"/>
          <w:szCs w:val="28"/>
          <w:lang w:val="kk-KZ"/>
        </w:rPr>
        <w:t>конкурсының ұйымдастырушысы</w:t>
      </w:r>
      <w:r>
        <w:rPr>
          <w:sz w:val="28"/>
          <w:szCs w:val="28"/>
          <w:lang w:val="kk-KZ"/>
        </w:rPr>
        <w:t>.</w:t>
      </w:r>
      <w:r>
        <w:rPr>
          <w:sz w:val="28"/>
          <w:szCs w:val="28"/>
          <w:lang w:val="kk-KZ"/>
        </w:rPr>
        <w:t xml:space="preserve"> </w:t>
      </w:r>
    </w:p>
    <w:p>
      <w:pPr>
        <w:spacing w:line="0" w:lineRule="atLeast"/>
        <w:ind w:firstLine="708"/>
        <w:jc w:val="both"/>
        <w:rPr>
          <w:sz w:val="28"/>
          <w:szCs w:val="28"/>
          <w:lang w:val="kk-KZ"/>
        </w:rPr>
      </w:pPr>
      <w:r>
        <w:rPr>
          <w:sz w:val="28"/>
          <w:szCs w:val="28"/>
          <w:lang w:val="kk-KZ"/>
        </w:rPr>
        <w:t xml:space="preserve">«Aurum» ЖК аталған конкурсқа қатысуға өтінім ұсынған. </w:t>
      </w:r>
    </w:p>
    <w:p>
      <w:pPr>
        <w:spacing w:line="0" w:lineRule="atLeast"/>
        <w:ind w:firstLine="708"/>
        <w:jc w:val="both"/>
        <w:rPr>
          <w:sz w:val="28"/>
          <w:szCs w:val="28"/>
          <w:lang w:val="kk-KZ"/>
        </w:rPr>
      </w:pPr>
      <w:r>
        <w:rPr>
          <w:sz w:val="28"/>
          <w:szCs w:val="28"/>
          <w:lang w:val="kk-KZ"/>
        </w:rPr>
        <w:t>2026 жылғы 9 ақпандағы конкурс қорытындылары туралы хаттамаға сәйкес әлеуетті өнім</w:t>
      </w:r>
      <w:r>
        <w:rPr>
          <w:sz w:val="28"/>
          <w:szCs w:val="28"/>
          <w:lang w:val="kk-KZ"/>
        </w:rPr>
        <w:t xml:space="preserve"> </w:t>
      </w:r>
      <w:r>
        <w:rPr>
          <w:sz w:val="28"/>
          <w:szCs w:val="28"/>
          <w:lang w:val="kk-KZ"/>
        </w:rPr>
        <w:t xml:space="preserve">беруші «Aurum» ЖК конкурс жеңімпазы болып танылды. </w:t>
      </w:r>
    </w:p>
    <w:p>
      <w:pPr>
        <w:spacing w:line="0" w:lineRule="atLeast"/>
        <w:ind w:firstLine="708"/>
        <w:jc w:val="both"/>
        <w:rPr>
          <w:sz w:val="28"/>
          <w:szCs w:val="28"/>
          <w:lang w:val="kk-KZ"/>
        </w:rPr>
      </w:pPr>
      <w:r>
        <w:rPr>
          <w:sz w:val="28"/>
          <w:szCs w:val="28"/>
          <w:lang w:val="kk-KZ"/>
        </w:rPr>
        <w:t xml:space="preserve">Жауапкер конкурсқа ұсынған құжаттарды </w:t>
      </w:r>
      <w:r>
        <w:rPr>
          <w:sz w:val="28"/>
          <w:szCs w:val="28"/>
          <w:lang w:val="kk-KZ"/>
        </w:rPr>
        <w:t>тексеру</w:t>
      </w:r>
      <w:r>
        <w:rPr>
          <w:sz w:val="28"/>
          <w:szCs w:val="28"/>
          <w:lang w:val="kk-KZ"/>
        </w:rPr>
        <w:t xml:space="preserve"> барысында ж</w:t>
      </w:r>
      <w:r>
        <w:rPr>
          <w:sz w:val="28"/>
          <w:szCs w:val="28"/>
          <w:lang w:val="kk-KZ"/>
        </w:rPr>
        <w:t>ұмыс тәжірибесін растау мақсатында «Aurum» ЖК 2020</w:t>
      </w:r>
      <w:r>
        <w:rPr>
          <w:sz w:val="28"/>
          <w:szCs w:val="28"/>
          <w:lang w:val="kk-KZ"/>
        </w:rPr>
        <w:noBreakHyphen/>
        <w:t>2023 жылдар аралығына келесі шарттарды ұсынған: - «Aurum» ЖК мен «Basbaev» ЖК арасында 05.01.2020 ж. жасалған №01 шарт; - «Aurum» ЖК мен «Basbaev» ЖК арасында 05.01.2021 ж. жасалған №1 шарт; - «Aurum» ЖК мен «Basbaev» ЖК арасында 05.01.2022 ж. жасалған №1 шарт; - «Aurum» ЖК мен «Basbaev» ЖК арасында 05.01.2023 ж. жасалған №1 шарт; - «Aurum» ЖК мен «Food service» ЖК арасында 08.01.2024 ж. жасалған №3 шарт.</w:t>
      </w:r>
    </w:p>
    <w:p>
      <w:pPr>
        <w:spacing w:line="0" w:lineRule="atLeast"/>
        <w:ind w:firstLine="708"/>
        <w:jc w:val="both"/>
        <w:rPr>
          <w:sz w:val="28"/>
          <w:szCs w:val="28"/>
          <w:lang w:val="kk-KZ"/>
        </w:rPr>
      </w:pPr>
      <w:r>
        <w:rPr>
          <w:sz w:val="28"/>
          <w:szCs w:val="28"/>
          <w:lang w:val="kk-KZ"/>
        </w:rPr>
        <w:t>Мемлекеттік e-license ақпараттық жүйесінің мәліметтеріне сәйкес ЖК «Aurum» мемлекеттік тіркеуі 2024 жылғы 26</w:t>
      </w:r>
      <w:r>
        <w:rPr>
          <w:sz w:val="28"/>
          <w:szCs w:val="28"/>
          <w:lang w:val="kk-KZ"/>
        </w:rPr>
        <w:t>-</w:t>
      </w:r>
      <w:r>
        <w:rPr>
          <w:sz w:val="28"/>
          <w:szCs w:val="28"/>
          <w:lang w:val="kk-KZ"/>
        </w:rPr>
        <w:t>қарашада №KZ51TWQ04439497 талонымен жүргізілген, ЖК «Basbaev» мемлекеттік тіркеуі 2021 жылғы 29 қарашада №KZ90TWQ01696411 талонымен жүргізілген.</w:t>
      </w:r>
      <w:r>
        <w:rPr>
          <w:sz w:val="28"/>
          <w:szCs w:val="28"/>
          <w:lang w:val="kk-KZ"/>
        </w:rPr>
        <w:t xml:space="preserve"> </w:t>
      </w:r>
    </w:p>
    <w:p>
      <w:pPr>
        <w:spacing w:line="0" w:lineRule="atLeast"/>
        <w:ind w:firstLine="708"/>
        <w:jc w:val="both"/>
        <w:rPr>
          <w:sz w:val="28"/>
          <w:szCs w:val="28"/>
          <w:lang w:val="kk-KZ"/>
        </w:rPr>
      </w:pPr>
      <w:r>
        <w:rPr>
          <w:sz w:val="28"/>
          <w:szCs w:val="28"/>
          <w:lang w:val="kk-KZ"/>
        </w:rPr>
        <w:t>2020</w:t>
      </w:r>
      <w:r>
        <w:rPr>
          <w:sz w:val="28"/>
          <w:szCs w:val="28"/>
          <w:lang w:val="kk-KZ"/>
        </w:rPr>
        <w:noBreakHyphen/>
        <w:t>2023 жылдары ЖК «Aurum» жеке кәсіпкер ретінде тіркелмеген, аталған кезеңде кәсіпкерлік қызметті заңды түрде жүзеге асыру, шарттар жасасу және осы субъектінің атынан мөр пайдалану мүмкіндігін жоққа шығарады. 5 қаңтар</w:t>
      </w:r>
      <w:r>
        <w:rPr>
          <w:sz w:val="28"/>
          <w:szCs w:val="28"/>
          <w:lang w:val="kk-KZ"/>
        </w:rPr>
        <w:t xml:space="preserve"> 2020 жылғы шарт «Basbaev» жеке</w:t>
      </w:r>
      <w:r>
        <w:rPr>
          <w:sz w:val="28"/>
          <w:szCs w:val="28"/>
          <w:lang w:val="kk-KZ"/>
        </w:rPr>
        <w:t xml:space="preserve"> кәсіпкерімен  оның мемлекеттік тіркелу күніне дейін 29 қараша 2021 жылы жасалған, бұл ұсынылған нысанда мұндай шарттың болуы мүмкін еместігін көрсетеді.</w:t>
      </w:r>
      <w:r>
        <w:rPr>
          <w:sz w:val="28"/>
          <w:szCs w:val="28"/>
          <w:lang w:val="kk-KZ"/>
        </w:rPr>
        <w:t xml:space="preserve"> </w:t>
      </w:r>
    </w:p>
    <w:p>
      <w:pPr>
        <w:spacing w:line="0" w:lineRule="atLeast"/>
        <w:ind w:firstLine="708"/>
        <w:jc w:val="both"/>
        <w:rPr>
          <w:sz w:val="28"/>
          <w:szCs w:val="28"/>
          <w:lang w:val="kk-KZ"/>
        </w:rPr>
      </w:pPr>
      <w:r>
        <w:rPr>
          <w:sz w:val="28"/>
          <w:szCs w:val="28"/>
          <w:lang w:val="kk-KZ"/>
        </w:rPr>
        <w:t>Аталған мән-жайлар жұмыс тәжірибесіне қатысты біліктілік талаптарын растау мақсатында конкурсқа ұсынылған өтінім құрамында жалған (дұрыс емес) ақпарат берілгенін дәлелдейді.</w:t>
      </w:r>
    </w:p>
    <w:p>
      <w:pPr>
        <w:spacing w:line="0" w:lineRule="atLeast"/>
        <w:ind w:firstLine="708"/>
        <w:jc w:val="both"/>
        <w:rPr>
          <w:sz w:val="28"/>
          <w:szCs w:val="28"/>
          <w:lang w:val="kk-KZ"/>
        </w:rPr>
      </w:pPr>
      <w:r>
        <w:rPr>
          <w:sz w:val="28"/>
          <w:szCs w:val="28"/>
          <w:lang w:val="kk-KZ"/>
        </w:rPr>
        <w:t>Талап қоюшы өкілі сот отырысында талапты қолдап, оны қанағаттандыруды сұрады.</w:t>
      </w:r>
      <w:r>
        <w:rPr>
          <w:sz w:val="28"/>
          <w:szCs w:val="28"/>
          <w:lang w:val="kk-KZ"/>
        </w:rPr>
        <w:t xml:space="preserve"> </w:t>
      </w:r>
    </w:p>
    <w:p>
      <w:pPr>
        <w:spacing w:line="0" w:lineRule="atLeast"/>
        <w:ind w:firstLine="708"/>
        <w:jc w:val="both"/>
        <w:rPr>
          <w:sz w:val="28"/>
          <w:szCs w:val="28"/>
          <w:lang w:val="kk-KZ"/>
        </w:rPr>
      </w:pPr>
      <w:r>
        <w:rPr>
          <w:sz w:val="28"/>
          <w:szCs w:val="28"/>
          <w:lang w:val="kk-KZ"/>
        </w:rPr>
        <w:t>Жауапкер өкілі сот отырысында кәсіпкерлік жұбайы атына тіркелгені, жұмысты жүргізетін өзі екені, 2020-2023 жылдары кәсіпкерлік жүргізілмегені, кей</w:t>
      </w:r>
      <w:r>
        <w:rPr>
          <w:sz w:val="28"/>
          <w:szCs w:val="28"/>
          <w:lang w:val="kk-KZ"/>
        </w:rPr>
        <w:t xml:space="preserve">ін </w:t>
      </w:r>
      <w:r>
        <w:rPr>
          <w:sz w:val="28"/>
          <w:szCs w:val="28"/>
          <w:lang w:val="kk-KZ"/>
        </w:rPr>
        <w:t>жұмысты жаңғыртқаны, конкурсқа қатысу</w:t>
      </w:r>
      <w:r>
        <w:rPr>
          <w:sz w:val="28"/>
          <w:szCs w:val="28"/>
          <w:lang w:val="kk-KZ"/>
        </w:rPr>
        <w:t xml:space="preserve"> ұшін </w:t>
      </w:r>
      <w:r>
        <w:rPr>
          <w:sz w:val="28"/>
          <w:szCs w:val="28"/>
          <w:lang w:val="kk-KZ"/>
        </w:rPr>
        <w:t>құжаттарды</w:t>
      </w:r>
      <w:r>
        <w:rPr>
          <w:sz w:val="28"/>
          <w:szCs w:val="28"/>
          <w:lang w:val="kk-KZ"/>
        </w:rPr>
        <w:t xml:space="preserve"> жалдаған маман дайындағанын, соңғы қонкурсқа дұрыс мәлімет бермегені жөнінде түсініктеме берді.</w:t>
      </w:r>
    </w:p>
    <w:p>
      <w:pPr>
        <w:spacing w:line="0" w:lineRule="atLeast"/>
        <w:jc w:val="both"/>
        <w:rPr>
          <w:sz w:val="28"/>
          <w:szCs w:val="28"/>
          <w:lang w:val="kk-KZ"/>
        </w:rPr>
      </w:pPr>
      <w:r>
        <w:rPr>
          <w:sz w:val="28"/>
          <w:szCs w:val="28"/>
          <w:lang w:val="kk-KZ"/>
        </w:rPr>
        <w:t xml:space="preserve"> </w:t>
      </w:r>
    </w:p>
    <w:p>
      <w:pPr>
        <w:spacing w:line="0" w:lineRule="atLeast"/>
        <w:jc w:val="both"/>
        <w:rPr>
          <w:b/>
          <w:sz w:val="28"/>
          <w:szCs w:val="28"/>
          <w:lang w:val="kk-KZ"/>
        </w:rPr>
      </w:pPr>
      <w:r>
        <w:rPr>
          <w:b/>
          <w:sz w:val="28"/>
          <w:szCs w:val="28"/>
          <w:lang w:val="kk-KZ"/>
        </w:rPr>
        <w:t>УӘЖДЕУ БӨЛІГІ:</w:t>
      </w:r>
    </w:p>
    <w:p>
      <w:pPr>
        <w:spacing w:line="0" w:lineRule="atLeast"/>
        <w:jc w:val="both"/>
        <w:rPr>
          <w:b/>
          <w:sz w:val="28"/>
          <w:szCs w:val="28"/>
          <w:lang w:val="kk-KZ"/>
        </w:rPr>
      </w:pPr>
    </w:p>
    <w:p>
      <w:pPr>
        <w:spacing w:line="0" w:lineRule="atLeast"/>
        <w:ind w:firstLine="708"/>
        <w:jc w:val="both"/>
        <w:rPr>
          <w:sz w:val="28"/>
          <w:szCs w:val="28"/>
          <w:lang w:val="kk-KZ"/>
        </w:rPr>
      </w:pPr>
      <w:r>
        <w:rPr>
          <w:sz w:val="28"/>
          <w:szCs w:val="28"/>
          <w:lang w:val="kk-KZ"/>
        </w:rPr>
        <w:t xml:space="preserve">Қазақстан Республикасының 2024 жылғы 1 шілдедегі №106-VIII «Мемлекеттік сатып алу туралы» Заңының (бұдан әрі </w:t>
      </w:r>
      <w:r>
        <w:rPr>
          <w:sz w:val="28"/>
          <w:szCs w:val="28"/>
          <w:lang w:val="kk-KZ"/>
        </w:rPr>
        <w:noBreakHyphen/>
        <w:t xml:space="preserve"> Заң) 3-бабының 1) тармақшасына сәйкес, анық емес ақпарат </w:t>
      </w:r>
      <w:r>
        <w:rPr>
          <w:sz w:val="28"/>
          <w:szCs w:val="28"/>
          <w:lang w:val="kk-KZ"/>
        </w:rPr>
        <w:noBreakHyphen/>
        <w:t xml:space="preserve"> біліктілік талаптары және (немесе) конкурстық баға ұсынысына әсер ететін құжаттар бойынша әлеуетті өнім берушінің конкурсқа қатысуға арналған өтінімінде және </w:t>
      </w:r>
      <w:r>
        <w:rPr>
          <w:sz w:val="28"/>
          <w:szCs w:val="28"/>
          <w:lang w:val="kk-KZ"/>
        </w:rPr>
        <w:t>растаушы құжаттарында қамтылған, сол сияқты шындыққа сай келмейтін жалған мәліметтер.</w:t>
      </w:r>
    </w:p>
    <w:p>
      <w:pPr>
        <w:spacing w:line="0" w:lineRule="atLeast"/>
        <w:ind w:firstLine="708"/>
        <w:jc w:val="both"/>
        <w:rPr>
          <w:sz w:val="28"/>
          <w:szCs w:val="28"/>
          <w:lang w:val="kk-KZ"/>
        </w:rPr>
      </w:pPr>
      <w:r>
        <w:rPr>
          <w:sz w:val="28"/>
          <w:szCs w:val="28"/>
          <w:lang w:val="kk-KZ"/>
        </w:rPr>
        <w:t>Заңның 11-бабының 1-тармағына сәйкес, анық емес ақпарат берген әлеуетті өнім берушілер осы Заңда белгіленген тәртіппен мемлекеттік сатып алуға жосықсыз қатысушылардың тізіліміне енгізіледі.</w:t>
      </w:r>
    </w:p>
    <w:p>
      <w:pPr>
        <w:spacing w:line="0" w:lineRule="atLeast"/>
        <w:jc w:val="both"/>
        <w:rPr>
          <w:sz w:val="28"/>
          <w:szCs w:val="28"/>
          <w:lang w:val="kk-KZ"/>
        </w:rPr>
      </w:pPr>
      <w:r>
        <w:rPr>
          <w:sz w:val="28"/>
          <w:szCs w:val="28"/>
          <w:lang w:val="kk-KZ"/>
        </w:rPr>
        <w:t xml:space="preserve">         Заңның 8-бабы 4-тармағының 1)-тармақшасына сәйкес, мемлекеттік сатып алуға жосықсыз қатысушылардың тізілімі анық емес ақпаратты берген әлеуетті өнім берушілердің тізбесін білдіреді.</w:t>
      </w:r>
      <w:r>
        <w:rPr>
          <w:sz w:val="28"/>
          <w:szCs w:val="28"/>
          <w:lang w:val="kk-KZ"/>
        </w:rPr>
        <w:t xml:space="preserve"> </w:t>
      </w:r>
    </w:p>
    <w:p>
      <w:pPr>
        <w:spacing w:line="0" w:lineRule="atLeast"/>
        <w:ind w:firstLine="708"/>
        <w:jc w:val="both"/>
        <w:rPr>
          <w:sz w:val="28"/>
          <w:szCs w:val="28"/>
          <w:lang w:val="kk-KZ"/>
        </w:rPr>
      </w:pPr>
      <w:r>
        <w:rPr>
          <w:sz w:val="28"/>
          <w:szCs w:val="28"/>
          <w:lang w:val="kk-KZ"/>
        </w:rPr>
        <w:t>Қазақстан Республикасы Жоғарғы Сотының 2022 жылғы 21 сәуірдегі №4 «Соттардың мемлекеттік сатып алу жөніндегі заңнаманы қолдануы туралы» нормативтік қаулысының 9-тармағына сәйкес, әлеуетті өнім беруші: 1) біліктілік талаптары бойынша; 2) конкурстық баға ұсынысына әсер ететін құжаттар бойынша анық емес ақпарат ұсынған кезде Заңның 11-бабы 1-тармағының негізінде мемлекеттік сатып алуға жосықсыз қатысушы деп танылуы мүмкін.</w:t>
      </w:r>
    </w:p>
    <w:p>
      <w:pPr>
        <w:spacing w:line="0" w:lineRule="atLeast"/>
        <w:ind w:firstLine="708"/>
        <w:jc w:val="both"/>
        <w:rPr>
          <w:sz w:val="28"/>
          <w:szCs w:val="28"/>
          <w:lang w:val="kk-KZ"/>
        </w:rPr>
      </w:pPr>
      <w:r>
        <w:rPr>
          <w:sz w:val="28"/>
          <w:szCs w:val="28"/>
          <w:lang w:val="kk-KZ"/>
        </w:rPr>
        <w:t>№598 Қағидалардың 180-тармағына сәйкес, біліктілік талаптары бойынша дұрыс емес ақпарат ұсыну немесе конкурсқа ұсынылған құжаттарда жалған мәліметтердің анықталуы жағдайында әлеуетті өнім беруші конкурсқа қатысуға жіберілмейді.</w:t>
      </w:r>
    </w:p>
    <w:p>
      <w:pPr>
        <w:spacing w:line="0" w:lineRule="atLeast"/>
        <w:ind w:firstLine="708"/>
        <w:jc w:val="both"/>
        <w:rPr>
          <w:sz w:val="28"/>
          <w:szCs w:val="28"/>
          <w:lang w:val="kk-KZ"/>
        </w:rPr>
      </w:pPr>
      <w:r>
        <w:rPr>
          <w:sz w:val="28"/>
          <w:szCs w:val="28"/>
          <w:lang w:val="kk-KZ"/>
        </w:rPr>
        <w:t>ЖК «Aurum» 2020</w:t>
      </w:r>
      <w:r>
        <w:rPr>
          <w:sz w:val="28"/>
          <w:szCs w:val="28"/>
          <w:lang w:val="kk-KZ"/>
        </w:rPr>
        <w:noBreakHyphen/>
        <w:t>2023 жылдар аралығында жеке кәсіпкер ретінде тіркелмеген. Мемлекеттік e-license жүйесі бойынша «Aurum» ЖК тіркелуі тек 2024 жылғы 26-қарашада жүргізілгені анықталған. Демек, аталған кезеңде жасалған деп ұсынылған шарттар заңды тұрғыдан дұрыс болуы мүмкін емес.</w:t>
      </w:r>
    </w:p>
    <w:p>
      <w:pPr>
        <w:spacing w:line="0" w:lineRule="atLeast"/>
        <w:ind w:firstLine="708"/>
        <w:jc w:val="both"/>
        <w:rPr>
          <w:sz w:val="28"/>
          <w:szCs w:val="28"/>
          <w:lang w:val="kk-KZ"/>
        </w:rPr>
      </w:pPr>
      <w:r>
        <w:rPr>
          <w:sz w:val="28"/>
          <w:szCs w:val="28"/>
          <w:lang w:val="kk-KZ"/>
        </w:rPr>
        <w:t>Сонымен қатар, 5 қаңтар 2020 жылғы «Basbaev» жеке кәсіпкерімен  жасалды деп ұсынылған шарт «Basbaev» ЖК-нің мемлекеттік тіркелу күніне дейін — 29-қараша 2021 жылға дейін — жасалған. Бұл заңды тұлғаның тіркелуінен бұрын шарт жасалуы мүмкін еместігін және ұсынылған деректердің жалған екенін айқын дәлелдейді.</w:t>
      </w:r>
    </w:p>
    <w:p>
      <w:pPr>
        <w:spacing w:line="0" w:lineRule="atLeast"/>
        <w:ind w:firstLine="708"/>
        <w:jc w:val="both"/>
        <w:rPr>
          <w:sz w:val="28"/>
          <w:szCs w:val="28"/>
          <w:lang w:val="kk-KZ"/>
        </w:rPr>
      </w:pPr>
      <w:r>
        <w:rPr>
          <w:sz w:val="28"/>
          <w:szCs w:val="28"/>
          <w:lang w:val="kk-KZ"/>
        </w:rPr>
        <w:t>Аталған мән-жайлар жауапкердің конкурсқа қатысу барысында біліктілік талаптарын растау үшін анық емес ақпарат ұсынғанының айқын дәлелі болып табылады.</w:t>
      </w:r>
      <w:r>
        <w:rPr>
          <w:sz w:val="28"/>
          <w:szCs w:val="28"/>
          <w:lang w:val="kk-KZ"/>
        </w:rPr>
        <w:t xml:space="preserve"> </w:t>
      </w:r>
    </w:p>
    <w:p>
      <w:pPr>
        <w:spacing w:line="0" w:lineRule="atLeast"/>
        <w:ind w:firstLine="708"/>
        <w:jc w:val="both"/>
        <w:rPr>
          <w:sz w:val="28"/>
          <w:szCs w:val="28"/>
          <w:lang w:val="kk-KZ"/>
        </w:rPr>
      </w:pPr>
      <w:r>
        <w:rPr>
          <w:sz w:val="28"/>
          <w:szCs w:val="28"/>
          <w:lang w:val="kk-KZ"/>
        </w:rPr>
        <w:t xml:space="preserve">Осы мән-жайды жоққа шығаратын дәлелдемелерді жауапкер Қазақстан Республикасы Азаматтық процесстік кодексінің (әрі қарай </w:t>
      </w:r>
      <w:r>
        <w:rPr>
          <w:sz w:val="28"/>
          <w:szCs w:val="28"/>
          <w:lang w:val="kk-KZ"/>
        </w:rPr>
        <w:noBreakHyphen/>
        <w:t xml:space="preserve"> АПК) 72-бабына сай сотқа ұсынбады, бұл оның процессуалдық олқылығы болып табылады. Тараптардың қолында бар дәлелдемелерді сотқа ұсынбау осы дәлелдемелерді апелляциялық, кассациялық сатылардағы сотқа ұсыну мүмкіндігін жоққа шығарады (АПК-нің 73-бабының 1-бөлігі). </w:t>
      </w:r>
      <w:r>
        <w:rPr>
          <w:sz w:val="28"/>
          <w:szCs w:val="28"/>
          <w:lang w:val="kk-KZ"/>
        </w:rPr>
        <w:t xml:space="preserve"> </w:t>
      </w:r>
    </w:p>
    <w:p>
      <w:pPr>
        <w:spacing w:line="0" w:lineRule="atLeast"/>
        <w:ind w:firstLine="708"/>
        <w:jc w:val="both"/>
        <w:rPr>
          <w:sz w:val="28"/>
          <w:szCs w:val="28"/>
          <w:lang w:val="kk-KZ"/>
        </w:rPr>
      </w:pPr>
      <w:r>
        <w:rPr>
          <w:sz w:val="28"/>
          <w:szCs w:val="28"/>
          <w:lang w:val="kk-KZ"/>
        </w:rPr>
        <w:t>Жауапкердің мемлекеттік сатып алу конкурсына анық емес ақпарат беруі оған Заңның 8-бабы 4-тармағының 1)-тармақшасында көзделген салдарларға — жосықсыз өнім берушілер тізіліміне енгізілуге — алып соғады.</w:t>
      </w:r>
      <w:r>
        <w:rPr>
          <w:sz w:val="28"/>
          <w:szCs w:val="28"/>
          <w:lang w:val="kk-KZ"/>
        </w:rPr>
        <w:t xml:space="preserve"> </w:t>
      </w:r>
    </w:p>
    <w:p>
      <w:pPr>
        <w:spacing w:line="0" w:lineRule="atLeast"/>
        <w:ind w:firstLine="708"/>
        <w:jc w:val="both"/>
        <w:rPr>
          <w:sz w:val="28"/>
          <w:szCs w:val="28"/>
          <w:lang w:val="kk-KZ"/>
        </w:rPr>
      </w:pPr>
      <w:r>
        <w:rPr>
          <w:sz w:val="28"/>
          <w:szCs w:val="28"/>
          <w:lang w:val="kk-KZ"/>
        </w:rPr>
        <w:t xml:space="preserve">Істің мұндай тұрғысында, сот талап қоюшының жауапкер конкурста </w:t>
      </w:r>
      <w:r>
        <w:rPr>
          <w:sz w:val="28"/>
          <w:szCs w:val="28"/>
          <w:lang w:val="kk-KZ"/>
        </w:rPr>
        <w:t xml:space="preserve">жоғары балл жинау үшін 2020 </w:t>
      </w:r>
      <w:r>
        <w:rPr>
          <w:sz w:val="28"/>
          <w:szCs w:val="28"/>
          <w:lang w:val="kk-KZ"/>
        </w:rPr>
        <w:noBreakHyphen/>
        <w:t xml:space="preserve"> 2024 жылдарда жеке кәсіпкерлікпен айналыспағанына қарамастан, шындыққа және әлеуетті өнім берушінің растаушы құжаттарына сай келмейтін мәлімет ұсынғанын көрсеткен уәжі өз дәлелін тапты деп есептейді</w:t>
      </w:r>
    </w:p>
    <w:p>
      <w:pPr>
        <w:spacing w:line="0" w:lineRule="atLeast"/>
        <w:ind w:firstLine="708"/>
        <w:jc w:val="both"/>
        <w:rPr>
          <w:sz w:val="28"/>
          <w:szCs w:val="28"/>
          <w:lang w:val="kk-KZ"/>
        </w:rPr>
      </w:pPr>
      <w:r>
        <w:rPr>
          <w:sz w:val="28"/>
          <w:szCs w:val="28"/>
          <w:lang w:val="kk-KZ"/>
        </w:rPr>
        <w:t>Жоғарыда баяндалған негіздерге байланысты және қолданыстағы заң талаптарына сәйкес, сот жауапкердің мемлекеттік сатып алу конкурсына анық емес ақпарат ұсынғанын, талап қоюшының Заңда белгіленген мерзімде сотқа жүгінгенін ескеріп, әділдік пен ақылға сыйымдылық өлшемшарттарын негізге ала отырып, талап қою қанағаттандырылуға жатады деген тұжырымға келеді.</w:t>
      </w:r>
    </w:p>
    <w:p>
      <w:pPr>
        <w:spacing w:line="0" w:lineRule="atLeast"/>
        <w:ind w:firstLine="708"/>
        <w:jc w:val="both"/>
        <w:rPr>
          <w:sz w:val="28"/>
          <w:szCs w:val="28"/>
          <w:lang w:val="kk-KZ"/>
        </w:rPr>
      </w:pPr>
      <w:r>
        <w:rPr>
          <w:sz w:val="28"/>
          <w:szCs w:val="28"/>
          <w:lang w:val="kk-KZ"/>
        </w:rPr>
        <w:t>Сонымен қатар АПК-нің 117-бабының талаптарына сай, талап қоюшы төлеуден босатылған мемлекеттік баж, мемлекет кірісіне шығыстарын төлеуден босатылмаған жауапкерден толық немесе талап қоюдың қанағаттандырылған бөлігіне пропорционалды өндіріліп алынады.</w:t>
      </w:r>
    </w:p>
    <w:p>
      <w:pPr>
        <w:spacing w:line="0" w:lineRule="atLeast"/>
        <w:ind w:firstLine="708"/>
        <w:jc w:val="both"/>
        <w:rPr>
          <w:sz w:val="28"/>
          <w:szCs w:val="28"/>
          <w:lang w:val="kk-KZ"/>
        </w:rPr>
      </w:pPr>
      <w:r>
        <w:rPr>
          <w:sz w:val="28"/>
          <w:szCs w:val="28"/>
          <w:lang w:val="kk-KZ"/>
        </w:rPr>
        <w:t>Сондықтан жауапкерден мемлекет пайдасына 2163 теңге мемлекеттік баж салығы өндірілуге жатады.</w:t>
      </w:r>
    </w:p>
    <w:p>
      <w:pPr>
        <w:spacing w:line="0" w:lineRule="atLeast"/>
        <w:jc w:val="both"/>
        <w:rPr>
          <w:b/>
          <w:sz w:val="28"/>
          <w:szCs w:val="28"/>
          <w:lang w:val="kk-KZ"/>
        </w:rPr>
      </w:pPr>
    </w:p>
    <w:p>
      <w:pPr>
        <w:spacing w:line="0" w:lineRule="atLeast"/>
        <w:jc w:val="both"/>
        <w:rPr>
          <w:b/>
          <w:sz w:val="28"/>
          <w:szCs w:val="28"/>
          <w:lang w:val="kk-KZ"/>
        </w:rPr>
      </w:pPr>
      <w:r>
        <w:rPr>
          <w:b/>
          <w:sz w:val="28"/>
          <w:szCs w:val="28"/>
          <w:lang w:val="kk-KZ"/>
        </w:rPr>
        <w:t>ҚАРАР БӨЛІГІ:</w:t>
      </w:r>
    </w:p>
    <w:p>
      <w:pPr>
        <w:spacing w:line="0" w:lineRule="atLeast"/>
        <w:ind w:firstLine="709"/>
        <w:jc w:val="both"/>
        <w:rPr>
          <w:sz w:val="28"/>
          <w:szCs w:val="28"/>
          <w:lang w:val="kk-KZ"/>
        </w:rPr>
      </w:pPr>
    </w:p>
    <w:p>
      <w:pPr>
        <w:spacing w:line="0" w:lineRule="atLeast"/>
        <w:ind w:firstLine="709"/>
        <w:jc w:val="both"/>
        <w:rPr>
          <w:sz w:val="28"/>
          <w:szCs w:val="28"/>
          <w:lang w:val="kk-KZ"/>
        </w:rPr>
      </w:pPr>
      <w:r>
        <w:rPr>
          <w:sz w:val="28"/>
          <w:szCs w:val="28"/>
          <w:lang w:val="kk-KZ"/>
        </w:rPr>
        <w:t xml:space="preserve"> АПК-нің  223-226-баптарын басшылыққа ала отырып,  сот</w:t>
      </w:r>
    </w:p>
    <w:p>
      <w:pPr>
        <w:spacing w:line="0" w:lineRule="atLeast"/>
        <w:jc w:val="both"/>
        <w:rPr>
          <w:sz w:val="28"/>
          <w:szCs w:val="28"/>
          <w:lang w:val="kk-KZ"/>
        </w:rPr>
      </w:pPr>
    </w:p>
    <w:p>
      <w:pPr>
        <w:spacing w:line="0" w:lineRule="atLeast"/>
        <w:jc w:val="center"/>
        <w:rPr>
          <w:b/>
          <w:sz w:val="28"/>
          <w:szCs w:val="28"/>
          <w:lang w:val="kk-KZ"/>
        </w:rPr>
      </w:pPr>
      <w:r>
        <w:rPr>
          <w:b/>
          <w:sz w:val="28"/>
          <w:szCs w:val="28"/>
          <w:lang w:val="kk-KZ"/>
        </w:rPr>
        <w:t>Ш Е Ш І М   Е Т Т І:</w:t>
      </w:r>
    </w:p>
    <w:p>
      <w:pPr>
        <w:spacing w:line="0" w:lineRule="atLeast"/>
        <w:jc w:val="both"/>
        <w:rPr>
          <w:sz w:val="28"/>
          <w:szCs w:val="28"/>
          <w:lang w:val="kk-KZ"/>
        </w:rPr>
      </w:pPr>
    </w:p>
    <w:p>
      <w:pPr>
        <w:spacing w:line="0" w:lineRule="atLeast"/>
        <w:ind w:firstLine="708"/>
        <w:jc w:val="both"/>
        <w:rPr>
          <w:sz w:val="28"/>
          <w:szCs w:val="28"/>
          <w:lang w:val="kk-KZ"/>
        </w:rPr>
      </w:pPr>
      <w:r>
        <w:rPr>
          <w:sz w:val="28"/>
          <w:szCs w:val="28"/>
          <w:lang w:val="kk-KZ"/>
        </w:rPr>
        <w:t>Талап қою</w:t>
      </w:r>
      <w:r>
        <w:rPr>
          <w:sz w:val="28"/>
          <w:szCs w:val="28"/>
          <w:lang w:val="kk-KZ"/>
        </w:rPr>
        <w:t xml:space="preserve"> қанағаттандыр</w:t>
      </w:r>
      <w:r>
        <w:rPr>
          <w:sz w:val="28"/>
          <w:szCs w:val="28"/>
          <w:lang w:val="kk-KZ"/>
        </w:rPr>
        <w:t>ылсын.</w:t>
      </w:r>
    </w:p>
    <w:p>
      <w:pPr>
        <w:spacing w:line="0" w:lineRule="atLeast"/>
        <w:ind w:firstLine="708"/>
        <w:jc w:val="both"/>
        <w:rPr>
          <w:sz w:val="28"/>
          <w:szCs w:val="28"/>
          <w:lang w:val="kk-KZ"/>
        </w:rPr>
      </w:pPr>
      <w:r>
        <w:rPr>
          <w:sz w:val="28"/>
          <w:szCs w:val="28"/>
          <w:lang w:val="kk-KZ"/>
        </w:rPr>
        <w:t>"Aurum" жеке кәсіпкері, басшысы Жібек Теңгілбекқызы Чанбаева</w:t>
      </w:r>
      <w:r>
        <w:rPr>
          <w:sz w:val="28"/>
          <w:szCs w:val="28"/>
          <w:lang w:val="kk-KZ"/>
        </w:rPr>
        <w:t xml:space="preserve">, </w:t>
      </w:r>
      <w:r>
        <w:rPr>
          <w:sz w:val="28"/>
          <w:szCs w:val="28"/>
          <w:lang w:val="kk-KZ"/>
        </w:rPr>
        <w:t>м</w:t>
      </w:r>
      <w:r>
        <w:rPr>
          <w:sz w:val="28"/>
          <w:szCs w:val="28"/>
          <w:lang w:val="kk-KZ"/>
        </w:rPr>
        <w:t xml:space="preserve">емлекеттік сатып </w:t>
      </w:r>
      <w:r>
        <w:rPr>
          <w:sz w:val="28"/>
          <w:szCs w:val="28"/>
          <w:lang w:val="kk-KZ"/>
        </w:rPr>
        <w:t>алуға жосықсыз қатысушы деп танылсын.</w:t>
      </w:r>
    </w:p>
    <w:p>
      <w:pPr>
        <w:spacing w:line="0" w:lineRule="atLeast"/>
        <w:ind w:firstLine="708"/>
        <w:jc w:val="both"/>
        <w:rPr>
          <w:sz w:val="28"/>
          <w:szCs w:val="28"/>
          <w:lang w:val="kk-KZ"/>
        </w:rPr>
      </w:pPr>
      <w:r>
        <w:rPr>
          <w:sz w:val="28"/>
          <w:szCs w:val="28"/>
          <w:lang w:val="kk-KZ"/>
        </w:rPr>
        <w:t>"Aurum" жеке кәсіпкері</w:t>
      </w:r>
      <w:r>
        <w:rPr>
          <w:sz w:val="28"/>
          <w:szCs w:val="28"/>
          <w:lang w:val="kk-KZ"/>
        </w:rPr>
        <w:t>нен</w:t>
      </w:r>
      <w:r>
        <w:rPr>
          <w:sz w:val="28"/>
          <w:szCs w:val="28"/>
          <w:lang w:val="kk-KZ"/>
        </w:rPr>
        <w:t>, басшысы Жібек Теңгілбекқызы Чанбаева</w:t>
      </w:r>
      <w:r>
        <w:rPr>
          <w:sz w:val="28"/>
          <w:szCs w:val="28"/>
          <w:lang w:val="kk-KZ"/>
        </w:rPr>
        <w:t xml:space="preserve">, </w:t>
      </w:r>
      <w:r>
        <w:rPr>
          <w:sz w:val="28"/>
          <w:szCs w:val="28"/>
          <w:lang w:val="kk-KZ"/>
        </w:rPr>
        <w:t xml:space="preserve">мемлекет пайдасына </w:t>
      </w:r>
      <w:r>
        <w:rPr>
          <w:sz w:val="28"/>
          <w:szCs w:val="28"/>
          <w:lang w:val="kk-KZ"/>
        </w:rPr>
        <w:t>2163</w:t>
      </w:r>
      <w:r>
        <w:rPr>
          <w:sz w:val="28"/>
          <w:szCs w:val="28"/>
          <w:lang w:val="kk-KZ"/>
        </w:rPr>
        <w:t xml:space="preserve"> </w:t>
      </w:r>
      <w:r>
        <w:rPr>
          <w:sz w:val="28"/>
          <w:szCs w:val="28"/>
          <w:lang w:val="kk-KZ"/>
        </w:rPr>
        <w:t>(</w:t>
      </w:r>
      <w:r>
        <w:rPr>
          <w:sz w:val="28"/>
          <w:szCs w:val="28"/>
          <w:lang w:val="kk-KZ"/>
        </w:rPr>
        <w:t>екі мың бір жүз алпыс үш</w:t>
      </w:r>
      <w:r>
        <w:rPr>
          <w:sz w:val="28"/>
          <w:szCs w:val="28"/>
          <w:lang w:val="kk-KZ"/>
        </w:rPr>
        <w:t xml:space="preserve">) </w:t>
      </w:r>
      <w:r>
        <w:rPr>
          <w:sz w:val="28"/>
          <w:szCs w:val="28"/>
          <w:lang w:val="kk-KZ"/>
        </w:rPr>
        <w:t>теңге мемлкеттік баж өндірілсін.</w:t>
      </w:r>
    </w:p>
    <w:p>
      <w:pPr>
        <w:spacing w:line="0" w:lineRule="atLeast"/>
        <w:ind w:firstLine="709"/>
        <w:jc w:val="both"/>
        <w:rPr>
          <w:sz w:val="28"/>
          <w:szCs w:val="28"/>
          <w:lang w:val="kk-KZ"/>
        </w:rPr>
      </w:pPr>
      <w:r>
        <w:rPr>
          <w:sz w:val="28"/>
          <w:szCs w:val="28"/>
          <w:lang w:val="kk-KZ"/>
        </w:rPr>
        <w:t>Шешімге тараптар Қазақстан Республикасы Азаматтық процестік кодексінің 403,404- баптарының талаптарын сақтай отырып, шешім түпкілікті нысанда шығарылған күннен бастап, ал сот талқылауына қатыспаған тұлғалар өздеріне шешімнің көшірмесі жіберілген күннен бастап бір ай ішінде Маңғыстау облысының мамандандырылған ауданаралық экономикалық соты арқылы Маңғыстау облыстық сотының апелляциялық сот алқасына шағым және прокурор өтінішхат келтіруге құқылы.</w:t>
      </w:r>
    </w:p>
    <w:p>
      <w:pPr>
        <w:spacing w:line="0" w:lineRule="atLeast"/>
        <w:ind w:firstLine="709"/>
        <w:jc w:val="both"/>
        <w:rPr>
          <w:lang w:val="kk-KZ"/>
        </w:rPr>
      </w:pPr>
    </w:p>
    <w:p>
      <w:pPr>
        <w:spacing w:line="0" w:lineRule="atLeast"/>
        <w:ind w:firstLine="709"/>
        <w:jc w:val="both"/>
        <w:rPr>
          <w:sz w:val="28"/>
          <w:szCs w:val="28"/>
          <w:lang w:val="kk-KZ"/>
        </w:rPr>
      </w:pPr>
      <w:r>
        <w:rPr>
          <w:sz w:val="28"/>
          <w:szCs w:val="28"/>
        </w:rPr>
        <w:t>Судья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Бейсенов</w:t>
      </w:r>
      <w:r>
        <w:rPr>
          <w:sz w:val="28"/>
          <w:szCs w:val="28"/>
        </w:rPr>
        <w:t xml:space="preserve"> Р.С.</w:t>
      </w:r>
      <w:r>
        <w:rPr>
          <w:sz w:val="28"/>
          <w:szCs w:val="28"/>
          <w:lang w:val="kk-KZ"/>
        </w:rPr>
        <w:drawing>
          <wp:inline>
            <wp:extent cx="762000" cy="762000"/>
            <wp:docPr id="100006" name=""/>
            <wp:cNvGraphicFramePr/>
            <a:graphic xmlns:a="http://schemas.openxmlformats.org/drawingml/2006/main">
              <a:graphicData uri="http://schemas.openxmlformats.org/drawingml/2006/picture">
                <pic:pic xmlns:pic="http://schemas.openxmlformats.org/drawingml/2006/picture">
                  <pic:nvPicPr>
                    <pic:cNvPr id="100006" name=""/>
                    <pic:cNvPicPr/>
                  </pic:nvPicPr>
                  <pic:blipFill>
                    <a:blip xmlns:r="http://schemas.openxmlformats.org/officeDocument/2006/relationships" r:embed="rId5"/>
                    <a:stretch>
                      <a:fillRect/>
                    </a:stretch>
                  </pic:blipFill>
                  <pic:spPr>
                    <a:xfrm>
                      <a:off x="0" y="0"/>
                      <a:ext cx="762000" cy="762000"/>
                    </a:xfrm>
                    <a:prstGeom prst="rect">
                      <a:avLst/>
                    </a:prstGeom>
                  </pic:spPr>
                </pic:pic>
              </a:graphicData>
            </a:graphic>
          </wp:inline>
        </w:drawing>
      </w:r>
      <w:r>
        <w:rPr>
          <w:sz w:val="28"/>
          <w:szCs w:val="28"/>
          <w:lang w:val="kk-KZ"/>
        </w:rPr>
        <w:drawing>
          <wp:inline>
            <wp:extent cx="762000" cy="762000"/>
            <wp:docPr id="100007" name=""/>
            <wp:cNvGraphicFramePr/>
            <a:graphic xmlns:a="http://schemas.openxmlformats.org/drawingml/2006/main">
              <a:graphicData uri="http://schemas.openxmlformats.org/drawingml/2006/picture">
                <pic:pic xmlns:pic="http://schemas.openxmlformats.org/drawingml/2006/picture">
                  <pic:nvPicPr>
                    <pic:cNvPr id="100007" name=""/>
                    <pic:cNvPicPr/>
                  </pic:nvPicPr>
                  <pic:blipFill>
                    <a:blip xmlns:r="http://schemas.openxmlformats.org/officeDocument/2006/relationships" r:embed="rId6"/>
                    <a:stretch>
                      <a:fillRect/>
                    </a:stretch>
                  </pic:blipFill>
                  <pic:spPr>
                    <a:xfrm>
                      <a:off x="0" y="0"/>
                      <a:ext cx="762000" cy="762000"/>
                    </a:xfrm>
                    <a:prstGeom prst="rect">
                      <a:avLst/>
                    </a:prstGeom>
                  </pic:spPr>
                </pic:pic>
              </a:graphicData>
            </a:graphic>
          </wp:inline>
        </w:drawing>
      </w:r>
      <w:r>
        <w:rPr>
          <w:sz w:val="28"/>
          <w:szCs w:val="28"/>
          <w:lang w:val="kk-KZ"/>
        </w:rPr>
        <w:drawing>
          <wp:inline>
            <wp:extent cx="762000" cy="762000"/>
            <wp:docPr id="100008" name=""/>
            <wp:cNvGraphicFramePr/>
            <a:graphic xmlns:a="http://schemas.openxmlformats.org/drawingml/2006/main">
              <a:graphicData uri="http://schemas.openxmlformats.org/drawingml/2006/picture">
                <pic:pic xmlns:pic="http://schemas.openxmlformats.org/drawingml/2006/picture">
                  <pic:nvPicPr>
                    <pic:cNvPr id="100008" name=""/>
                    <pic:cNvPicPr/>
                  </pic:nvPicPr>
                  <pic:blipFill>
                    <a:blip xmlns:r="http://schemas.openxmlformats.org/officeDocument/2006/relationships" r:embed="rId7"/>
                    <a:stretch>
                      <a:fillRect/>
                    </a:stretch>
                  </pic:blipFill>
                  <pic:spPr>
                    <a:xfrm>
                      <a:off x="0" y="0"/>
                      <a:ext cx="762000" cy="762000"/>
                    </a:xfrm>
                    <a:prstGeom prst="rect">
                      <a:avLst/>
                    </a:prstGeom>
                  </pic:spPr>
                </pic:pic>
              </a:graphicData>
            </a:graphic>
          </wp:inline>
        </w:drawing>
      </w:r>
    </w:p>
    <w:sectPr>
      <w:headerReference w:type="default" r:id="rId8"/>
      <w:type w:val="nextPage"/>
      <w:pgSz w:w="11906" w:h="16838"/>
      <w:pgMar w:top="1418" w:right="851" w:bottom="1418" w:left="1985" w:header="709" w:footer="800" w:gutter="0"/>
      <w:cols w:num="1" w:sep="0" w:space="708" w:equalWidth="1"/>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default"/>
  </w:font>
  <w:font w:name="Calibri">
    <w:panose1 w:val="020F0502020204030204"/>
    <w:charset w:val="00"/>
    <w:family w:val="auto"/>
    <w:pitch w:val="default"/>
  </w:font>
  <w:font w:name="Cambria">
    <w:panose1 w:val="02040803050406030204"/>
    <w:charset w:val="00"/>
    <w:family w:val="auto"/>
    <w:pitch w:val="default"/>
  </w:font>
  <w:font w:name="PMingLiU">
    <w:panose1 w:val="020405030504060A0204"/>
    <w:charset w:val="00"/>
    <w:family w:val="auto"/>
    <w:pitch w:val="default"/>
  </w:font>
  <w:font w:name="Tahoma">
    <w:panose1 w:val="020B0604030504040204"/>
    <w:charset w:val="00"/>
    <w:family w:val="auto"/>
    <w:pitch w:val="default"/>
  </w:font>
  <w:font w:name="Times New Roman">
    <w:panose1 w:val="02020603050405020304"/>
    <w:charset w:val="00"/>
    <w:family w:val="auto"/>
    <w:pitch w:val="default"/>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41771648"/>
      <w:richText/>
    </w:sdtPr>
    <w:sdtContent>
      <w:p>
        <w:pPr>
          <w:pStyle w:val="Header"/>
          <w:jc w:val="center"/>
        </w:pPr>
        <w:r>
          <w:fldChar w:fldCharType="begin"/>
        </w:r>
        <w:r>
          <w:instrText>PAGE \* MERGEFORMAT</w:instrText>
        </w:r>
        <w:r>
          <w:fldChar w:fldCharType="separate"/>
        </w:r>
        <w:r>
          <w:t>1</w:t>
        </w:r>
        <w:r>
          <w:fldChar w:fldCharType="end"/>
        </w:r>
      </w:p>
    </w:sdtContent>
  </w:sdt>
  <w:p>
    <w:pPr>
      <w:pStyle w:val="Header"/>
    </w:pPr>
  </w:p>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height:600pt;margin-left:5pt;margin-top:50pt;mso-position-horizontal-relative:page;mso-position-vertical-relative:page;position:absolute;width:25pt;z-index:-251658240">
          <v:imagedata r:id="rId1" o:title=""/>
        </v:shape>
      </w:pict>
    </w:r>
    <w:r>
      <w:pict>
        <v:shape id="_x0000_s2050" type="#_x0000_t75" style="height:25pt;margin-left:11pt;margin-top:790pt;mso-position-horizontal-relative:page;mso-position-vertical-relative:page;position:absolute;width:200pt;z-index:-251657216">
          <v:imagedata r:id="rId2" o:title=""/>
        </v:shape>
      </w:pict>
    </w:r>
    <w:r>
      <w:pict>
        <v:shape id="_x0000_s2051" type="#_x0000_t75" style="height:400pt;margin-left:570pt;margin-top:250pt;mso-position-horizontal-relative:page;mso-position-vertical-relative:page;position:absolute;width:25pt;z-index:-251656192">
          <v:imagedata r:id="rId3" o:title=""/>
        </v:shape>
      </w:pict>
    </w:r>
    <w:r>
      <w:pict>
        <v:shape id="_x0000_s2052" type="#_x0000_t75" style="height:40pt;margin-left:7pt;margin-top:750pt;mso-position-horizontal-relative:page;mso-position-vertical-relative:page;position:absolute;width:40pt;z-index:-251655168">
          <v:imagedata r:id="rId4" o:title=""/>
        </v:shape>
      </w:pict>
    </w:r>
    <w:r>
      <w:pict>
        <v:shape id="_x0000_s2053" type="#_x0000_t75" style="height:390pt;margin-left:120pt;margin-top:350pt;mso-position-horizontal-relative:page;mso-position-vertical-relative:page;position:absolute;width:400pt;z-index:-251654144">
          <v:imagedata r:id="rId5" o:titl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0"/>
    <w:multiLevelType w:val="hybridMultilevel"/>
    <w:tmpl w:val="00000000"/>
    <w:lvl w:ilvl="0">
      <w:start w:val="1"/>
      <w:numFmt w:val="decimal"/>
      <w:lvlText w:val="%1."/>
      <w:lvlJc w:val="left"/>
      <w:pPr>
        <w:ind w:left="720" w:hanging="359"/>
      </w:pPr>
      <w:rPr>
        <w:rFonts w:hint="default"/>
      </w:rPr>
    </w:lvl>
    <w:lvl w:ilvl="1">
      <w:start w:val="1"/>
      <w:numFmt w:val="lowerLetter"/>
      <w:lvlText w:val="%2."/>
      <w:lvlJc w:val="left"/>
      <w:pPr>
        <w:ind w:left="1440" w:hanging="359"/>
      </w:pPr>
    </w:lvl>
    <w:lvl w:ilvl="2">
      <w:start w:val="1"/>
      <w:numFmt w:val="lowerRoman"/>
      <w:lvlText w:val="%3."/>
      <w:lvlJc w:val="right"/>
      <w:pPr>
        <w:ind w:left="2160" w:hanging="179"/>
      </w:pPr>
    </w:lvl>
    <w:lvl w:ilvl="3">
      <w:start w:val="1"/>
      <w:numFmt w:val="decimal"/>
      <w:lvlText w:val="%4."/>
      <w:lvlJc w:val="left"/>
      <w:pPr>
        <w:ind w:left="2880" w:hanging="359"/>
      </w:pPr>
    </w:lvl>
    <w:lvl w:ilvl="4">
      <w:start w:val="1"/>
      <w:numFmt w:val="lowerLetter"/>
      <w:lvlText w:val="%5."/>
      <w:lvlJc w:val="left"/>
      <w:pPr>
        <w:ind w:left="3600" w:hanging="359"/>
      </w:pPr>
    </w:lvl>
    <w:lvl w:ilvl="5">
      <w:start w:val="1"/>
      <w:numFmt w:val="lowerRoman"/>
      <w:lvlText w:val="%6."/>
      <w:lvlJc w:val="right"/>
      <w:pPr>
        <w:ind w:left="4320" w:hanging="179"/>
      </w:pPr>
    </w:lvl>
    <w:lvl w:ilvl="6">
      <w:start w:val="1"/>
      <w:numFmt w:val="decimal"/>
      <w:lvlText w:val="%7."/>
      <w:lvlJc w:val="left"/>
      <w:pPr>
        <w:ind w:left="5040" w:hanging="359"/>
      </w:pPr>
    </w:lvl>
    <w:lvl w:ilvl="7">
      <w:start w:val="1"/>
      <w:numFmt w:val="lowerLetter"/>
      <w:lvlText w:val="%8."/>
      <w:lvlJc w:val="left"/>
      <w:pPr>
        <w:ind w:left="5760" w:hanging="359"/>
      </w:pPr>
    </w:lvl>
    <w:lvl w:ilvl="8">
      <w:start w:val="1"/>
      <w:numFmt w:val="lowerRoman"/>
      <w:lvlText w:val="%9."/>
      <w:lvlJc w:val="right"/>
      <w:pPr>
        <w:ind w:left="6480" w:hanging="179"/>
      </w:pPr>
    </w:lvl>
  </w:abstractNum>
  <w:abstractNum w:abstractNumId="1">
    <w:nsid w:val="00000001"/>
    <w:multiLevelType w:val="hybridMultilevel"/>
    <w:tmpl w:val="00000000"/>
    <w:lvl w:ilvl="0">
      <w:start w:val="1"/>
      <w:numFmt w:val="decimal"/>
      <w:lvlText w:val="%1"/>
      <w:lvlJc w:val="left"/>
      <w:pPr>
        <w:ind w:left="1068" w:hanging="359"/>
      </w:pPr>
      <w:rPr>
        <w:rFonts w:hint="default"/>
      </w:rPr>
    </w:lvl>
    <w:lvl w:ilvl="1">
      <w:start w:val="1"/>
      <w:numFmt w:val="lowerLetter"/>
      <w:lvlText w:val="%2."/>
      <w:lvlJc w:val="left"/>
      <w:pPr>
        <w:ind w:left="1788" w:hanging="359"/>
      </w:pPr>
    </w:lvl>
    <w:lvl w:ilvl="2">
      <w:start w:val="1"/>
      <w:numFmt w:val="lowerRoman"/>
      <w:lvlText w:val="%3."/>
      <w:lvlJc w:val="right"/>
      <w:pPr>
        <w:ind w:left="2508" w:hanging="179"/>
      </w:pPr>
    </w:lvl>
    <w:lvl w:ilvl="3">
      <w:start w:val="1"/>
      <w:numFmt w:val="decimal"/>
      <w:lvlText w:val="%4."/>
      <w:lvlJc w:val="left"/>
      <w:pPr>
        <w:ind w:left="3228" w:hanging="359"/>
      </w:pPr>
    </w:lvl>
    <w:lvl w:ilvl="4">
      <w:start w:val="1"/>
      <w:numFmt w:val="lowerLetter"/>
      <w:lvlText w:val="%5."/>
      <w:lvlJc w:val="left"/>
      <w:pPr>
        <w:ind w:left="3948" w:hanging="359"/>
      </w:pPr>
    </w:lvl>
    <w:lvl w:ilvl="5">
      <w:start w:val="1"/>
      <w:numFmt w:val="lowerRoman"/>
      <w:lvlText w:val="%6."/>
      <w:lvlJc w:val="right"/>
      <w:pPr>
        <w:ind w:left="4668" w:hanging="179"/>
      </w:pPr>
    </w:lvl>
    <w:lvl w:ilvl="6">
      <w:start w:val="1"/>
      <w:numFmt w:val="decimal"/>
      <w:lvlText w:val="%7."/>
      <w:lvlJc w:val="left"/>
      <w:pPr>
        <w:ind w:left="5388" w:hanging="359"/>
      </w:pPr>
    </w:lvl>
    <w:lvl w:ilvl="7">
      <w:start w:val="1"/>
      <w:numFmt w:val="lowerLetter"/>
      <w:lvlText w:val="%8."/>
      <w:lvlJc w:val="left"/>
      <w:pPr>
        <w:ind w:left="6108" w:hanging="359"/>
      </w:pPr>
    </w:lvl>
    <w:lvl w:ilvl="8">
      <w:start w:val="1"/>
      <w:numFmt w:val="lowerRoman"/>
      <w:lvlText w:val="%9."/>
      <w:lvlJc w:val="right"/>
      <w:pPr>
        <w:ind w:left="6828" w:hanging="179"/>
      </w:pPr>
    </w:lvl>
  </w:abstractNum>
  <w:abstractNum w:abstractNumId="2">
    <w:nsid w:val="00000002"/>
    <w:multiLevelType w:val="hybridMultilevel"/>
    <w:tmpl w:val="00000000"/>
    <w:lvl w:ilvl="0">
      <w:start w:val="1"/>
      <w:numFmt w:val="decimal"/>
      <w:lvlText w:val="%1."/>
      <w:lvlJc w:val="left"/>
      <w:pPr>
        <w:ind w:left="720" w:hanging="359"/>
      </w:pPr>
      <w:rPr>
        <w:rFonts w:hint="default"/>
      </w:rPr>
    </w:lvl>
    <w:lvl w:ilvl="1">
      <w:start w:val="1"/>
      <w:numFmt w:val="lowerLetter"/>
      <w:lvlText w:val="%2."/>
      <w:lvlJc w:val="left"/>
      <w:pPr>
        <w:ind w:left="1440" w:hanging="359"/>
      </w:pPr>
    </w:lvl>
    <w:lvl w:ilvl="2">
      <w:start w:val="1"/>
      <w:numFmt w:val="lowerRoman"/>
      <w:lvlText w:val="%3."/>
      <w:lvlJc w:val="right"/>
      <w:pPr>
        <w:ind w:left="2160" w:hanging="179"/>
      </w:pPr>
    </w:lvl>
    <w:lvl w:ilvl="3">
      <w:start w:val="1"/>
      <w:numFmt w:val="decimal"/>
      <w:lvlText w:val="%4."/>
      <w:lvlJc w:val="left"/>
      <w:pPr>
        <w:ind w:left="2880" w:hanging="359"/>
      </w:pPr>
    </w:lvl>
    <w:lvl w:ilvl="4">
      <w:start w:val="1"/>
      <w:numFmt w:val="lowerLetter"/>
      <w:lvlText w:val="%5."/>
      <w:lvlJc w:val="left"/>
      <w:pPr>
        <w:ind w:left="3600" w:hanging="359"/>
      </w:pPr>
    </w:lvl>
    <w:lvl w:ilvl="5">
      <w:start w:val="1"/>
      <w:numFmt w:val="lowerRoman"/>
      <w:lvlText w:val="%6."/>
      <w:lvlJc w:val="right"/>
      <w:pPr>
        <w:ind w:left="4320" w:hanging="179"/>
      </w:pPr>
    </w:lvl>
    <w:lvl w:ilvl="6">
      <w:start w:val="1"/>
      <w:numFmt w:val="decimal"/>
      <w:lvlText w:val="%7."/>
      <w:lvlJc w:val="left"/>
      <w:pPr>
        <w:ind w:left="5040" w:hanging="359"/>
      </w:pPr>
    </w:lvl>
    <w:lvl w:ilvl="7">
      <w:start w:val="1"/>
      <w:numFmt w:val="lowerLetter"/>
      <w:lvlText w:val="%8."/>
      <w:lvlJc w:val="left"/>
      <w:pPr>
        <w:ind w:left="5760" w:hanging="359"/>
      </w:pPr>
    </w:lvl>
    <w:lvl w:ilvl="8">
      <w:start w:val="1"/>
      <w:numFmt w:val="lowerRoman"/>
      <w:lvlText w:val="%9."/>
      <w:lvlJc w:val="right"/>
      <w:pPr>
        <w:ind w:left="6480" w:hanging="179"/>
      </w:pPr>
    </w:lvl>
  </w:abstractNum>
  <w:abstractNum w:abstractNumId="3">
    <w:nsid w:val="00000003"/>
    <w:multiLevelType w:val="hybridMultilevel"/>
    <w:tmpl w:val="00000000"/>
    <w:lvl w:ilvl="0">
      <w:start w:val="1"/>
      <w:numFmt w:val="decimal"/>
      <w:lvlText w:val="%1."/>
      <w:lvlJc w:val="left"/>
      <w:pPr>
        <w:ind w:left="720" w:hanging="359"/>
      </w:pPr>
      <w:rPr>
        <w:rFonts w:hint="default"/>
      </w:rPr>
    </w:lvl>
    <w:lvl w:ilvl="1">
      <w:start w:val="1"/>
      <w:numFmt w:val="lowerLetter"/>
      <w:lvlText w:val="%2."/>
      <w:lvlJc w:val="left"/>
      <w:pPr>
        <w:ind w:left="1440" w:hanging="359"/>
      </w:pPr>
    </w:lvl>
    <w:lvl w:ilvl="2">
      <w:start w:val="1"/>
      <w:numFmt w:val="lowerRoman"/>
      <w:lvlText w:val="%3."/>
      <w:lvlJc w:val="right"/>
      <w:pPr>
        <w:ind w:left="2160" w:hanging="179"/>
      </w:pPr>
    </w:lvl>
    <w:lvl w:ilvl="3">
      <w:start w:val="1"/>
      <w:numFmt w:val="decimal"/>
      <w:lvlText w:val="%4."/>
      <w:lvlJc w:val="left"/>
      <w:pPr>
        <w:ind w:left="2880" w:hanging="359"/>
      </w:pPr>
    </w:lvl>
    <w:lvl w:ilvl="4">
      <w:start w:val="1"/>
      <w:numFmt w:val="lowerLetter"/>
      <w:lvlText w:val="%5."/>
      <w:lvlJc w:val="left"/>
      <w:pPr>
        <w:ind w:left="3600" w:hanging="359"/>
      </w:pPr>
    </w:lvl>
    <w:lvl w:ilvl="5">
      <w:start w:val="1"/>
      <w:numFmt w:val="lowerRoman"/>
      <w:lvlText w:val="%6."/>
      <w:lvlJc w:val="right"/>
      <w:pPr>
        <w:ind w:left="4320" w:hanging="179"/>
      </w:pPr>
    </w:lvl>
    <w:lvl w:ilvl="6">
      <w:start w:val="1"/>
      <w:numFmt w:val="decimal"/>
      <w:lvlText w:val="%7."/>
      <w:lvlJc w:val="left"/>
      <w:pPr>
        <w:ind w:left="5040" w:hanging="359"/>
      </w:pPr>
    </w:lvl>
    <w:lvl w:ilvl="7">
      <w:start w:val="1"/>
      <w:numFmt w:val="lowerLetter"/>
      <w:lvlText w:val="%8."/>
      <w:lvlJc w:val="left"/>
      <w:pPr>
        <w:ind w:left="5760" w:hanging="359"/>
      </w:pPr>
    </w:lvl>
    <w:lvl w:ilvl="8">
      <w:start w:val="1"/>
      <w:numFmt w:val="lowerRoman"/>
      <w:lvlText w:val="%9."/>
      <w:lvlJc w:val="right"/>
      <w:pPr>
        <w:ind w:left="6480" w:hanging="179"/>
      </w:pPr>
    </w:lvl>
  </w:abstractNum>
  <w:abstractNum w:abstractNumId="4">
    <w:nsid w:val="00000004"/>
    <w:multiLevelType w:val="hybridMultilevel"/>
    <w:tmpl w:val="00000000"/>
    <w:lvl w:ilvl="0">
      <w:start w:val="1"/>
      <w:numFmt w:val="decimal"/>
      <w:lvlText w:val="%1."/>
      <w:lvlJc w:val="left"/>
      <w:pPr>
        <w:ind w:left="720" w:hanging="359"/>
      </w:pPr>
      <w:rPr>
        <w:rFonts w:hint="default"/>
      </w:rPr>
    </w:lvl>
    <w:lvl w:ilvl="1">
      <w:start w:val="1"/>
      <w:numFmt w:val="lowerLetter"/>
      <w:lvlText w:val="%2."/>
      <w:lvlJc w:val="left"/>
      <w:pPr>
        <w:ind w:left="1440" w:hanging="359"/>
      </w:pPr>
    </w:lvl>
    <w:lvl w:ilvl="2">
      <w:start w:val="1"/>
      <w:numFmt w:val="lowerRoman"/>
      <w:lvlText w:val="%3."/>
      <w:lvlJc w:val="right"/>
      <w:pPr>
        <w:ind w:left="2160" w:hanging="179"/>
      </w:pPr>
    </w:lvl>
    <w:lvl w:ilvl="3">
      <w:start w:val="1"/>
      <w:numFmt w:val="decimal"/>
      <w:lvlText w:val="%4."/>
      <w:lvlJc w:val="left"/>
      <w:pPr>
        <w:ind w:left="2880" w:hanging="359"/>
      </w:pPr>
    </w:lvl>
    <w:lvl w:ilvl="4">
      <w:start w:val="1"/>
      <w:numFmt w:val="lowerLetter"/>
      <w:lvlText w:val="%5."/>
      <w:lvlJc w:val="left"/>
      <w:pPr>
        <w:ind w:left="3600" w:hanging="359"/>
      </w:pPr>
    </w:lvl>
    <w:lvl w:ilvl="5">
      <w:start w:val="1"/>
      <w:numFmt w:val="lowerRoman"/>
      <w:lvlText w:val="%6."/>
      <w:lvlJc w:val="right"/>
      <w:pPr>
        <w:ind w:left="4320" w:hanging="179"/>
      </w:pPr>
    </w:lvl>
    <w:lvl w:ilvl="6">
      <w:start w:val="1"/>
      <w:numFmt w:val="decimal"/>
      <w:lvlText w:val="%7."/>
      <w:lvlJc w:val="left"/>
      <w:pPr>
        <w:ind w:left="5040" w:hanging="359"/>
      </w:pPr>
    </w:lvl>
    <w:lvl w:ilvl="7">
      <w:start w:val="1"/>
      <w:numFmt w:val="lowerLetter"/>
      <w:lvlText w:val="%8."/>
      <w:lvlJc w:val="left"/>
      <w:pPr>
        <w:ind w:left="5760" w:hanging="359"/>
      </w:pPr>
    </w:lvl>
    <w:lvl w:ilvl="8">
      <w:start w:val="1"/>
      <w:numFmt w:val="lowerRoman"/>
      <w:lvlText w:val="%9."/>
      <w:lvlJc w:val="right"/>
      <w:pPr>
        <w:ind w:left="6480" w:hanging="179"/>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hint="default"/>
        <w:color w:val="auto"/>
        <w:spacing w:val="0"/>
        <w:position w:val="0"/>
        <w:sz w:val="22"/>
        <w:szCs w:val="22"/>
        <w:lang w:val="ru-RU" w:eastAsia="en-US" w:bidi="ar-SA"/>
      </w:rPr>
    </w:rPrDefault>
    <w:pPrDefault>
      <w:pPr>
        <w:pBdr>
          <w:top w:val="nil"/>
          <w:left w:val="nil"/>
          <w:bottom w:val="nil"/>
          <w:right w:val="nil"/>
          <w:between w:val="nil"/>
        </w:pBdr>
        <w:shd w:val="clear" w:color="auto" w:fill="auto"/>
        <w:spacing w:before="0" w:beforeAutospacing="0" w:after="200" w:afterAutospacing="0" w:line="276"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after="0" w:line="240" w:lineRule="auto"/>
    </w:pPr>
    <w:rPr>
      <w:rFonts w:ascii="Times New Roman" w:eastAsia="Times New Roman" w:hAnsi="Times New Roman" w:cs="Times New Roman"/>
      <w:sz w:val="20"/>
      <w:szCs w:val="20"/>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
    <w:name w:val="Heading 1"/>
    <w:basedOn w:val="Normal"/>
    <w:next w:val="Normal"/>
    <w:uiPriority w:val="9"/>
    <w:qFormat/>
    <w:pPr>
      <w:keepNext/>
      <w:keepLines/>
      <w:spacing w:before="480" w:after="0"/>
    </w:pPr>
    <w:rPr>
      <w:rFonts w:ascii="Arial" w:eastAsia="Arial" w:hAnsi="Arial" w:cs="Arial"/>
      <w:b/>
      <w:bCs/>
      <w:color w:val="000000" w:themeColor="text1"/>
      <w:sz w:val="48"/>
      <w:szCs w:val="48"/>
    </w:rPr>
  </w:style>
  <w:style w:type="paragraph" w:customStyle="1" w:styleId="Heading3">
    <w:name w:val="Heading 3"/>
    <w:basedOn w:val="Normal"/>
    <w:next w:val="Normal"/>
    <w:uiPriority w:val="9"/>
    <w:unhideWhenUsed/>
    <w:qFormat/>
    <w:pPr>
      <w:keepNext/>
      <w:keepLines/>
      <w:spacing w:before="200" w:after="0"/>
    </w:pPr>
    <w:rPr>
      <w:rFonts w:ascii="Arial" w:eastAsia="Arial" w:hAnsi="Arial" w:cs="Arial"/>
      <w:b/>
      <w:bCs/>
      <w:i/>
      <w:iCs/>
      <w:color w:val="000000" w:themeColor="text1"/>
      <w:sz w:val="36"/>
      <w:szCs w:val="36"/>
    </w:rPr>
  </w:style>
  <w:style w:type="paragraph" w:customStyle="1" w:styleId="Heading4">
    <w:name w:val="Heading 4"/>
    <w:basedOn w:val="Normal"/>
    <w:next w:val="Normal"/>
    <w:uiPriority w:val="9"/>
    <w:unhideWhenUsed/>
    <w:qFormat/>
    <w:pPr>
      <w:keepNext/>
      <w:keepLines/>
      <w:spacing w:before="200" w:after="0"/>
    </w:pPr>
    <w:rPr>
      <w:rFonts w:ascii="Arial" w:eastAsia="Arial" w:hAnsi="Arial" w:cs="Arial"/>
      <w:color w:val="232323"/>
      <w:sz w:val="32"/>
      <w:szCs w:val="32"/>
    </w:rPr>
  </w:style>
  <w:style w:type="paragraph" w:customStyle="1" w:styleId="Heading5">
    <w:name w:val="Heading 5"/>
    <w:basedOn w:val="Normal"/>
    <w:next w:val="Normal"/>
    <w:uiPriority w:val="9"/>
    <w:unhideWhenUsed/>
    <w:qFormat/>
    <w:pPr>
      <w:keepNext/>
      <w:keepLines/>
      <w:spacing w:before="200" w:after="0"/>
    </w:pPr>
    <w:rPr>
      <w:rFonts w:ascii="Arial" w:eastAsia="Arial" w:hAnsi="Arial" w:cs="Arial"/>
      <w:b/>
      <w:bCs/>
      <w:color w:val="444444"/>
      <w:sz w:val="28"/>
      <w:szCs w:val="28"/>
    </w:rPr>
  </w:style>
  <w:style w:type="paragraph" w:customStyle="1" w:styleId="Heading6">
    <w:name w:val="Heading 6"/>
    <w:basedOn w:val="Normal"/>
    <w:next w:val="Normal"/>
    <w:uiPriority w:val="9"/>
    <w:unhideWhenUsed/>
    <w:qFormat/>
    <w:pPr>
      <w:keepNext/>
      <w:keepLines/>
      <w:spacing w:before="200" w:after="0"/>
    </w:pPr>
    <w:rPr>
      <w:rFonts w:ascii="Arial" w:eastAsia="Arial" w:hAnsi="Arial" w:cs="Arial"/>
      <w:i/>
      <w:iCs/>
      <w:color w:val="232323"/>
      <w:sz w:val="28"/>
      <w:szCs w:val="28"/>
    </w:rPr>
  </w:style>
  <w:style w:type="paragraph" w:customStyle="1" w:styleId="Heading7">
    <w:name w:val="Heading 7"/>
    <w:basedOn w:val="Normal"/>
    <w:next w:val="Normal"/>
    <w:uiPriority w:val="9"/>
    <w:unhideWhenUsed/>
    <w:qFormat/>
    <w:pPr>
      <w:keepNext/>
      <w:keepLines/>
      <w:spacing w:before="200" w:after="0"/>
    </w:pPr>
    <w:rPr>
      <w:rFonts w:ascii="Arial" w:eastAsia="Arial" w:hAnsi="Arial" w:cs="Arial"/>
      <w:b/>
      <w:bCs/>
      <w:color w:val="606060"/>
      <w:sz w:val="24"/>
      <w:szCs w:val="24"/>
    </w:rPr>
  </w:style>
  <w:style w:type="paragraph" w:customStyle="1" w:styleId="Heading8">
    <w:name w:val="Heading 8"/>
    <w:basedOn w:val="Normal"/>
    <w:next w:val="Normal"/>
    <w:uiPriority w:val="9"/>
    <w:unhideWhenUsed/>
    <w:qFormat/>
    <w:pPr>
      <w:keepNext/>
      <w:keepLines/>
      <w:spacing w:before="200" w:after="0"/>
    </w:pPr>
    <w:rPr>
      <w:rFonts w:ascii="Arial" w:eastAsia="Arial" w:hAnsi="Arial" w:cs="Arial"/>
      <w:color w:val="444444"/>
      <w:sz w:val="24"/>
      <w:szCs w:val="24"/>
    </w:rPr>
  </w:style>
  <w:style w:type="paragraph" w:customStyle="1" w:styleId="Heading9">
    <w:name w:val="Heading 9"/>
    <w:basedOn w:val="Normal"/>
    <w:next w:val="Normal"/>
    <w:uiPriority w:val="9"/>
    <w:unhideWhenUsed/>
    <w:qFormat/>
    <w:pPr>
      <w:keepNext/>
      <w:keepLines/>
      <w:spacing w:before="200" w:after="0"/>
    </w:pPr>
    <w:rPr>
      <w:rFonts w:ascii="Arial" w:eastAsia="Arial" w:hAnsi="Arial" w:cs="Arial"/>
      <w:i/>
      <w:iCs/>
      <w:color w:val="444444"/>
      <w:sz w:val="23"/>
      <w:szCs w:val="23"/>
    </w:rPr>
  </w:style>
  <w:style w:type="paragraph" w:styleId="Title">
    <w:name w:val="Title"/>
    <w:basedOn w:val="Normal"/>
    <w:next w:val="Normal"/>
    <w:uiPriority w:val="10"/>
    <w:qFormat/>
    <w:pPr>
      <w:pBdr>
        <w:bottom w:val="single" w:sz="24" w:space="0" w:color="000000"/>
      </w:pBdr>
      <w:spacing w:before="300" w:after="80" w:line="240" w:lineRule="auto"/>
    </w:pPr>
    <w:rPr>
      <w:b/>
      <w:color w:val="000000"/>
      <w:sz w:val="72"/>
    </w:rPr>
  </w:style>
  <w:style w:type="paragraph" w:styleId="Subtitle">
    <w:name w:val="Subtitle"/>
    <w:basedOn w:val="Normal"/>
    <w:next w:val="Normal"/>
    <w:uiPriority w:val="11"/>
    <w:qFormat/>
    <w:pPr>
      <w:spacing w:line="240" w:lineRule="auto"/>
    </w:pPr>
    <w:rPr>
      <w:i/>
      <w:color w:val="444444"/>
      <w:sz w:val="52"/>
    </w:rPr>
  </w:style>
  <w:style w:type="paragraph" w:styleId="Quote">
    <w:name w:val="Quote"/>
    <w:basedOn w:val="Normal"/>
    <w:next w:val="Normal"/>
    <w:uiPriority w:val="29"/>
    <w:qFormat/>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styleId="TableGrid">
    <w:name w:val="Table Grid"/>
    <w:basedOn w:val="TableNormal"/>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
    <w:name w:val="Lined"/>
    <w:basedOn w:val="TableNormal"/>
    <w:uiPriority w:val="99"/>
    <w:pPr>
      <w:spacing w:after="0" w:line="240" w:lineRule="auto"/>
    </w:pPr>
    <w:rPr>
      <w:color w:val="404040"/>
    </w:rPr>
    <w:tblPr>
      <w:tblStyleRowBandSize w:val="1"/>
      <w:tblStyleColBandSize w:val="1"/>
      <w:tblInd w:w="0" w:type="dxa"/>
      <w:tblCellMar>
        <w:top w:w="96" w:type="dxa"/>
        <w:left w:w="170" w:type="dxa"/>
        <w:bottom w:w="96" w:type="dxa"/>
        <w:right w:w="17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2F2F2"/>
      </w:tcPr>
    </w:tblStylePr>
    <w:tblStylePr w:type="band2Vert">
      <w:rPr>
        <w:rFonts w:ascii="Arial" w:hAnsi="Arial"/>
        <w:color w:val="404040"/>
        <w:sz w:val="22"/>
      </w:rPr>
      <w:tcPr>
        <w:shd w:val="clear" w:color="auto" w:fill="F2F2F2"/>
      </w:tcPr>
    </w:tblStylePr>
    <w:tblStylePr w:type="firstCol">
      <w:rPr>
        <w:rFonts w:ascii="Arial" w:hAnsi="Arial"/>
        <w:color w:val="F2F2F2"/>
        <w:sz w:val="22"/>
      </w:rPr>
      <w:tcPr>
        <w:shd w:val="clear" w:color="auto" w:fill="7F7F7F"/>
      </w:tcPr>
    </w:tblStylePr>
    <w:tblStylePr w:type="firstRow">
      <w:rPr>
        <w:rFonts w:ascii="Arial" w:hAnsi="Arial"/>
        <w:color w:val="F2F2F2"/>
        <w:sz w:val="22"/>
      </w:rPr>
      <w:tcPr>
        <w:shd w:val="clear" w:color="auto" w:fill="7F7F7F"/>
      </w:tcPr>
    </w:tblStylePr>
    <w:tblStylePr w:type="lastCol">
      <w:rPr>
        <w:rFonts w:ascii="Arial" w:hAnsi="Arial"/>
        <w:color w:val="F2F2F2"/>
        <w:sz w:val="22"/>
      </w:rPr>
      <w:tcPr>
        <w:shd w:val="clear" w:color="auto" w:fill="7F7F7F"/>
      </w:tcPr>
    </w:tblStylePr>
    <w:tblStylePr w:type="lastRow">
      <w:rPr>
        <w:rFonts w:ascii="Arial" w:hAnsi="Arial"/>
        <w:color w:val="F2F2F2"/>
        <w:sz w:val="22"/>
      </w:rPr>
      <w:tcPr>
        <w:shd w:val="clear" w:color="auto" w:fill="7F7F7F"/>
      </w:tcPr>
    </w:tblStylePr>
  </w:style>
  <w:style w:type="table" w:customStyle="1" w:styleId="Lined-Accent1">
    <w:name w:val="Lined - Accent 1"/>
    <w:basedOn w:val="TableNormal"/>
    <w:uiPriority w:val="99"/>
    <w:pPr>
      <w:spacing w:after="0" w:line="240" w:lineRule="auto"/>
    </w:pPr>
    <w:rPr>
      <w:color w:val="404040"/>
    </w:rPr>
    <w:tblPr>
      <w:tblStyleRowBandSize w:val="1"/>
      <w:tblStyleColBandSize w:val="1"/>
      <w:tblInd w:w="0" w:type="dxa"/>
      <w:tblCellMar>
        <w:top w:w="96" w:type="dxa"/>
        <w:left w:w="170" w:type="dxa"/>
        <w:bottom w:w="96" w:type="dxa"/>
        <w:right w:w="17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C6D9F1"/>
      </w:tcPr>
    </w:tblStylePr>
    <w:tblStylePr w:type="band2Vert">
      <w:rPr>
        <w:rFonts w:ascii="Arial" w:hAnsi="Arial"/>
        <w:color w:val="404040"/>
        <w:sz w:val="22"/>
      </w:rPr>
      <w:tcPr>
        <w:shd w:val="clear" w:color="auto" w:fill="C6D9F1"/>
      </w:tcPr>
    </w:tblStylePr>
    <w:tblStylePr w:type="firstCol">
      <w:rPr>
        <w:rFonts w:ascii="Arial" w:hAnsi="Arial"/>
        <w:color w:val="F2F2F2"/>
        <w:sz w:val="22"/>
      </w:rPr>
      <w:tcPr>
        <w:shd w:val="clear" w:color="auto" w:fill="548DD4"/>
      </w:tcPr>
    </w:tblStylePr>
    <w:tblStylePr w:type="firstRow">
      <w:rPr>
        <w:rFonts w:ascii="Arial" w:hAnsi="Arial"/>
        <w:color w:val="F2F2F2"/>
        <w:sz w:val="22"/>
      </w:rPr>
      <w:tcPr>
        <w:shd w:val="clear" w:color="auto" w:fill="548DD4"/>
      </w:tcPr>
    </w:tblStylePr>
    <w:tblStylePr w:type="lastCol">
      <w:rPr>
        <w:rFonts w:ascii="Arial" w:hAnsi="Arial"/>
        <w:color w:val="F2F2F2"/>
        <w:sz w:val="22"/>
      </w:rPr>
      <w:tcPr>
        <w:shd w:val="clear" w:color="auto" w:fill="548DD4"/>
      </w:tcPr>
    </w:tblStylePr>
    <w:tblStylePr w:type="lastRow">
      <w:rPr>
        <w:rFonts w:ascii="Arial" w:hAnsi="Arial"/>
        <w:color w:val="F2F2F2"/>
        <w:sz w:val="22"/>
      </w:rPr>
      <w:tcPr>
        <w:shd w:val="clear" w:color="auto" w:fill="548DD4"/>
      </w:tcPr>
    </w:tblStylePr>
  </w:style>
  <w:style w:type="table" w:customStyle="1" w:styleId="Lined-Accent2">
    <w:name w:val="Lined - Accent 2"/>
    <w:basedOn w:val="TableNormal"/>
    <w:uiPriority w:val="99"/>
    <w:pPr>
      <w:spacing w:after="0" w:line="240" w:lineRule="auto"/>
    </w:pPr>
    <w:rPr>
      <w:color w:val="404040"/>
    </w:rPr>
    <w:tblPr>
      <w:tblStyleRowBandSize w:val="1"/>
      <w:tblStyleColBandSize w:val="1"/>
      <w:tblInd w:w="0" w:type="dxa"/>
      <w:tblCellMar>
        <w:top w:w="96" w:type="dxa"/>
        <w:left w:w="170" w:type="dxa"/>
        <w:bottom w:w="96" w:type="dxa"/>
        <w:right w:w="17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2DBDB"/>
      </w:tcPr>
    </w:tblStylePr>
    <w:tblStylePr w:type="band2Vert">
      <w:rPr>
        <w:rFonts w:ascii="Arial" w:hAnsi="Arial"/>
        <w:color w:val="404040"/>
        <w:sz w:val="22"/>
      </w:rPr>
      <w:tcPr>
        <w:shd w:val="clear" w:color="auto" w:fill="F2DBDB"/>
      </w:tcPr>
    </w:tblStylePr>
    <w:tblStylePr w:type="firstCol">
      <w:rPr>
        <w:rFonts w:ascii="Arial" w:hAnsi="Arial"/>
        <w:color w:val="F2F2F2"/>
        <w:sz w:val="22"/>
      </w:rPr>
      <w:tcPr>
        <w:shd w:val="clear" w:color="auto" w:fill="D99594"/>
      </w:tcPr>
    </w:tblStylePr>
    <w:tblStylePr w:type="firstRow">
      <w:rPr>
        <w:rFonts w:ascii="Arial" w:hAnsi="Arial"/>
        <w:color w:val="F2F2F2"/>
        <w:sz w:val="22"/>
      </w:rPr>
      <w:tcPr>
        <w:shd w:val="clear" w:color="auto" w:fill="D99594"/>
      </w:tcPr>
    </w:tblStylePr>
    <w:tblStylePr w:type="lastCol">
      <w:rPr>
        <w:rFonts w:ascii="Arial" w:hAnsi="Arial"/>
        <w:color w:val="F2F2F2"/>
        <w:sz w:val="22"/>
      </w:rPr>
      <w:tcPr>
        <w:shd w:val="clear" w:color="auto" w:fill="D99594"/>
      </w:tcPr>
    </w:tblStylePr>
    <w:tblStylePr w:type="lastRow">
      <w:rPr>
        <w:rFonts w:ascii="Arial" w:hAnsi="Arial"/>
        <w:color w:val="F2F2F2"/>
        <w:sz w:val="22"/>
      </w:rPr>
      <w:tcPr>
        <w:shd w:val="clear" w:color="auto" w:fill="D99594"/>
      </w:tcPr>
    </w:tblStylePr>
  </w:style>
  <w:style w:type="table" w:customStyle="1" w:styleId="Lined-Accent3">
    <w:name w:val="Lined - Accent 3"/>
    <w:basedOn w:val="TableNormal"/>
    <w:uiPriority w:val="99"/>
    <w:pPr>
      <w:spacing w:after="0" w:line="240" w:lineRule="auto"/>
    </w:pPr>
    <w:rPr>
      <w:color w:val="404040"/>
    </w:rPr>
    <w:tblPr>
      <w:tblStyleRowBandSize w:val="1"/>
      <w:tblStyleColBandSize w:val="1"/>
      <w:tblInd w:w="0" w:type="dxa"/>
      <w:tblCellMar>
        <w:top w:w="96" w:type="dxa"/>
        <w:left w:w="170" w:type="dxa"/>
        <w:bottom w:w="96" w:type="dxa"/>
        <w:right w:w="17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AF1DD"/>
      </w:tcPr>
    </w:tblStylePr>
    <w:tblStylePr w:type="band2Vert">
      <w:rPr>
        <w:rFonts w:ascii="Arial" w:hAnsi="Arial"/>
        <w:color w:val="404040"/>
        <w:sz w:val="22"/>
      </w:rPr>
      <w:tcPr>
        <w:shd w:val="clear" w:color="auto" w:fill="EAF1DD"/>
      </w:tcPr>
    </w:tblStylePr>
    <w:tblStylePr w:type="firstCol">
      <w:rPr>
        <w:rFonts w:ascii="Arial" w:hAnsi="Arial"/>
        <w:color w:val="F2F2F2"/>
        <w:sz w:val="22"/>
      </w:rPr>
      <w:tcPr>
        <w:shd w:val="clear" w:color="auto" w:fill="9BB559"/>
      </w:tcPr>
    </w:tblStylePr>
    <w:tblStylePr w:type="firstRow">
      <w:rPr>
        <w:rFonts w:ascii="Arial" w:hAnsi="Arial"/>
        <w:color w:val="F2F2F2"/>
        <w:sz w:val="22"/>
      </w:rPr>
      <w:tcPr>
        <w:shd w:val="clear" w:color="auto" w:fill="9BB559"/>
      </w:tcPr>
    </w:tblStylePr>
    <w:tblStylePr w:type="lastCol">
      <w:rPr>
        <w:rFonts w:ascii="Arial" w:hAnsi="Arial"/>
        <w:color w:val="F2F2F2"/>
        <w:sz w:val="22"/>
      </w:rPr>
      <w:tcPr>
        <w:shd w:val="clear" w:color="auto" w:fill="9BB559"/>
      </w:tcPr>
    </w:tblStylePr>
    <w:tblStylePr w:type="lastRow">
      <w:rPr>
        <w:rFonts w:ascii="Arial" w:hAnsi="Arial"/>
        <w:color w:val="F2F2F2"/>
        <w:sz w:val="22"/>
      </w:rPr>
      <w:tcPr>
        <w:shd w:val="clear" w:color="auto" w:fill="9BB559"/>
      </w:tcPr>
    </w:tblStylePr>
  </w:style>
  <w:style w:type="table" w:customStyle="1" w:styleId="Lined-Accent4">
    <w:name w:val="Lined - Accent 4"/>
    <w:basedOn w:val="TableNormal"/>
    <w:uiPriority w:val="99"/>
    <w:pPr>
      <w:spacing w:after="0" w:line="240" w:lineRule="auto"/>
    </w:pPr>
    <w:rPr>
      <w:color w:val="404040"/>
    </w:rPr>
    <w:tblPr>
      <w:tblStyleRowBandSize w:val="1"/>
      <w:tblStyleColBandSize w:val="1"/>
      <w:tblInd w:w="0" w:type="dxa"/>
      <w:tblCellMar>
        <w:top w:w="96" w:type="dxa"/>
        <w:left w:w="170" w:type="dxa"/>
        <w:bottom w:w="96" w:type="dxa"/>
        <w:right w:w="17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5DFEC"/>
      </w:tcPr>
    </w:tblStylePr>
    <w:tblStylePr w:type="band2Vert">
      <w:rPr>
        <w:rFonts w:ascii="Arial" w:hAnsi="Arial"/>
        <w:color w:val="404040"/>
        <w:sz w:val="22"/>
      </w:rPr>
      <w:tcPr>
        <w:shd w:val="clear" w:color="auto" w:fill="E5DFEC"/>
      </w:tcPr>
    </w:tblStylePr>
    <w:tblStylePr w:type="firstCol">
      <w:rPr>
        <w:rFonts w:ascii="Arial" w:hAnsi="Arial"/>
        <w:color w:val="F2F2F2"/>
        <w:sz w:val="22"/>
      </w:rPr>
      <w:tcPr>
        <w:shd w:val="clear" w:color="auto" w:fill="B2A1C7"/>
      </w:tcPr>
    </w:tblStylePr>
    <w:tblStylePr w:type="firstRow">
      <w:rPr>
        <w:rFonts w:ascii="Arial" w:hAnsi="Arial"/>
        <w:color w:val="F2F2F2"/>
        <w:sz w:val="22"/>
      </w:rPr>
      <w:tcPr>
        <w:shd w:val="clear" w:color="auto" w:fill="B2A1C7"/>
      </w:tcPr>
    </w:tblStylePr>
    <w:tblStylePr w:type="lastCol">
      <w:rPr>
        <w:rFonts w:ascii="Arial" w:hAnsi="Arial"/>
        <w:color w:val="F2F2F2"/>
        <w:sz w:val="22"/>
      </w:rPr>
      <w:tcPr>
        <w:shd w:val="clear" w:color="auto" w:fill="B2A1C7"/>
      </w:tcPr>
    </w:tblStylePr>
    <w:tblStylePr w:type="lastRow">
      <w:rPr>
        <w:rFonts w:ascii="Arial" w:hAnsi="Arial"/>
        <w:color w:val="F2F2F2"/>
        <w:sz w:val="22"/>
      </w:rPr>
      <w:tcPr>
        <w:shd w:val="clear" w:color="auto" w:fill="B2A1C7"/>
      </w:tcPr>
    </w:tblStylePr>
  </w:style>
  <w:style w:type="table" w:customStyle="1" w:styleId="Lined-Accent5">
    <w:name w:val="Lined - Accent 5"/>
    <w:basedOn w:val="TableNormal"/>
    <w:uiPriority w:val="99"/>
    <w:pPr>
      <w:spacing w:after="0" w:line="240" w:lineRule="auto"/>
    </w:pPr>
    <w:rPr>
      <w:color w:val="404040"/>
    </w:rPr>
    <w:tblPr>
      <w:tblStyleRowBandSize w:val="1"/>
      <w:tblStyleColBandSize w:val="1"/>
      <w:tblInd w:w="0" w:type="dxa"/>
      <w:tblCellMar>
        <w:top w:w="96" w:type="dxa"/>
        <w:left w:w="170" w:type="dxa"/>
        <w:bottom w:w="96" w:type="dxa"/>
        <w:right w:w="17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DAEEF3"/>
      </w:tcPr>
    </w:tblStylePr>
    <w:tblStylePr w:type="band2Vert">
      <w:rPr>
        <w:rFonts w:ascii="Arial" w:hAnsi="Arial"/>
        <w:color w:val="404040"/>
        <w:sz w:val="22"/>
      </w:rPr>
      <w:tcPr>
        <w:shd w:val="clear" w:color="auto" w:fill="DAEEF3"/>
      </w:tcPr>
    </w:tblStylePr>
    <w:tblStylePr w:type="firstCol">
      <w:rPr>
        <w:rFonts w:ascii="Arial" w:hAnsi="Arial"/>
        <w:color w:val="F2F2F2"/>
        <w:sz w:val="22"/>
      </w:rPr>
      <w:tcPr>
        <w:shd w:val="clear" w:color="auto" w:fill="4BACC6"/>
      </w:tcPr>
    </w:tblStylePr>
    <w:tblStylePr w:type="firstRow">
      <w:rPr>
        <w:rFonts w:ascii="Arial" w:hAnsi="Arial"/>
        <w:color w:val="F2F2F2"/>
        <w:sz w:val="22"/>
      </w:rPr>
      <w:tcPr>
        <w:shd w:val="clear" w:color="auto" w:fill="4BACC6"/>
      </w:tcPr>
    </w:tblStylePr>
    <w:tblStylePr w:type="lastCol">
      <w:rPr>
        <w:rFonts w:ascii="Arial" w:hAnsi="Arial"/>
        <w:color w:val="F2F2F2"/>
        <w:sz w:val="22"/>
      </w:rPr>
      <w:tcPr>
        <w:shd w:val="clear" w:color="auto" w:fill="4BACC6"/>
      </w:tcPr>
    </w:tblStylePr>
    <w:tblStylePr w:type="lastRow">
      <w:rPr>
        <w:rFonts w:ascii="Arial" w:hAnsi="Arial"/>
        <w:color w:val="F2F2F2"/>
        <w:sz w:val="22"/>
      </w:rPr>
      <w:tcPr>
        <w:shd w:val="clear" w:color="auto" w:fill="4BACC6"/>
      </w:tcPr>
    </w:tblStylePr>
  </w:style>
  <w:style w:type="table" w:customStyle="1" w:styleId="Lined-Accent6">
    <w:name w:val="Lined - Accent 6"/>
    <w:basedOn w:val="TableNormal"/>
    <w:uiPriority w:val="99"/>
    <w:pPr>
      <w:spacing w:after="0" w:line="240" w:lineRule="auto"/>
    </w:pPr>
    <w:rPr>
      <w:color w:val="404040"/>
    </w:rPr>
    <w:tblPr>
      <w:tblStyleRowBandSize w:val="1"/>
      <w:tblStyleColBandSize w:val="1"/>
      <w:tblInd w:w="0" w:type="dxa"/>
      <w:tblCellMar>
        <w:top w:w="96" w:type="dxa"/>
        <w:left w:w="170" w:type="dxa"/>
        <w:bottom w:w="96" w:type="dxa"/>
        <w:right w:w="17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DE9D9"/>
      </w:tcPr>
    </w:tblStylePr>
    <w:tblStylePr w:type="band2Vert">
      <w:rPr>
        <w:rFonts w:ascii="Arial" w:hAnsi="Arial"/>
        <w:color w:val="404040"/>
        <w:sz w:val="22"/>
      </w:rPr>
      <w:tcPr>
        <w:shd w:val="clear" w:color="auto" w:fill="FDE9D9"/>
      </w:tcPr>
    </w:tblStylePr>
    <w:tblStylePr w:type="firstCol">
      <w:rPr>
        <w:rFonts w:ascii="Arial" w:hAnsi="Arial"/>
        <w:color w:val="F2F2F2"/>
        <w:sz w:val="22"/>
      </w:rPr>
      <w:tcPr>
        <w:shd w:val="clear" w:color="auto" w:fill="F79646"/>
      </w:tcPr>
    </w:tblStylePr>
    <w:tblStylePr w:type="firstRow">
      <w:rPr>
        <w:rFonts w:ascii="Arial" w:hAnsi="Arial"/>
        <w:color w:val="F2F2F2"/>
        <w:sz w:val="22"/>
      </w:rPr>
      <w:tcPr>
        <w:shd w:val="clear" w:color="auto" w:fill="F79646"/>
      </w:tcPr>
    </w:tblStylePr>
    <w:tblStylePr w:type="lastCol">
      <w:rPr>
        <w:rFonts w:ascii="Arial" w:hAnsi="Arial"/>
        <w:color w:val="F2F2F2"/>
        <w:sz w:val="22"/>
      </w:rPr>
      <w:tcPr>
        <w:shd w:val="clear" w:color="auto" w:fill="F79646"/>
      </w:tcPr>
    </w:tblStylePr>
    <w:tblStylePr w:type="lastRow">
      <w:rPr>
        <w:rFonts w:ascii="Arial" w:hAnsi="Arial"/>
        <w:color w:val="F2F2F2"/>
        <w:sz w:val="22"/>
      </w:rPr>
      <w:tcPr>
        <w:shd w:val="clear" w:color="auto" w:fill="F79646"/>
      </w:tcPr>
    </w:tblStylePr>
  </w:style>
  <w:style w:type="table" w:customStyle="1" w:styleId="Bordered">
    <w:name w:val="Bordered"/>
    <w:basedOn w:val="TableNormal"/>
    <w:uiPriority w:val="99"/>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band1Horz">
      <w:rPr>
        <w:rFonts w:ascii="Arial" w:hAnsi="Arial"/>
        <w:color w:val="404040"/>
        <w:sz w:val="22"/>
      </w:rPr>
      <w:tcPr>
        <w:tcBorders>
          <w:top w:val="single" w:sz="4" w:space="0" w:color="D9D9D9"/>
          <w:left w:val="single" w:sz="4" w:space="0" w:color="D9D9D9"/>
          <w:bottom w:val="single" w:sz="4" w:space="0" w:color="D9D9D9"/>
          <w:right w:val="single" w:sz="4" w:space="0" w:color="D9D9D9"/>
        </w:tcBorders>
      </w:tcPr>
    </w:tblStylePr>
    <w:tblStylePr w:type="firstCol">
      <w:rPr>
        <w:rFonts w:ascii="Arial" w:hAnsi="Arial"/>
        <w:color w:val="404040"/>
        <w:sz w:val="22"/>
      </w:rPr>
      <w:tcPr>
        <w:tcBorders>
          <w:right w:val="single" w:sz="12" w:space="0" w:color="7F7F7F"/>
        </w:tcBorders>
      </w:tcPr>
    </w:tblStylePr>
    <w:tblStylePr w:type="firstRow">
      <w:rPr>
        <w:rFonts w:ascii="Arial" w:hAnsi="Arial"/>
        <w:color w:val="404040"/>
        <w:sz w:val="22"/>
      </w:rPr>
      <w:tcPr>
        <w:tcBorders>
          <w:bottom w:val="single" w:sz="12" w:space="0" w:color="7F7F7F"/>
        </w:tcBorders>
      </w:tcPr>
    </w:tblStylePr>
    <w:tblStylePr w:type="lastCol">
      <w:rPr>
        <w:rFonts w:ascii="Arial" w:hAnsi="Arial"/>
        <w:color w:val="404040"/>
        <w:sz w:val="22"/>
      </w:rPr>
      <w:tcPr>
        <w:tcBorders>
          <w:left w:val="single" w:sz="12" w:space="0" w:color="7F7F7F"/>
        </w:tcBorders>
      </w:tcPr>
    </w:tblStylePr>
    <w:tblStylePr w:type="lastRow">
      <w:rPr>
        <w:rFonts w:ascii="Arial" w:hAnsi="Arial"/>
        <w:color w:val="404040"/>
        <w:sz w:val="22"/>
      </w:rPr>
      <w:tcPr>
        <w:tcBorders>
          <w:top w:val="single" w:sz="12" w:space="0" w:color="7F7F7F"/>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band1Horz">
      <w:rPr>
        <w:rFonts w:ascii="Arial" w:hAnsi="Arial"/>
        <w:color w:val="404040"/>
        <w:sz w:val="22"/>
      </w:rPr>
      <w:tcPr>
        <w:tcBorders>
          <w:top w:val="single" w:sz="4" w:space="0" w:color="B8CCE4"/>
          <w:left w:val="single" w:sz="4" w:space="0" w:color="B8CCE4"/>
          <w:bottom w:val="single" w:sz="4" w:space="0" w:color="B8CCE4"/>
          <w:right w:val="single" w:sz="4" w:space="0" w:color="B8CCE4"/>
        </w:tcBorders>
      </w:tcPr>
    </w:tblStylePr>
    <w:tblStylePr w:type="firstCol">
      <w:rPr>
        <w:rFonts w:ascii="Arial" w:hAnsi="Arial"/>
        <w:color w:val="404040"/>
        <w:sz w:val="22"/>
      </w:rPr>
      <w:tcPr>
        <w:tcBorders>
          <w:right w:val="single" w:sz="12" w:space="0" w:color="4F81BD"/>
        </w:tcBorders>
      </w:tcPr>
    </w:tblStylePr>
    <w:tblStylePr w:type="firstRow">
      <w:rPr>
        <w:rFonts w:ascii="Arial" w:hAnsi="Arial"/>
        <w:color w:val="404040"/>
        <w:sz w:val="22"/>
      </w:rPr>
      <w:tcPr>
        <w:tcBorders>
          <w:bottom w:val="single" w:sz="12" w:space="0" w:color="4F81BD"/>
        </w:tcBorders>
      </w:tcPr>
    </w:tblStylePr>
    <w:tblStylePr w:type="lastCol">
      <w:rPr>
        <w:rFonts w:ascii="Arial" w:hAnsi="Arial"/>
        <w:color w:val="404040"/>
        <w:sz w:val="22"/>
      </w:rPr>
      <w:tcPr>
        <w:tcBorders>
          <w:left w:val="single" w:sz="12" w:space="0" w:color="4F81BD"/>
        </w:tcBorders>
      </w:tcPr>
    </w:tblStylePr>
    <w:tblStylePr w:type="lastRow">
      <w:rPr>
        <w:rFonts w:ascii="Arial" w:hAnsi="Arial"/>
        <w:color w:val="404040"/>
        <w:sz w:val="22"/>
      </w:rPr>
      <w:tcPr>
        <w:tcBorders>
          <w:top w:val="single" w:sz="12" w:space="0" w:color="4F81BD"/>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band1Horz">
      <w:rPr>
        <w:rFonts w:ascii="Arial" w:hAnsi="Arial"/>
        <w:color w:val="404040"/>
        <w:sz w:val="22"/>
      </w:rPr>
      <w:tcPr>
        <w:tcBorders>
          <w:top w:val="single" w:sz="4" w:space="0" w:color="E5B8B7"/>
          <w:left w:val="single" w:sz="4" w:space="0" w:color="E5B8B7"/>
          <w:bottom w:val="single" w:sz="4" w:space="0" w:color="E5B8B7"/>
          <w:right w:val="single" w:sz="4" w:space="0" w:color="E5B8B7"/>
        </w:tcBorders>
      </w:tcPr>
    </w:tblStylePr>
    <w:tblStylePr w:type="firstCol">
      <w:rPr>
        <w:rFonts w:ascii="Arial" w:hAnsi="Arial"/>
        <w:color w:val="404040"/>
        <w:sz w:val="22"/>
      </w:rPr>
      <w:tcPr>
        <w:tcBorders>
          <w:right w:val="single" w:sz="12" w:space="0" w:color="D99594"/>
        </w:tcBorders>
      </w:tcPr>
    </w:tblStylePr>
    <w:tblStylePr w:type="firstRow">
      <w:rPr>
        <w:rFonts w:ascii="Arial" w:hAnsi="Arial"/>
        <w:color w:val="404040"/>
        <w:sz w:val="22"/>
      </w:rPr>
      <w:tcPr>
        <w:tcBorders>
          <w:bottom w:val="single" w:sz="12" w:space="0" w:color="D99594"/>
        </w:tcBorders>
      </w:tcPr>
    </w:tblStylePr>
    <w:tblStylePr w:type="lastCol">
      <w:rPr>
        <w:rFonts w:ascii="Arial" w:hAnsi="Arial"/>
        <w:color w:val="404040"/>
        <w:sz w:val="22"/>
      </w:rPr>
      <w:tcPr>
        <w:tcBorders>
          <w:left w:val="single" w:sz="12" w:space="0" w:color="D99594"/>
        </w:tcBorders>
      </w:tcPr>
    </w:tblStylePr>
    <w:tblStylePr w:type="lastRow">
      <w:rPr>
        <w:rFonts w:ascii="Arial" w:hAnsi="Arial"/>
        <w:color w:val="404040"/>
        <w:sz w:val="22"/>
      </w:rPr>
      <w:tcPr>
        <w:tcBorders>
          <w:top w:val="single" w:sz="12" w:space="0" w:color="D99594"/>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band1Horz">
      <w:rPr>
        <w:rFonts w:ascii="Arial" w:hAnsi="Arial"/>
        <w:color w:val="404040"/>
        <w:sz w:val="22"/>
      </w:rPr>
      <w:tcPr>
        <w:tcBorders>
          <w:top w:val="single" w:sz="4" w:space="0" w:color="D6E3BC"/>
          <w:left w:val="single" w:sz="4" w:space="0" w:color="D6E3BC"/>
          <w:bottom w:val="single" w:sz="4" w:space="0" w:color="D6E3BC"/>
          <w:right w:val="single" w:sz="4" w:space="0" w:color="D6E3BC"/>
        </w:tcBorders>
      </w:tcPr>
    </w:tblStylePr>
    <w:tblStylePr w:type="firstCol">
      <w:rPr>
        <w:rFonts w:ascii="Arial" w:hAnsi="Arial"/>
        <w:color w:val="404040"/>
        <w:sz w:val="22"/>
      </w:rPr>
      <w:tcPr>
        <w:tcBorders>
          <w:right w:val="single" w:sz="12" w:space="0" w:color="C2D69B"/>
        </w:tcBorders>
      </w:tcPr>
    </w:tblStylePr>
    <w:tblStylePr w:type="firstRow">
      <w:rPr>
        <w:rFonts w:ascii="Arial" w:hAnsi="Arial"/>
        <w:color w:val="404040"/>
        <w:sz w:val="22"/>
      </w:rPr>
      <w:tcPr>
        <w:tcBorders>
          <w:bottom w:val="single" w:sz="12" w:space="0" w:color="C2D69B"/>
        </w:tcBorders>
      </w:tcPr>
    </w:tblStylePr>
    <w:tblStylePr w:type="lastCol">
      <w:rPr>
        <w:rFonts w:ascii="Arial" w:hAnsi="Arial"/>
        <w:color w:val="404040"/>
        <w:sz w:val="22"/>
      </w:rPr>
      <w:tcPr>
        <w:tcBorders>
          <w:left w:val="single" w:sz="12" w:space="0" w:color="C2D69B"/>
        </w:tcBorders>
      </w:tcPr>
    </w:tblStylePr>
    <w:tblStylePr w:type="lastRow">
      <w:rPr>
        <w:rFonts w:ascii="Arial" w:hAnsi="Arial"/>
        <w:color w:val="404040"/>
        <w:sz w:val="22"/>
      </w:rPr>
      <w:tcPr>
        <w:tcBorders>
          <w:top w:val="single" w:sz="12" w:space="0" w:color="C2D69B"/>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band1Horz">
      <w:rPr>
        <w:rFonts w:ascii="Arial" w:hAnsi="Arial"/>
        <w:color w:val="404040"/>
        <w:sz w:val="22"/>
      </w:rPr>
      <w:tcPr>
        <w:tcBorders>
          <w:top w:val="single" w:sz="4" w:space="0" w:color="CCC0D9"/>
          <w:left w:val="single" w:sz="4" w:space="0" w:color="CCC0D9"/>
          <w:bottom w:val="single" w:sz="4" w:space="0" w:color="CCC0D9"/>
          <w:right w:val="single" w:sz="4" w:space="0" w:color="CCC0D9"/>
        </w:tcBorders>
      </w:tcPr>
    </w:tblStylePr>
    <w:tblStylePr w:type="firstCol">
      <w:rPr>
        <w:rFonts w:ascii="Arial" w:hAnsi="Arial"/>
        <w:color w:val="404040"/>
        <w:sz w:val="22"/>
      </w:rPr>
      <w:tcPr>
        <w:tcBorders>
          <w:right w:val="single" w:sz="12" w:space="0" w:color="B2A1C7"/>
        </w:tcBorders>
      </w:tcPr>
    </w:tblStylePr>
    <w:tblStylePr w:type="firstRow">
      <w:rPr>
        <w:rFonts w:ascii="Arial" w:hAnsi="Arial"/>
        <w:color w:val="404040"/>
        <w:sz w:val="22"/>
      </w:rPr>
      <w:tcPr>
        <w:tcBorders>
          <w:bottom w:val="single" w:sz="12" w:space="0" w:color="B2A1C7"/>
        </w:tcBorders>
      </w:tcPr>
    </w:tblStylePr>
    <w:tblStylePr w:type="lastCol">
      <w:rPr>
        <w:rFonts w:ascii="Arial" w:hAnsi="Arial"/>
        <w:color w:val="404040"/>
        <w:sz w:val="22"/>
      </w:rPr>
      <w:tcPr>
        <w:tcBorders>
          <w:left w:val="single" w:sz="12" w:space="0" w:color="B2A1C7"/>
        </w:tcBorders>
      </w:tcPr>
    </w:tblStylePr>
    <w:tblStylePr w:type="lastRow">
      <w:rPr>
        <w:rFonts w:ascii="Arial" w:hAnsi="Arial"/>
        <w:color w:val="404040"/>
        <w:sz w:val="22"/>
      </w:rPr>
      <w:tcPr>
        <w:tcBorders>
          <w:top w:val="single" w:sz="12" w:space="0" w:color="B2A1C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band1Horz">
      <w:rPr>
        <w:rFonts w:ascii="Arial" w:hAnsi="Arial"/>
        <w:color w:val="404040"/>
        <w:sz w:val="22"/>
      </w:rPr>
      <w:tcPr>
        <w:tcBorders>
          <w:top w:val="single" w:sz="4" w:space="0" w:color="B6DDE8"/>
          <w:left w:val="single" w:sz="4" w:space="0" w:color="B6DDE8"/>
          <w:bottom w:val="single" w:sz="4" w:space="0" w:color="B6DDE8"/>
          <w:right w:val="single" w:sz="4" w:space="0" w:color="B6DDE8"/>
        </w:tcBorders>
      </w:tcPr>
    </w:tblStylePr>
    <w:tblStylePr w:type="firstCol">
      <w:rPr>
        <w:rFonts w:ascii="Arial" w:hAnsi="Arial"/>
        <w:color w:val="404040"/>
        <w:sz w:val="22"/>
      </w:rPr>
      <w:tcPr>
        <w:tcBorders>
          <w:right w:val="single" w:sz="12" w:space="0" w:color="92CDDC"/>
        </w:tcBorders>
      </w:tcPr>
    </w:tblStylePr>
    <w:tblStylePr w:type="firstRow">
      <w:rPr>
        <w:rFonts w:ascii="Arial" w:hAnsi="Arial"/>
        <w:color w:val="404040"/>
        <w:sz w:val="22"/>
      </w:rPr>
      <w:tcPr>
        <w:tcBorders>
          <w:bottom w:val="single" w:sz="12" w:space="0" w:color="92CDDC"/>
        </w:tcBorders>
      </w:tcPr>
    </w:tblStylePr>
    <w:tblStylePr w:type="lastCol">
      <w:rPr>
        <w:rFonts w:ascii="Arial" w:hAnsi="Arial"/>
        <w:color w:val="404040"/>
        <w:sz w:val="22"/>
      </w:rPr>
      <w:tcPr>
        <w:tcBorders>
          <w:left w:val="single" w:sz="12" w:space="0" w:color="92CDDC"/>
        </w:tcBorders>
      </w:tcPr>
    </w:tblStylePr>
    <w:tblStylePr w:type="lastRow">
      <w:rPr>
        <w:rFonts w:ascii="Arial" w:hAnsi="Arial"/>
        <w:color w:val="404040"/>
        <w:sz w:val="22"/>
      </w:rPr>
      <w:tcPr>
        <w:tcBorders>
          <w:top w:val="single" w:sz="12" w:space="0" w:color="92CDDC"/>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band1Horz">
      <w:rPr>
        <w:rFonts w:ascii="Arial" w:hAnsi="Arial"/>
        <w:color w:val="404040"/>
        <w:sz w:val="22"/>
      </w:rPr>
      <w:tcPr>
        <w:tcBorders>
          <w:top w:val="single" w:sz="4" w:space="0" w:color="FBD4B4"/>
          <w:left w:val="single" w:sz="4" w:space="0" w:color="FBD4B4"/>
          <w:bottom w:val="single" w:sz="4" w:space="0" w:color="FBD4B4"/>
          <w:right w:val="single" w:sz="4" w:space="0" w:color="FBD4B4"/>
        </w:tcBorders>
      </w:tcPr>
    </w:tblStylePr>
    <w:tblStylePr w:type="firstCol">
      <w:rPr>
        <w:rFonts w:ascii="Arial" w:hAnsi="Arial"/>
        <w:color w:val="404040"/>
        <w:sz w:val="22"/>
      </w:rPr>
      <w:tcPr>
        <w:tcBorders>
          <w:right w:val="single" w:sz="12" w:space="0" w:color="FABF8F"/>
        </w:tcBorders>
      </w:tcPr>
    </w:tblStylePr>
    <w:tblStylePr w:type="firstRow">
      <w:rPr>
        <w:rFonts w:ascii="Arial" w:hAnsi="Arial"/>
        <w:color w:val="404040"/>
        <w:sz w:val="22"/>
      </w:rPr>
      <w:tcPr>
        <w:tcBorders>
          <w:bottom w:val="single" w:sz="12" w:space="0" w:color="FABF8F"/>
        </w:tcBorders>
      </w:tcPr>
    </w:tblStylePr>
    <w:tblStylePr w:type="lastCol">
      <w:rPr>
        <w:rFonts w:ascii="Arial" w:hAnsi="Arial"/>
        <w:color w:val="404040"/>
        <w:sz w:val="22"/>
      </w:rPr>
      <w:tcPr>
        <w:tcBorders>
          <w:left w:val="single" w:sz="12" w:space="0" w:color="FABF8F"/>
        </w:tcBorders>
      </w:tcPr>
    </w:tblStylePr>
    <w:tblStylePr w:type="lastRow">
      <w:rPr>
        <w:rFonts w:ascii="Arial" w:hAnsi="Arial"/>
        <w:color w:val="404040"/>
        <w:sz w:val="22"/>
      </w:rPr>
      <w:tcPr>
        <w:tcBorders>
          <w:top w:val="single" w:sz="12" w:space="0" w:color="FABF8F"/>
        </w:tcBorders>
      </w:tcPr>
    </w:tblStylePr>
  </w:style>
  <w:style w:type="table" w:customStyle="1" w:styleId="BorderedLined">
    <w:name w:val="Bordered &amp; Lined"/>
    <w:basedOn w:val="TableNormal"/>
    <w:uiPriority w:val="99"/>
    <w:pPr>
      <w:spacing w:after="0" w:line="240" w:lineRule="auto"/>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2F2F2"/>
      </w:tcPr>
    </w:tblStylePr>
    <w:tblStylePr w:type="band2Vert">
      <w:rPr>
        <w:rFonts w:ascii="Arial" w:hAnsi="Arial"/>
        <w:color w:val="404040"/>
        <w:sz w:val="22"/>
      </w:rPr>
      <w:tcPr>
        <w:shd w:val="clear" w:color="auto" w:fill="D9D9D9"/>
      </w:tcPr>
    </w:tblStylePr>
    <w:tblStylePr w:type="firstCol">
      <w:rPr>
        <w:rFonts w:ascii="Arial" w:hAnsi="Arial"/>
        <w:color w:val="F2F2F2"/>
        <w:sz w:val="22"/>
      </w:rPr>
      <w:tcPr>
        <w:shd w:val="clear" w:color="auto" w:fill="7F7F7F"/>
      </w:tcPr>
    </w:tblStylePr>
    <w:tblStylePr w:type="firstRow">
      <w:rPr>
        <w:rFonts w:ascii="Arial" w:hAnsi="Arial"/>
        <w:color w:val="F2F2F2"/>
        <w:sz w:val="22"/>
      </w:rPr>
      <w:tcPr>
        <w:shd w:val="clear" w:color="auto" w:fill="7F7F7F"/>
      </w:tcPr>
    </w:tblStylePr>
    <w:tblStylePr w:type="lastCol">
      <w:rPr>
        <w:rFonts w:ascii="Arial" w:hAnsi="Arial"/>
        <w:color w:val="F2F2F2"/>
        <w:sz w:val="22"/>
      </w:rPr>
      <w:tcPr>
        <w:shd w:val="clear" w:color="auto" w:fill="7F7F7F"/>
      </w:tcPr>
    </w:tblStylePr>
    <w:tblStylePr w:type="lastRow">
      <w:rPr>
        <w:rFonts w:ascii="Arial" w:hAnsi="Arial"/>
        <w:color w:val="F2F2F2"/>
        <w:sz w:val="22"/>
      </w:rPr>
      <w:tcPr>
        <w:shd w:val="clear" w:color="auto" w:fill="7F7F7F"/>
      </w:tcPr>
    </w:tblStylePr>
  </w:style>
  <w:style w:type="table" w:customStyle="1" w:styleId="BorderedLined-Accent1">
    <w:name w:val="Bordered &amp; Lined - Accent 1"/>
    <w:basedOn w:val="TableNormal"/>
    <w:uiPriority w:val="99"/>
    <w:pPr>
      <w:spacing w:after="0" w:line="240" w:lineRule="auto"/>
    </w:pPr>
    <w:rPr>
      <w:color w:val="40404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C6D9F1"/>
      </w:tcPr>
    </w:tblStylePr>
    <w:tblStylePr w:type="band2Vert">
      <w:rPr>
        <w:rFonts w:ascii="Arial" w:hAnsi="Arial"/>
        <w:color w:val="404040"/>
        <w:sz w:val="22"/>
      </w:rPr>
      <w:tcPr>
        <w:shd w:val="clear" w:color="auto" w:fill="C6D9F1"/>
      </w:tcPr>
    </w:tblStylePr>
    <w:tblStylePr w:type="firstCol">
      <w:rPr>
        <w:rFonts w:ascii="Arial" w:hAnsi="Arial"/>
        <w:color w:val="F2F2F2"/>
        <w:sz w:val="22"/>
      </w:rPr>
      <w:tcPr>
        <w:shd w:val="clear" w:color="auto" w:fill="548DD4"/>
      </w:tcPr>
    </w:tblStylePr>
    <w:tblStylePr w:type="firstRow">
      <w:rPr>
        <w:rFonts w:ascii="Arial" w:hAnsi="Arial"/>
        <w:color w:val="F2F2F2"/>
        <w:sz w:val="22"/>
      </w:rPr>
      <w:tcPr>
        <w:shd w:val="clear" w:color="auto" w:fill="548DD4"/>
      </w:tcPr>
    </w:tblStylePr>
    <w:tblStylePr w:type="lastCol">
      <w:rPr>
        <w:rFonts w:ascii="Arial" w:hAnsi="Arial"/>
        <w:color w:val="F2F2F2"/>
        <w:sz w:val="22"/>
      </w:rPr>
      <w:tcPr>
        <w:shd w:val="clear" w:color="auto" w:fill="548DD4"/>
      </w:tcPr>
    </w:tblStylePr>
    <w:tblStylePr w:type="lastRow">
      <w:rPr>
        <w:rFonts w:ascii="Arial" w:hAnsi="Arial"/>
        <w:color w:val="F2F2F2"/>
        <w:sz w:val="22"/>
      </w:rPr>
      <w:tcPr>
        <w:shd w:val="clear" w:color="auto" w:fill="548DD4"/>
      </w:tcPr>
    </w:tblStylePr>
  </w:style>
  <w:style w:type="table" w:customStyle="1" w:styleId="BorderedLined-Accent2">
    <w:name w:val="Bordered &amp; Lined - Accent 2"/>
    <w:basedOn w:val="TableNormal"/>
    <w:uiPriority w:val="99"/>
    <w:pPr>
      <w:spacing w:after="0" w:line="240" w:lineRule="auto"/>
    </w:pPr>
    <w:rPr>
      <w:color w:val="40404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2DBDB"/>
      </w:tcPr>
    </w:tblStylePr>
    <w:tblStylePr w:type="band2Vert">
      <w:rPr>
        <w:rFonts w:ascii="Arial" w:hAnsi="Arial"/>
        <w:color w:val="404040"/>
        <w:sz w:val="22"/>
      </w:rPr>
      <w:tcPr>
        <w:shd w:val="clear" w:color="auto" w:fill="F2DBDB"/>
      </w:tcPr>
    </w:tblStylePr>
    <w:tblStylePr w:type="firstCol">
      <w:rPr>
        <w:rFonts w:ascii="Arial" w:hAnsi="Arial"/>
        <w:color w:val="F2F2F2"/>
        <w:sz w:val="22"/>
      </w:rPr>
      <w:tcPr>
        <w:shd w:val="clear" w:color="auto" w:fill="D99594"/>
      </w:tcPr>
    </w:tblStylePr>
    <w:tblStylePr w:type="firstRow">
      <w:rPr>
        <w:rFonts w:ascii="Arial" w:hAnsi="Arial"/>
        <w:color w:val="F2F2F2"/>
        <w:sz w:val="22"/>
      </w:rPr>
      <w:tcPr>
        <w:shd w:val="clear" w:color="auto" w:fill="D99594"/>
      </w:tcPr>
    </w:tblStylePr>
    <w:tblStylePr w:type="lastCol">
      <w:rPr>
        <w:rFonts w:ascii="Arial" w:hAnsi="Arial"/>
        <w:color w:val="F2F2F2"/>
        <w:sz w:val="22"/>
      </w:rPr>
      <w:tcPr>
        <w:shd w:val="clear" w:color="auto" w:fill="D99594"/>
      </w:tcPr>
    </w:tblStylePr>
    <w:tblStylePr w:type="lastRow">
      <w:rPr>
        <w:rFonts w:ascii="Arial" w:hAnsi="Arial"/>
        <w:color w:val="F2F2F2"/>
        <w:sz w:val="22"/>
      </w:rPr>
      <w:tcPr>
        <w:shd w:val="clear" w:color="auto" w:fill="D99594"/>
      </w:tcPr>
    </w:tblStylePr>
  </w:style>
  <w:style w:type="table" w:customStyle="1" w:styleId="BorderedLined-Accent3">
    <w:name w:val="Bordered &amp; Lined - Accent 3"/>
    <w:basedOn w:val="TableNormal"/>
    <w:uiPriority w:val="99"/>
    <w:pPr>
      <w:spacing w:after="0" w:line="240" w:lineRule="auto"/>
    </w:pPr>
    <w:rPr>
      <w:color w:val="40404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AF1DD"/>
      </w:tcPr>
    </w:tblStylePr>
    <w:tblStylePr w:type="band2Vert">
      <w:rPr>
        <w:rFonts w:ascii="Arial" w:hAnsi="Arial"/>
        <w:color w:val="404040"/>
        <w:sz w:val="22"/>
      </w:rPr>
      <w:tcPr>
        <w:shd w:val="clear" w:color="auto" w:fill="EAF1DD"/>
      </w:tcPr>
    </w:tblStylePr>
    <w:tblStylePr w:type="firstCol">
      <w:rPr>
        <w:rFonts w:ascii="Arial" w:hAnsi="Arial"/>
        <w:color w:val="F2F2F2"/>
        <w:sz w:val="22"/>
      </w:rPr>
      <w:tcPr>
        <w:shd w:val="clear" w:color="auto" w:fill="9BBB59"/>
      </w:tcPr>
    </w:tblStylePr>
    <w:tblStylePr w:type="firstRow">
      <w:rPr>
        <w:rFonts w:ascii="Arial" w:hAnsi="Arial"/>
        <w:color w:val="F2F2F2"/>
        <w:sz w:val="22"/>
      </w:rPr>
      <w:tcPr>
        <w:shd w:val="clear" w:color="auto" w:fill="9BBB59"/>
      </w:tcPr>
    </w:tblStylePr>
    <w:tblStylePr w:type="lastCol">
      <w:rPr>
        <w:rFonts w:ascii="Arial" w:hAnsi="Arial"/>
        <w:color w:val="F2F2F2"/>
        <w:sz w:val="22"/>
      </w:rPr>
      <w:tcPr>
        <w:shd w:val="clear" w:color="auto" w:fill="9BBB59"/>
      </w:tcPr>
    </w:tblStylePr>
    <w:tblStylePr w:type="lastRow">
      <w:rPr>
        <w:rFonts w:ascii="Arial" w:hAnsi="Arial"/>
        <w:color w:val="F2F2F2"/>
        <w:sz w:val="22"/>
      </w:rPr>
      <w:tcPr>
        <w:shd w:val="clear" w:color="auto" w:fill="9BBB59"/>
      </w:tcPr>
    </w:tblStylePr>
  </w:style>
  <w:style w:type="table" w:customStyle="1" w:styleId="BorderedLined-Accent4">
    <w:name w:val="Bordered &amp; Lined - Accent 4"/>
    <w:basedOn w:val="TableNormal"/>
    <w:uiPriority w:val="99"/>
    <w:pPr>
      <w:spacing w:after="0" w:line="240" w:lineRule="auto"/>
    </w:pPr>
    <w:rPr>
      <w:color w:val="40404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5DFEC"/>
      </w:tcPr>
    </w:tblStylePr>
    <w:tblStylePr w:type="band2Vert">
      <w:rPr>
        <w:rFonts w:ascii="Arial" w:hAnsi="Arial"/>
        <w:color w:val="404040"/>
        <w:sz w:val="22"/>
      </w:rPr>
      <w:tcPr>
        <w:shd w:val="clear" w:color="auto" w:fill="E5DFEC"/>
      </w:tcPr>
    </w:tblStylePr>
    <w:tblStylePr w:type="firstCol">
      <w:rPr>
        <w:rFonts w:ascii="Arial" w:hAnsi="Arial"/>
        <w:color w:val="F2F2F2"/>
        <w:sz w:val="22"/>
      </w:rPr>
      <w:tcPr>
        <w:shd w:val="clear" w:color="auto" w:fill="B2A1C7"/>
      </w:tcPr>
    </w:tblStylePr>
    <w:tblStylePr w:type="firstRow">
      <w:rPr>
        <w:rFonts w:ascii="Arial" w:hAnsi="Arial"/>
        <w:color w:val="F2F2F2"/>
        <w:sz w:val="22"/>
      </w:rPr>
      <w:tcPr>
        <w:shd w:val="clear" w:color="auto" w:fill="B2A1C7"/>
      </w:tcPr>
    </w:tblStylePr>
    <w:tblStylePr w:type="lastCol">
      <w:rPr>
        <w:rFonts w:ascii="Arial" w:hAnsi="Arial"/>
        <w:color w:val="F2F2F2"/>
        <w:sz w:val="22"/>
      </w:rPr>
      <w:tcPr>
        <w:shd w:val="clear" w:color="auto" w:fill="B2A1C7"/>
      </w:tcPr>
    </w:tblStylePr>
    <w:tblStylePr w:type="lastRow">
      <w:rPr>
        <w:rFonts w:ascii="Arial" w:hAnsi="Arial"/>
        <w:color w:val="F2F2F2"/>
        <w:sz w:val="22"/>
      </w:rPr>
      <w:tcPr>
        <w:shd w:val="clear" w:color="auto" w:fill="B2A1C7"/>
      </w:tcPr>
    </w:tblStylePr>
  </w:style>
  <w:style w:type="table" w:customStyle="1" w:styleId="BorderedLined-Accent5">
    <w:name w:val="Bordered &amp; Lined - Accent 5"/>
    <w:basedOn w:val="TableNormal"/>
    <w:uiPriority w:val="99"/>
    <w:pPr>
      <w:spacing w:after="0" w:line="240" w:lineRule="auto"/>
    </w:pPr>
    <w:rPr>
      <w:color w:val="40404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DAEEF3"/>
      </w:tcPr>
    </w:tblStylePr>
    <w:tblStylePr w:type="band2Vert">
      <w:rPr>
        <w:rFonts w:ascii="Arial" w:hAnsi="Arial"/>
        <w:color w:val="404040"/>
        <w:sz w:val="22"/>
      </w:rPr>
      <w:tcPr>
        <w:shd w:val="clear" w:color="auto" w:fill="DAEEF3"/>
      </w:tcPr>
    </w:tblStylePr>
    <w:tblStylePr w:type="firstCol">
      <w:rPr>
        <w:rFonts w:ascii="Arial" w:hAnsi="Arial"/>
        <w:color w:val="F2F2F2"/>
        <w:sz w:val="22"/>
      </w:rPr>
      <w:tcPr>
        <w:shd w:val="clear" w:color="auto" w:fill="4BACC6"/>
      </w:tcPr>
    </w:tblStylePr>
    <w:tblStylePr w:type="firstRow">
      <w:rPr>
        <w:rFonts w:ascii="Arial" w:hAnsi="Arial"/>
        <w:color w:val="F2F2F2"/>
        <w:sz w:val="22"/>
      </w:rPr>
      <w:tcPr>
        <w:shd w:val="clear" w:color="auto" w:fill="4BACC6"/>
      </w:tcPr>
    </w:tblStylePr>
    <w:tblStylePr w:type="lastCol">
      <w:rPr>
        <w:rFonts w:ascii="Arial" w:hAnsi="Arial"/>
        <w:color w:val="F2F2F2"/>
        <w:sz w:val="22"/>
      </w:rPr>
      <w:tcPr>
        <w:shd w:val="clear" w:color="auto" w:fill="4BACC6"/>
      </w:tcPr>
    </w:tblStylePr>
    <w:tblStylePr w:type="lastRow">
      <w:rPr>
        <w:rFonts w:ascii="Arial" w:hAnsi="Arial"/>
        <w:color w:val="F2F2F2"/>
        <w:sz w:val="22"/>
      </w:rPr>
      <w:tcPr>
        <w:shd w:val="clear" w:color="auto" w:fill="4BACC6"/>
      </w:tcPr>
    </w:tblStylePr>
  </w:style>
  <w:style w:type="table" w:customStyle="1" w:styleId="BorderedLined-Accent6">
    <w:name w:val="Bordered &amp; Lined - Accent 6"/>
    <w:basedOn w:val="TableNormal"/>
    <w:uiPriority w:val="99"/>
    <w:pPr>
      <w:spacing w:after="0" w:line="240" w:lineRule="auto"/>
    </w:pPr>
    <w:rPr>
      <w:color w:val="40404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DE9D9"/>
      </w:tcPr>
    </w:tblStylePr>
    <w:tblStylePr w:type="band2Vert">
      <w:rPr>
        <w:rFonts w:ascii="Arial" w:hAnsi="Arial"/>
        <w:color w:val="404040"/>
        <w:sz w:val="22"/>
      </w:rPr>
      <w:tcPr>
        <w:shd w:val="clear" w:color="auto" w:fill="FDE9D9"/>
      </w:tcPr>
    </w:tblStylePr>
    <w:tblStylePr w:type="firstCol">
      <w:rPr>
        <w:rFonts w:ascii="Arial" w:hAnsi="Arial"/>
        <w:color w:val="F2F2F2"/>
        <w:sz w:val="22"/>
      </w:rPr>
      <w:tcPr>
        <w:shd w:val="clear" w:color="auto" w:fill="F79646"/>
      </w:tcPr>
    </w:tblStylePr>
    <w:tblStylePr w:type="firstRow">
      <w:rPr>
        <w:rFonts w:ascii="Arial" w:hAnsi="Arial"/>
        <w:color w:val="F2F2F2"/>
        <w:sz w:val="22"/>
      </w:rPr>
      <w:tcPr>
        <w:shd w:val="clear" w:color="auto" w:fill="F79646"/>
      </w:tcPr>
    </w:tblStylePr>
    <w:tblStylePr w:type="lastCol">
      <w:rPr>
        <w:rFonts w:ascii="Arial" w:hAnsi="Arial"/>
        <w:color w:val="F2F2F2"/>
        <w:sz w:val="22"/>
      </w:rPr>
      <w:tcPr>
        <w:shd w:val="clear" w:color="auto" w:fill="F79646"/>
      </w:tcPr>
    </w:tblStylePr>
    <w:tblStylePr w:type="lastRow">
      <w:rPr>
        <w:rFonts w:ascii="Arial" w:hAnsi="Arial"/>
        <w:color w:val="F2F2F2"/>
        <w:sz w:val="22"/>
      </w:rPr>
      <w:tcPr>
        <w:shd w:val="clear" w:color="auto" w:fill="F79646"/>
      </w:tcPr>
    </w:tblStylePr>
  </w:style>
  <w:style w:type="character" w:styleId="Hyperlink">
    <w:name w:val="Hyperlink"/>
    <w:uiPriority w:val="99"/>
    <w:unhideWhenUsed/>
    <w:rPr>
      <w:color w:val="0000FF" w:themeColor="hyperlink"/>
      <w:u w:val="single"/>
    </w:rPr>
  </w:style>
  <w:style w:type="paragraph" w:styleId="FootnoteText">
    <w:name w:val="footnote text"/>
    <w:basedOn w:val="Normal"/>
    <w:uiPriority w:val="99"/>
    <w:semiHidden/>
    <w:unhideWhenUsed/>
    <w:pPr>
      <w:spacing w:after="0" w:line="240" w:lineRule="auto"/>
    </w:pPr>
    <w:rPr>
      <w:sz w:val="20"/>
    </w:rPr>
  </w:style>
  <w:style w:type="character" w:customStyle="1" w:styleId="FootnoteTextChar">
    <w:name w:val="Footnote Text Char"/>
    <w:basedOn w:val="DefaultParagraphFont"/>
    <w:uiPriority w:val="99"/>
    <w:semiHidden/>
    <w:rPr>
      <w:sz w:val="20"/>
    </w:rPr>
  </w:style>
  <w:style w:type="character" w:styleId="FootnoteReference">
    <w:name w:val="footnote reference"/>
    <w:basedOn w:val="DefaultParagraphFont"/>
    <w:uiPriority w:val="99"/>
    <w:semiHidden/>
    <w:unhideWhenUsed/>
    <w:rPr>
      <w:vertAlign w:val="superscript"/>
    </w:rPr>
  </w:style>
  <w:style w:type="paragraph" w:customStyle="1" w:styleId="Heading2">
    <w:name w:val="Heading 2"/>
    <w:basedOn w:val="Normal"/>
    <w:next w:val="Normal"/>
    <w:uiPriority w:val="9"/>
    <w:unhideWhenUsed/>
    <w:qFormat/>
    <w:pPr>
      <w:keepNext/>
      <w:keepLines/>
      <w:spacing w:before="200"/>
    </w:pPr>
    <w:rPr>
      <w:rFonts w:ascii="Cambria" w:eastAsia="Cambria" w:hAnsi="Cambria" w:cs="Cambria"/>
      <w:b/>
      <w:bCs/>
      <w:color w:val="4F81BD" w:themeColor="accent1"/>
      <w:sz w:val="26"/>
      <w:szCs w:val="26"/>
    </w:rPr>
  </w:style>
  <w:style w:type="paragraph" w:styleId="NoSpacing">
    <w:name w:val="No Spacing"/>
    <w:uiPriority w:val="1"/>
    <w:qFormat/>
    <w:pPr>
      <w:spacing w:after="0" w:line="240" w:lineRule="auto"/>
    </w:pPr>
    <w:rPr>
      <w:rFonts w:ascii="Calibri" w:eastAsia="Times New Roman" w:hAnsi="Calibri" w:cs="Times New Roman"/>
      <w:lang w:eastAsia="ru-RU"/>
    </w:rPr>
  </w:style>
  <w:style w:type="paragraph" w:styleId="BalloonText">
    <w:name w:val="Balloon Text"/>
    <w:basedOn w:val="Normal"/>
    <w:uiPriority w:val="99"/>
    <w:semiHidden/>
    <w:unhideWhenUsed/>
    <w:rPr>
      <w:rFonts w:ascii="Tahoma" w:hAnsi="Tahoma" w:cs="Tahoma"/>
      <w:sz w:val="16"/>
      <w:szCs w:val="16"/>
    </w:rPr>
  </w:style>
  <w:style w:type="character" w:customStyle="1" w:styleId="a">
    <w:name w:val="Текст выноски Знак"/>
    <w:basedOn w:val="DefaultParagraphFont"/>
    <w:uiPriority w:val="99"/>
    <w:semiHidden/>
    <w:rPr>
      <w:rFonts w:ascii="Tahoma" w:eastAsia="Times New Roman" w:hAnsi="Tahoma" w:cs="Tahoma"/>
      <w:sz w:val="16"/>
      <w:szCs w:val="16"/>
      <w:lang w:eastAsia="ru-RU"/>
    </w:rPr>
  </w:style>
  <w:style w:type="character" w:customStyle="1" w:styleId="2">
    <w:name w:val="Заголовок 2 Знак"/>
    <w:basedOn w:val="DefaultParagraphFont"/>
    <w:uiPriority w:val="9"/>
    <w:rPr>
      <w:rFonts w:ascii="Cambria" w:eastAsia="Cambria" w:hAnsi="Cambria" w:cs="Cambria"/>
      <w:b/>
      <w:bCs/>
      <w:color w:val="4F81BD" w:themeColor="accent1"/>
      <w:sz w:val="26"/>
      <w:szCs w:val="26"/>
      <w:lang w:eastAsia="ru-RU"/>
    </w:rPr>
  </w:style>
  <w:style w:type="paragraph" w:customStyle="1" w:styleId="Header">
    <w:name w:val="Header"/>
    <w:basedOn w:val="Normal"/>
    <w:uiPriority w:val="99"/>
    <w:unhideWhenUsed/>
    <w:pPr>
      <w:tabs>
        <w:tab w:val="center" w:pos="4677"/>
        <w:tab w:val="right" w:pos="9355"/>
      </w:tabs>
    </w:pPr>
  </w:style>
  <w:style w:type="character" w:customStyle="1" w:styleId="a0">
    <w:name w:val="Верхний колонтитул Знак"/>
    <w:basedOn w:val="DefaultParagraphFont"/>
    <w:uiPriority w:val="99"/>
    <w:rPr>
      <w:rFonts w:ascii="Times New Roman" w:eastAsia="Times New Roman" w:hAnsi="Times New Roman" w:cs="Times New Roman"/>
      <w:sz w:val="20"/>
      <w:szCs w:val="20"/>
      <w:lang w:eastAsia="ru-RU"/>
    </w:rPr>
  </w:style>
  <w:style w:type="paragraph" w:customStyle="1" w:styleId="Footer">
    <w:name w:val="Footer"/>
    <w:basedOn w:val="Normal"/>
    <w:uiPriority w:val="99"/>
    <w:unhideWhenUsed/>
    <w:pPr>
      <w:tabs>
        <w:tab w:val="center" w:pos="4677"/>
        <w:tab w:val="right" w:pos="9355"/>
      </w:tabs>
    </w:pPr>
  </w:style>
  <w:style w:type="character" w:customStyle="1" w:styleId="a1">
    <w:name w:val="Нижний колонтитул Знак"/>
    <w:basedOn w:val="DefaultParagraphFont"/>
    <w:uiPriority w:val="99"/>
    <w:rPr>
      <w:rFonts w:ascii="Times New Roman" w:eastAsia="Times New Roman" w:hAnsi="Times New Roman" w:cs="Times New Roman"/>
      <w:sz w:val="20"/>
      <w:szCs w:val="20"/>
      <w:lang w:eastAsia="ru-RU"/>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header" Target="header1.xml" /><Relationship Id="rId9" Type="http://schemas.openxmlformats.org/officeDocument/2006/relationships/theme" Target="theme/theme1.xml" /></Relationships>
</file>

<file path=word/_rels/header1.xml.rels>&#65279;<?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media/image6.png" /><Relationship Id="rId3" Type="http://schemas.openxmlformats.org/officeDocument/2006/relationships/image" Target="media/image7.png" /><Relationship Id="rId4" Type="http://schemas.openxmlformats.org/officeDocument/2006/relationships/image" Target="media/image8.png" /><Relationship Id="rId5" Type="http://schemas.openxmlformats.org/officeDocument/2006/relationships/image" Target="media/image9.png" /></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