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Paragraph"/>
        <w:tabs>
          <w:tab w:val="clear" w:pos="708"/>
          <w:tab w:val="left" w:pos="1134" w:leader="none"/>
        </w:tabs>
        <w:jc w:val="right"/>
        <w:rPr>
          <w:b/>
          <w:b/>
          <w:i/>
          <w:i/>
          <w:lang w:val="kk-KZ"/>
        </w:rPr>
      </w:pPr>
      <w:r>
        <w:rPr>
          <w:b/>
          <w:i/>
          <w:lang w:val="kk-KZ"/>
        </w:rPr>
        <w:t>Приложение</w:t>
      </w:r>
    </w:p>
    <w:p>
      <w:pPr>
        <w:pStyle w:val="ListParagraph"/>
        <w:tabs>
          <w:tab w:val="clear" w:pos="708"/>
          <w:tab w:val="left" w:pos="1134" w:leader="none"/>
        </w:tabs>
        <w:jc w:val="center"/>
        <w:rPr>
          <w:lang w:val="kk-KZ"/>
        </w:rPr>
      </w:pPr>
      <w:r>
        <w:rPr>
          <w:lang w:val="kk-KZ"/>
        </w:rPr>
      </w:r>
    </w:p>
    <w:p>
      <w:pPr>
        <w:pStyle w:val="ListParagraph"/>
        <w:tabs>
          <w:tab w:val="clear" w:pos="708"/>
          <w:tab w:val="left" w:pos="1134" w:leader="none"/>
        </w:tabs>
        <w:jc w:val="center"/>
        <w:rPr>
          <w:b/>
          <w:b/>
        </w:rPr>
      </w:pPr>
      <w:r>
        <w:rPr>
          <w:b/>
        </w:rPr>
        <w:t>Сводная таблица предложений и замечаний на Отчет о возможных воздействиях на окружающую среду</w:t>
      </w:r>
      <w:r>
        <w:rPr>
          <w:b/>
          <w:lang w:val="kk-KZ"/>
        </w:rPr>
        <w:t xml:space="preserve"> к</w:t>
      </w:r>
      <w:r>
        <w:rPr>
          <w:b/>
        </w:rPr>
        <w:t xml:space="preserve"> проекту реконструкция существующего хвостохранилища Приозерской обогатительной фабрики</w:t>
      </w:r>
      <w:r>
        <w:rPr>
          <w:b/>
          <w:lang w:val="kk-KZ"/>
        </w:rPr>
        <w:t xml:space="preserve"> </w:t>
      </w:r>
      <w:r>
        <w:rPr>
          <w:b/>
        </w:rPr>
        <w:t>ТОО «</w:t>
      </w:r>
      <w:r>
        <w:rPr>
          <w:b/>
          <w:lang w:val="kk-KZ"/>
        </w:rPr>
        <w:t>Ер-Тай</w:t>
      </w:r>
      <w:r>
        <w:rPr>
          <w:b/>
        </w:rPr>
        <w:t xml:space="preserve">» </w:t>
      </w:r>
    </w:p>
    <w:p>
      <w:pPr>
        <w:pStyle w:val="ListParagraph"/>
        <w:tabs>
          <w:tab w:val="clear" w:pos="708"/>
          <w:tab w:val="left" w:pos="1134" w:leader="none"/>
        </w:tabs>
        <w:rPr>
          <w:b/>
          <w:b/>
          <w:lang w:val="kk-KZ"/>
        </w:rPr>
      </w:pPr>
      <w:r>
        <w:rPr/>
        <w:t>Дата составления протокола:</w:t>
      </w:r>
      <w:r>
        <w:rPr>
          <w:u w:val="single"/>
        </w:rPr>
        <w:t xml:space="preserve"> </w:t>
      </w:r>
      <w:r>
        <w:rPr>
          <w:u w:val="single"/>
          <w:lang w:val="kk-KZ"/>
        </w:rPr>
        <w:t>08.09.2026 г</w:t>
      </w:r>
      <w:r>
        <w:rPr>
          <w:u w:val="single"/>
        </w:rPr>
        <w:t>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left="0" w:firstLine="737"/>
        <w:contextualSpacing/>
        <w:jc w:val="both"/>
        <w:rPr/>
      </w:pPr>
      <w:r>
        <w:rPr/>
        <w:t xml:space="preserve">Место составления протокола: </w:t>
      </w:r>
      <w:r>
        <w:rPr>
          <w:u w:val="single"/>
          <w:lang w:val="kk-KZ"/>
        </w:rPr>
        <w:t>Карагандинская область</w:t>
      </w:r>
      <w:r>
        <w:rPr>
          <w:u w:val="single"/>
        </w:rPr>
        <w:t>, г.</w:t>
      </w:r>
      <w:r>
        <w:rPr>
          <w:u w:val="single"/>
          <w:lang w:val="kk-KZ"/>
        </w:rPr>
        <w:t>Караганда</w:t>
      </w:r>
      <w:r>
        <w:rPr>
          <w:u w:val="single"/>
        </w:rPr>
        <w:t xml:space="preserve">, </w:t>
      </w:r>
      <w:r>
        <w:rPr>
          <w:u w:val="single"/>
          <w:lang w:val="kk-KZ"/>
        </w:rPr>
        <w:t>проспект Бухар-Жырау 47</w:t>
      </w:r>
      <w:r>
        <w:rPr>
          <w:u w:val="single"/>
        </w:rPr>
        <w:t xml:space="preserve">, РГУ «Департамент экологии по </w:t>
      </w:r>
      <w:r>
        <w:rPr>
          <w:u w:val="single"/>
          <w:lang w:val="kk-KZ"/>
        </w:rPr>
        <w:t>Карагандинской</w:t>
      </w:r>
      <w:r>
        <w:rPr>
          <w:u w:val="single"/>
        </w:rPr>
        <w:t xml:space="preserve"> области КЭРК МЭПР».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left="0" w:firstLine="737"/>
        <w:contextualSpacing/>
        <w:jc w:val="both"/>
        <w:rPr/>
      </w:pPr>
      <w:r>
        <w:rPr/>
        <w:t>Наименование уполномоченного органа в области охраны окружающей среды:</w:t>
      </w:r>
      <w:r>
        <w:rPr>
          <w:u w:val="single"/>
        </w:rPr>
        <w:t xml:space="preserve">РГУ «Департамент экологии по </w:t>
      </w:r>
      <w:r>
        <w:rPr>
          <w:u w:val="single"/>
          <w:lang w:val="kk-KZ"/>
        </w:rPr>
        <w:t xml:space="preserve">Карагандинской </w:t>
      </w:r>
      <w:r>
        <w:rPr>
          <w:u w:val="single"/>
        </w:rPr>
        <w:t>области КЭРК МЭПР».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left="0" w:firstLine="737"/>
        <w:contextualSpacing/>
        <w:jc w:val="both"/>
        <w:rPr/>
      </w:pPr>
      <w:r>
        <w:rPr/>
        <w:t xml:space="preserve">Дата извещения о сборе замечаний и предложений заинтересованных государственных органов: </w:t>
      </w:r>
      <w:r>
        <w:rPr>
          <w:u w:val="single"/>
          <w:lang w:val="kk-KZ"/>
        </w:rPr>
        <w:t>18</w:t>
      </w:r>
      <w:r>
        <w:rPr>
          <w:u w:val="single"/>
        </w:rPr>
        <w:t>.</w:t>
      </w:r>
      <w:r>
        <w:rPr>
          <w:u w:val="single"/>
          <w:lang w:val="kk-KZ"/>
        </w:rPr>
        <w:t>08</w:t>
      </w:r>
      <w:r>
        <w:rPr>
          <w:u w:val="single"/>
        </w:rPr>
        <w:t>.202</w:t>
      </w:r>
      <w:r>
        <w:rPr>
          <w:u w:val="single"/>
          <w:lang w:val="kk-KZ"/>
        </w:rPr>
        <w:t>6</w:t>
      </w:r>
      <w:r>
        <w:rPr>
          <w:u w:val="single"/>
        </w:rPr>
        <w:t xml:space="preserve"> г.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left="0" w:firstLine="737"/>
        <w:contextualSpacing/>
        <w:jc w:val="both"/>
        <w:rPr>
          <w:u w:val="single"/>
          <w:lang w:val="kk-KZ"/>
        </w:rPr>
      </w:pPr>
      <w:r>
        <w:rPr/>
        <w:t>Срок предоставления замечаний и предложений заинтересованных государственных органов, наименование проекта намечаемой деятельности:</w:t>
      </w:r>
      <w:r>
        <w:rPr>
          <w:u w:val="single"/>
        </w:rPr>
        <w:t xml:space="preserve"> </w:t>
      </w:r>
      <w:r>
        <w:rPr>
          <w:u w:val="single"/>
          <w:lang w:val="kk-KZ"/>
        </w:rPr>
        <w:t>18.08.2026-01.09.2026гг.</w:t>
      </w:r>
    </w:p>
    <w:p>
      <w:pPr>
        <w:pStyle w:val="ListParagraph"/>
        <w:tabs>
          <w:tab w:val="clear" w:pos="708"/>
          <w:tab w:val="left" w:pos="1134" w:leader="none"/>
        </w:tabs>
        <w:spacing w:lineRule="auto" w:line="240" w:before="0" w:after="0"/>
        <w:ind w:left="0" w:firstLine="737"/>
        <w:contextualSpacing/>
        <w:jc w:val="both"/>
        <w:rPr/>
      </w:pPr>
      <w:r>
        <w:rPr/>
        <w:t xml:space="preserve">Обобщение замечаний и </w:t>
      </w:r>
      <w:r>
        <w:rPr>
          <w:lang w:val="kk-KZ" w:eastAsia="ru-RU"/>
        </w:rPr>
        <w:t>предложений заинтересованных государственных органов:</w:t>
      </w:r>
    </w:p>
    <w:tbl>
      <w:tblPr>
        <w:tblW w:w="1019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4"/>
        <w:gridCol w:w="2358"/>
        <w:gridCol w:w="5581"/>
        <w:gridCol w:w="1835"/>
      </w:tblGrid>
      <w:tr>
        <w:trPr>
          <w:trHeight w:val="155" w:hRule="atLeast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>
                <w:b/>
                <w:lang w:val="kk-KZ" w:eastAsia="ru-RU"/>
              </w:rPr>
              <w:t>№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>
                <w:b/>
                <w:lang w:val="kk-KZ" w:eastAsia="ru-RU"/>
              </w:rPr>
              <w:t>Заинтересованные государственные органы и общественность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center"/>
              <w:rPr/>
            </w:pPr>
            <w:r>
              <w:rPr>
                <w:b/>
                <w:lang w:val="kk-KZ" w:eastAsia="ru-RU"/>
              </w:rPr>
              <w:t>Замечание или предложение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>
                <w:b/>
                <w:lang w:val="kk-KZ" w:eastAsia="ru-RU"/>
              </w:rPr>
              <w:t>Сведения о том, каким образом замечание или предложение было учтено, или причины, по которым замечание или предложение не было учтено</w:t>
            </w:r>
          </w:p>
        </w:tc>
      </w:tr>
      <w:tr>
        <w:trPr>
          <w:trHeight w:val="917" w:hRule="atLeast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b/>
                <w:lang w:val="kk-KZ" w:eastAsia="ru-RU"/>
              </w:rPr>
              <w:t>1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>
                <w:b/>
                <w:color w:val="000000"/>
                <w:lang w:val="kk-KZ" w:eastAsia="ru-RU"/>
              </w:rPr>
              <w:t xml:space="preserve">ГУ </w:t>
            </w:r>
            <w:bookmarkStart w:id="0" w:name="tw-target-text"/>
            <w:bookmarkEnd w:id="0"/>
            <w:r>
              <w:rPr>
                <w:b/>
                <w:color w:val="000000"/>
                <w:lang w:val="kk-KZ" w:eastAsia="ru-RU"/>
              </w:rPr>
              <w:t>«</w:t>
            </w:r>
            <w:r>
              <w:rPr>
                <w:b/>
                <w:color w:val="000000"/>
                <w:lang w:eastAsia="ru-RU"/>
              </w:rPr>
              <w:t>Аппарат акима города Приозерск Карагандинской области</w:t>
            </w:r>
            <w:r>
              <w:rPr>
                <w:b/>
                <w:color w:val="000000"/>
                <w:lang w:val="kk-KZ" w:eastAsia="ru-RU"/>
              </w:rPr>
              <w:t>»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rStyle w:val="Bumpedfont15"/>
                <w:color w:val="000000"/>
                <w:lang w:val="kk-KZ" w:eastAsia="ru-RU"/>
              </w:rPr>
              <w:t>Предложений и замечаний по данному вопросу не представлены.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/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lang w:val="kk-KZ" w:eastAsia="ru-RU"/>
              </w:rPr>
            </w:pPr>
            <w:r>
              <w:rPr>
                <w:lang w:val="kk-KZ" w:eastAsia="ru-RU"/>
              </w:rPr>
            </w:r>
          </w:p>
        </w:tc>
      </w:tr>
      <w:tr>
        <w:trPr>
          <w:trHeight w:val="155" w:hRule="atLeast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b/>
                <w:lang w:val="kk-KZ" w:eastAsia="ru-RU"/>
              </w:rPr>
              <w:t>3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>
                <w:b/>
                <w:color w:val="000000"/>
                <w:lang w:val="kk-KZ" w:eastAsia="ru-RU"/>
              </w:rPr>
              <w:t>РГУ «Балхаш-Алакольская бассейновая инспекция по регулированию использования и охране водных ресурсов»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rStyle w:val="Bumpedfont15"/>
                <w:color w:val="000000"/>
                <w:lang w:val="kk-KZ" w:eastAsia="ru-RU"/>
              </w:rPr>
              <w:t>Предложений и замечаний по данному вопросу не представлены.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lang w:val="kk-KZ" w:eastAsia="ru-RU"/>
              </w:rPr>
            </w:pPr>
            <w:r>
              <w:rPr>
                <w:lang w:val="kk-KZ" w:eastAsia="ru-RU"/>
              </w:rPr>
            </w:r>
          </w:p>
        </w:tc>
      </w:tr>
      <w:tr>
        <w:trPr>
          <w:trHeight w:val="973" w:hRule="atLeast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b/>
                <w:lang w:val="kk-KZ" w:eastAsia="ru-RU"/>
              </w:rPr>
              <w:t>4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lang w:val="kk-KZ"/>
              </w:rPr>
            </w:pPr>
            <w:r>
              <w:rPr>
                <w:b/>
                <w:color w:val="000000"/>
                <w:lang w:eastAsia="ru-RU"/>
              </w:rPr>
              <w:t>РГУ «Приозерское городское Управление санитарно-эпидемиологического контроля Департамента санитарно-эпидемиологического контроля Карагандинской области</w:t>
            </w:r>
            <w:r>
              <w:rPr>
                <w:b/>
                <w:color w:val="000000"/>
                <w:lang w:val="kk-KZ" w:eastAsia="ru-RU"/>
              </w:rPr>
              <w:t>»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lang w:val="kk-KZ"/>
              </w:rPr>
              <w:t>Предложений и замечаний по данному вопросу не представлены.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lang w:val="kk-KZ"/>
              </w:rPr>
            </w:pPr>
            <w:r>
              <w:rPr>
                <w:rFonts w:eastAsia="Calibri" w:cs="Times New Roman" w:ascii="Times New Roman" w:hAnsi="Times New Roman"/>
                <w:lang w:val="kk-KZ"/>
              </w:rPr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lang w:val="kk-KZ" w:eastAsia="ru-RU"/>
              </w:rPr>
            </w:pPr>
            <w:r>
              <w:rPr>
                <w:lang w:val="kk-KZ" w:eastAsia="ru-RU"/>
              </w:rPr>
            </w:r>
          </w:p>
        </w:tc>
      </w:tr>
      <w:tr>
        <w:trPr>
          <w:trHeight w:val="1623" w:hRule="atLeast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b/>
                <w:lang w:val="kk-KZ"/>
              </w:rPr>
              <w:t>5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>
                <w:b/>
                <w:color w:val="000000"/>
              </w:rPr>
              <w:t>РГУ</w:t>
            </w:r>
            <w:r>
              <w:rPr>
                <w:b/>
              </w:rPr>
              <w:t xml:space="preserve"> «Карагандинская областная территориальная инспекция лесного хозяйства и животного мира»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  <w:t>Карагандинская областная территориальная инспекция лесного хозяйства и животного мира рассмотрев материалы</w:t>
            </w:r>
            <w:r>
              <w:rPr>
                <w:rFonts w:eastAsia="Calibri" w:cs="Times New Roman" w:ascii="Times New Roman" w:hAnsi="Times New Roman"/>
                <w:lang w:val="kk-KZ"/>
              </w:rPr>
              <w:t xml:space="preserve"> ТОО </w:t>
            </w:r>
            <w:r>
              <w:rPr>
                <w:rFonts w:eastAsia="Calibri" w:cs="Times New Roman" w:ascii="Times New Roman" w:hAnsi="Times New Roman"/>
                <w:bCs/>
                <w:lang w:val="kk-KZ"/>
              </w:rPr>
              <w:t>«Ер-Тай»</w:t>
            </w:r>
            <w:r>
              <w:rPr>
                <w:rFonts w:eastAsia="Calibri" w:cs="Times New Roman" w:ascii="Times New Roman" w:hAnsi="Times New Roman"/>
                <w:b/>
                <w:bCs/>
                <w:lang w:val="kk-KZ"/>
              </w:rPr>
              <w:t xml:space="preserve"> </w:t>
            </w:r>
            <w:r>
              <w:rPr>
                <w:rFonts w:eastAsia="Calibri" w:cs="Times New Roman" w:ascii="Times New Roman" w:hAnsi="Times New Roman"/>
                <w:bCs/>
              </w:rPr>
              <w:t>сообщает</w:t>
            </w:r>
            <w:r>
              <w:rPr>
                <w:rFonts w:eastAsia="Calibri" w:cs="Times New Roman" w:ascii="Times New Roman" w:hAnsi="Times New Roman"/>
                <w:lang w:val="kk-KZ"/>
              </w:rPr>
              <w:t xml:space="preserve">, что </w:t>
            </w:r>
            <w:r>
              <w:rPr>
                <w:rFonts w:eastAsia="Calibri" w:cs="Times New Roman" w:ascii="Times New Roman" w:hAnsi="Times New Roman"/>
              </w:rPr>
              <w:t xml:space="preserve">предложений и замечаний в части животного </w:t>
            </w:r>
            <w:r>
              <w:rPr>
                <w:rFonts w:eastAsia="Calibri" w:cs="Times New Roman" w:ascii="Times New Roman" w:hAnsi="Times New Roman"/>
                <w:lang w:val="kk-KZ"/>
              </w:rPr>
              <w:t xml:space="preserve">и растительного </w:t>
            </w:r>
            <w:r>
              <w:rPr>
                <w:rFonts w:eastAsia="Calibri" w:cs="Times New Roman" w:ascii="Times New Roman" w:hAnsi="Times New Roman"/>
              </w:rPr>
              <w:t>мира не имеет</w:t>
            </w:r>
            <w:r>
              <w:rPr>
                <w:rFonts w:eastAsia="Calibri" w:cs="Times New Roman" w:ascii="Times New Roman" w:hAnsi="Times New Roman"/>
                <w:lang w:val="kk-KZ"/>
              </w:rPr>
              <w:t>ся</w:t>
            </w:r>
            <w:r>
              <w:rPr>
                <w:rFonts w:eastAsia="Calibri" w:cs="Times New Roman" w:ascii="Times New Roman" w:hAnsi="Times New Roman"/>
              </w:rPr>
              <w:t>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Times New Roman" w:hAnsi="Times New Roman" w:eastAsia="Calibri" w:cs="Times New Roman"/>
                <w:b/>
                <w:b/>
                <w:lang w:val="kk-KZ"/>
              </w:rPr>
            </w:pPr>
            <w:r>
              <w:rPr>
                <w:rFonts w:eastAsia="Calibri" w:cs="Times New Roman" w:ascii="Times New Roman" w:hAnsi="Times New Roman"/>
                <w:b/>
                <w:lang w:val="kk-KZ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cs="Times New Roman" w:ascii="Times New Roman" w:hAnsi="Times New Roman"/>
                <w:lang w:val="kk-KZ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/>
            </w:r>
          </w:p>
        </w:tc>
      </w:tr>
      <w:tr>
        <w:trPr>
          <w:trHeight w:val="376" w:hRule="atLeast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b/>
                <w:lang w:val="kk-KZ"/>
              </w:rPr>
              <w:t>6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b/>
                <w:b/>
                <w:lang w:val="kk-KZ"/>
              </w:rPr>
            </w:pPr>
            <w:r>
              <w:rPr>
                <w:b/>
                <w:color w:val="000000"/>
                <w:lang w:val="kk-KZ"/>
              </w:rPr>
              <w:t>К</w:t>
            </w:r>
            <w:r>
              <w:rPr>
                <w:b/>
                <w:color w:val="000000"/>
              </w:rPr>
              <w:t>ГУ</w:t>
            </w:r>
            <w:r>
              <w:rPr>
                <w:b/>
              </w:rPr>
              <w:t xml:space="preserve"> «Центр по сохранению историко-культурного наследия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>
                <w:b/>
                <w:lang w:val="kk-KZ"/>
              </w:rPr>
              <w:t>К</w:t>
            </w:r>
            <w:r>
              <w:rPr>
                <w:b/>
              </w:rPr>
              <w:t>арагандинско</w:t>
            </w:r>
            <w:r>
              <w:rPr>
                <w:b/>
                <w:lang w:val="kk-KZ"/>
              </w:rPr>
              <w:t xml:space="preserve">й </w:t>
            </w:r>
            <w:r>
              <w:rPr>
                <w:b/>
              </w:rPr>
              <w:t>обла</w:t>
            </w:r>
            <w:r>
              <w:rPr>
                <w:b/>
                <w:lang w:val="kk-KZ"/>
              </w:rPr>
              <w:t>ст</w:t>
            </w:r>
            <w:r>
              <w:rPr>
                <w:b/>
              </w:rPr>
              <w:t>и»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cs="Times New Roman" w:ascii="Times New Roman" w:hAnsi="Times New Roman"/>
                <w:lang w:val="kk-KZ"/>
              </w:rPr>
              <w:t>Рассмотрев Ваше обращение, поступившее на имя КГУ «Центр по сохранению историко-культурного наследия» управление культуры, архивов и документации Карагандинской области, сообщаем следующее: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cs="Times New Roman" w:ascii="Times New Roman" w:hAnsi="Times New Roman"/>
                <w:lang w:val="kk-KZ"/>
              </w:rPr>
              <w:t>Необходимо предоставить географические координаты (согласно проекту «Реконструкция существующего хвостохранилища Приозерской обоготительной фабрики путем его расширения»)  в градусах, мин., сек. и ситуационный план для опредиления наличия или отсутствия памятников истории и культуры.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/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/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/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/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/>
            </w:r>
          </w:p>
        </w:tc>
      </w:tr>
      <w:tr>
        <w:trPr>
          <w:trHeight w:val="376" w:hRule="atLeast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b/>
                <w:b/>
                <w:lang w:val="kk-KZ"/>
              </w:rPr>
            </w:pPr>
            <w:r>
              <w:rPr>
                <w:b/>
                <w:lang w:val="kk-KZ"/>
              </w:rPr>
            </w:r>
          </w:p>
        </w:tc>
        <w:tc>
          <w:tcPr>
            <w:tcW w:w="2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color w:val="000000"/>
              </w:rPr>
              <w:t>ГУ «Управление ветеринарии Карагандинской области»</w:t>
            </w:r>
          </w:p>
        </w:tc>
        <w:tc>
          <w:tcPr>
            <w:tcW w:w="5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/>
            </w:pPr>
            <w:r>
              <w:rPr>
                <w:rFonts w:eastAsia="Calibri"/>
                <w:lang w:val="kk-KZ"/>
              </w:rPr>
              <w:t>Управление ветеринарии, рассмотрев в пределах своей компетенции координаты, указанные в обращении ТОО «Ер-Тай», сообщает об отсутствии скотомогильников (биотермических ям) в радиусе 1000 метров от указанных координат.</w:t>
            </w: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/>
            </w:r>
          </w:p>
        </w:tc>
      </w:tr>
      <w:tr>
        <w:trPr>
          <w:trHeight w:val="227" w:hRule="atLeast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b/>
                <w:lang w:val="kk-KZ" w:eastAsia="ru-RU"/>
              </w:rPr>
              <w:t>7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>
                <w:b/>
              </w:rPr>
              <w:t>ГУ «Управление природных ресурсов и регулирование по Карагандинской области»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lang w:val="kk-KZ" w:eastAsia="ru-RU"/>
              </w:rPr>
              <w:t>Предложений и замечаний по данному вопросу не представлены.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>
                <w:lang w:val="kk-KZ" w:eastAsia="ru-RU"/>
              </w:rPr>
            </w:pPr>
            <w:r>
              <w:rPr>
                <w:lang w:val="kk-KZ" w:eastAsia="ru-RU"/>
              </w:rPr>
            </w:r>
          </w:p>
        </w:tc>
      </w:tr>
      <w:tr>
        <w:trPr>
          <w:trHeight w:val="155" w:hRule="atLeast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/>
            </w:pPr>
            <w:r>
              <w:rPr>
                <w:b/>
                <w:lang w:val="kk-KZ"/>
              </w:rPr>
              <w:t>1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>
                <w:b/>
              </w:rPr>
              <w:t>РГУ «Департамент экологии по Карагандинской области»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lang w:val="kk-KZ" w:eastAsia="ru-RU"/>
              </w:rPr>
              <w:t>№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>1. Осуществлять исполнение замечаний и предложений от заинтересованных государственных органов и Департамента экологии в заключении №</w:t>
            </w:r>
            <w:r>
              <w:rPr/>
              <w:t xml:space="preserve"> 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 KZ77VWF00607932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 xml:space="preserve"> от 15.07.2026 г.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№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>2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.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 xml:space="preserve"> В отчете приложить Протокол общественных слушаний согласно форме Правил проведения общественных слушаний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lang w:val="kk-KZ" w:eastAsia="ru-RU"/>
              </w:rPr>
              <w:t>от 3 августа 2021 года.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№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>3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. Соблюдать требования ст.376 Экологического Кодекса РК: Экологические требования в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области управления строительными отходами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1. Под строительными отходами понимаются отходы, образующиеся в процессе сноса,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разборки, реконструкции, ремонта (в том числе капитального) или строительства зданий,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сооружений, промышленных объектов, дорог, инженерных и других коммуникаций.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2. Строительные отходы подлежат обязательному отделению от других видов отходов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непосредственно на строительной площадке или в специальном месте.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3. Смешивание строительных отходов с другими видами отходов запрещается, кроме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случаев восстановления строительных отходов в соответствии с утвержденными проектными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решениями.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lang w:val="kk-KZ" w:eastAsia="ru-RU"/>
              </w:rPr>
              <w:t>№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4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>. Учесть требования ст.331 Кодекса: Принцип ответственности образователя отходов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lang w:val="kk-KZ" w:eastAsia="ru-RU"/>
              </w:rPr>
              <w:t>Субъекты предпринимательства, являющиеся образователями отходов, несут ответственность за обеспечение надлежащего управления такими отходами с момента их образования до момента передачи в соответствии с пунктом 3 статьи 339 настоящего Кодекса во владение лица, осуществляющего операции по восстановлению или удалению отходов на основании лицензии.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lang w:val="kk-KZ" w:eastAsia="ru-RU"/>
              </w:rPr>
              <w:t>№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5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>.Соблюдать требования п.1 и п.3 ст.320 Экологического Кодекса РК: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lang w:val="kk-KZ" w:eastAsia="ru-RU"/>
              </w:rPr>
              <w:t>Под накоплением отходов понимается временное складирование отходов в специально установленных местах в течение сроков, указанных в пункте 2 настоящей статьи, осуществляемое в процессе образования отходов или дальнейшего управления ими до момента их окончательного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lang w:val="kk-KZ" w:eastAsia="ru-RU"/>
              </w:rPr>
              <w:t>восстановления или удаления.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lang w:val="kk-KZ" w:eastAsia="ru-RU"/>
              </w:rPr>
              <w:t>Накопление отходов разрешается только в специально установленных и оборудованных в соответствии с требованиями законодательства Республики Казахстан местах (на площадках, в складах, хранилищах, контейнерах и иных объектах хранения).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bCs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lang w:val="kk-KZ" w:eastAsia="ru-RU"/>
              </w:rPr>
              <w:t>№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6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>.</w:t>
            </w:r>
            <w:r>
              <w:rPr>
                <w:rFonts w:eastAsia="Times New Roman" w:cs="Times New Roman" w:ascii="Times New Roman" w:hAnsi="Times New Roman"/>
                <w:bCs/>
                <w:lang w:val="kk-KZ" w:eastAsia="ru-RU"/>
              </w:rPr>
              <w:t xml:space="preserve"> Предусмотреть мероприятия  по  охране  растительного  и  животного  мира согласно приложения 4 к </w:t>
            </w: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К</w:t>
            </w:r>
            <w:r>
              <w:rPr>
                <w:rFonts w:eastAsia="Times New Roman" w:cs="Times New Roman" w:ascii="Times New Roman" w:hAnsi="Times New Roman"/>
                <w:bCs/>
                <w:lang w:val="kk-KZ" w:eastAsia="ru-RU"/>
              </w:rPr>
              <w:t>одексу.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lang w:val="kk-KZ" w:eastAsia="ru-RU"/>
              </w:rPr>
              <w:t>№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7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>. Предусмотреть работы по пылеподавлению согласно п.1 Приложения 4 к ЭК РК.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lang w:val="kk-KZ" w:eastAsia="ru-RU"/>
              </w:rPr>
              <w:t>№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8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>. Предусмотреть мероприятие по посадке зеленых насаждений согласно Приложению 4 к Кодекса.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№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9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>. В случае использования земельных участков для накопления, хранения, захоронения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>промышленных отходов они должны отвечать следующим требованиям: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lang w:val="kk-KZ" w:eastAsia="ru-RU"/>
              </w:rPr>
              <w:t>1) соответствовать санитарно-эпидемиологическим правилам и нормам проектирования,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>строительства и эксплуатации полигонов захоронения промышленных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>отходов;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lang w:val="kk-KZ" w:eastAsia="ru-RU"/>
              </w:rPr>
              <w:t>2) иметь слабофильтрующие грунты при стоянии грунтовых вод не выше двух метров от дна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>емкости с уклоном на местности 1,5 процента в сторону водоема, сельскохозяйственных угодий,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>лесов, промышленных предприятий;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lang w:val="kk-KZ" w:eastAsia="ru-RU"/>
              </w:rPr>
              <w:t>3) размещаться с подветренной стороны относительно населенного пункта и ниже по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>направлению потока подземных вод;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lang w:val="kk-KZ" w:eastAsia="ru-RU"/>
              </w:rPr>
              <w:t>4) размещаться на местности, не затапливаемой паводковыми и ливневыми водами;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lang w:val="kk-KZ" w:eastAsia="ru-RU"/>
              </w:rPr>
              <w:t>5) иметь инженерную противофильтрационную защиту, ограждение и озеленение по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>периметру, подъездные пути с твердым покрытием;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lang w:val="kk-KZ" w:eastAsia="ru-RU"/>
              </w:rPr>
              <w:t>6) поверхностный и подземный стоки с земельного участка не должны поступать в водные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>объекты.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val="kk-KZ" w:eastAsia="ru-RU"/>
              </w:rPr>
              <w:t>№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0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 xml:space="preserve">. 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Внедрение новых технологий, осуществление мероприятий по мелиорации земель и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повышению плодородия почв запрещаются в случае их несоответствия экологическим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требованиям, санитарно-эпидемиологическим нормам и правилам, иным требованиям,</w:t>
            </w:r>
            <w:r>
              <w:rPr>
                <w:rFonts w:eastAsia="Times New Roman" w:cs="Times New Roman" w:ascii="Times New Roman" w:hAnsi="Times New Roman"/>
                <w:lang w:val="kk-KZ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предусмотренным законодательством Республики Казахстан.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bCs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№</w:t>
            </w: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11. Необходимо минимизировать негативное воздействие на ближайшие селитебные зоны согласно санитарно-эпидемиологическим требованиям, предусмотренным законодательством Республики Казахстан. Также необходимо представить карту-схему расположения предприятия с указанием границ санитарно-защитной зоны и ближайших селитебных зон.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bCs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val="kk-KZ" w:eastAsia="ru-RU"/>
              </w:rPr>
              <w:t>№</w:t>
            </w:r>
            <w:r>
              <w:rPr>
                <w:rFonts w:eastAsia="Times New Roman" w:cs="Times New Roman" w:ascii="Times New Roman" w:hAnsi="Times New Roman"/>
                <w:bCs/>
                <w:lang w:val="kk-KZ"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2</w:t>
            </w:r>
            <w:r>
              <w:rPr>
                <w:rFonts w:eastAsia="Times New Roman" w:cs="Times New Roman" w:ascii="Times New Roman" w:hAnsi="Times New Roman"/>
                <w:bCs/>
                <w:lang w:val="kk-KZ" w:eastAsia="ru-RU"/>
              </w:rPr>
              <w:t>.Представить ситуационную схему в масштабе с указанием расположения земельного участка относительно водных объектов.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bCs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val="kk-KZ" w:eastAsia="ru-RU"/>
              </w:rPr>
              <w:t>№</w:t>
            </w:r>
            <w:r>
              <w:rPr>
                <w:rFonts w:eastAsia="Times New Roman" w:cs="Times New Roman" w:ascii="Times New Roman" w:hAnsi="Times New Roman"/>
                <w:bCs/>
                <w:lang w:val="kk-KZ"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3</w:t>
            </w:r>
            <w:r>
              <w:rPr>
                <w:rFonts w:eastAsia="Times New Roman" w:cs="Times New Roman" w:ascii="Times New Roman" w:hAnsi="Times New Roman"/>
                <w:bCs/>
                <w:lang w:val="kk-KZ" w:eastAsia="ru-RU"/>
              </w:rPr>
              <w:t>. Необходимо обосновать изменение сведений об отходах по сравнению с материалами скрининга и привести данные, указанные в заключении по результатам скрининга, и материалы ОВОС в соответствие.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bCs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val="kk-KZ" w:eastAsia="ru-RU"/>
              </w:rPr>
              <w:t>№</w:t>
            </w:r>
            <w:r>
              <w:rPr>
                <w:rFonts w:eastAsia="Times New Roman" w:cs="Times New Roman" w:ascii="Times New Roman" w:hAnsi="Times New Roman"/>
                <w:bCs/>
                <w:lang w:val="kk-KZ"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4</w:t>
            </w:r>
            <w:r>
              <w:rPr>
                <w:rFonts w:eastAsia="Times New Roman" w:cs="Times New Roman" w:ascii="Times New Roman" w:hAnsi="Times New Roman"/>
                <w:bCs/>
                <w:lang w:val="kk-KZ" w:eastAsia="ru-RU"/>
              </w:rPr>
              <w:t xml:space="preserve">. </w:t>
            </w: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Необходимо дополнить материалы ОВОС рассмотрением возможных вариантов осуществления намечаемой деятельности в соответствии с пунктами 4 и 5, с приведением обоснования выбранного варианта и сравнительной оценки возможных экологических воздействий по рассматриваемым вариантам.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bCs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val="kk-KZ" w:eastAsia="ru-RU"/>
              </w:rPr>
              <w:t>№</w:t>
            </w:r>
            <w:r>
              <w:rPr>
                <w:rFonts w:eastAsia="Times New Roman" w:cs="Times New Roman" w:ascii="Times New Roman" w:hAnsi="Times New Roman"/>
                <w:bCs/>
                <w:lang w:val="kk-KZ"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5</w:t>
            </w:r>
            <w:r>
              <w:rPr>
                <w:rFonts w:eastAsia="Times New Roman" w:cs="Times New Roman" w:ascii="Times New Roman" w:hAnsi="Times New Roman"/>
                <w:bCs/>
                <w:lang w:val="kk-KZ" w:eastAsia="ru-RU"/>
              </w:rPr>
              <w:t xml:space="preserve">. 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В</w:t>
            </w:r>
            <w:r>
              <w:rPr>
                <w:rFonts w:cs="Times New Roman" w:ascii="Times New Roman" w:hAnsi="Times New Roman"/>
              </w:rPr>
              <w:t xml:space="preserve"> представленных материалах ОВОС</w:t>
            </w:r>
            <w:r>
              <w:rPr>
                <w:rFonts w:cs="Times New Roman" w:ascii="Times New Roman" w:hAnsi="Times New Roman"/>
                <w:lang w:val="kk-KZ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отсутствует обоснование: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bCs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lang w:val="kk-KZ" w:eastAsia="ru-RU"/>
              </w:rPr>
              <w:t xml:space="preserve">- 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предельных количественных и качественных показателей эмиссий и физических воздействий на окружающую среду;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bCs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выбора операций по управлению образующимися отходами;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bCs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lang w:val="kk-KZ" w:eastAsia="ru-RU"/>
              </w:rPr>
              <w:t xml:space="preserve">- 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предельного количества накопления отходов по их видам;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lang w:val="kk-KZ" w:eastAsia="ru-RU"/>
              </w:rPr>
              <w:t xml:space="preserve">- 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предельных объемов захоронения отходов по их видам, в части отходов, захоронение которых предусмотрено в рамках намечаемой деятельности.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bCs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№</w:t>
            </w: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16</w:t>
            </w:r>
            <w:r>
              <w:rPr>
                <w:rFonts w:eastAsia="Times New Roman" w:cs="Times New Roman" w:ascii="Times New Roman" w:hAnsi="Times New Roman"/>
                <w:bCs/>
                <w:lang w:val="kk-KZ" w:eastAsia="ru-RU"/>
              </w:rPr>
              <w:t xml:space="preserve">. </w:t>
            </w: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Отсутствует краткое нетехническое резюме, предусмотренное пунктом 20 требований к содержанию отчета о возможных воздействиях.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№</w:t>
            </w: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17</w:t>
            </w:r>
            <w:r>
              <w:rPr>
                <w:rFonts w:eastAsia="Times New Roman" w:cs="Times New Roman" w:ascii="Times New Roman" w:hAnsi="Times New Roman"/>
                <w:bCs/>
                <w:lang w:val="kk-KZ" w:eastAsia="ru-RU"/>
              </w:rPr>
              <w:t>. В материалах скрининга указан один вид загрязняющего вещества — пыль неорганическая, содержащая 70–20% двуокиси кремния, тогда как в материалах ОВОС приведен расширенный перечень загрязняющих веществ. Необходимо обосновать изменение состава загрязняющих веществ и привести данные заключения по результатам скрининга и ОВОС в соответствие.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/>
            </w:r>
          </w:p>
        </w:tc>
      </w:tr>
      <w:tr>
        <w:trPr>
          <w:trHeight w:val="588" w:hRule="atLeast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both"/>
              <w:rPr>
                <w:b/>
                <w:b/>
                <w:lang w:val="kk-KZ"/>
              </w:rPr>
            </w:pPr>
            <w:r>
              <w:rPr>
                <w:b/>
                <w:lang w:val="kk-KZ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>
                <w:b/>
              </w:rPr>
              <w:t>Общественность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firstLine="170"/>
              <w:contextualSpacing/>
              <w:jc w:val="both"/>
              <w:rPr/>
            </w:pPr>
            <w:r>
              <w:rPr>
                <w:lang w:val="kk-KZ" w:eastAsia="ru-RU"/>
              </w:rPr>
              <w:t>Предложений и замечаний по данному вопросу не представлены.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spacing w:lineRule="auto" w:line="240" w:before="0" w:after="0"/>
              <w:ind w:left="0" w:hanging="0"/>
              <w:contextualSpacing/>
              <w:jc w:val="center"/>
              <w:rPr/>
            </w:pPr>
            <w:r>
              <w:rPr/>
            </w:r>
          </w:p>
        </w:tc>
      </w:tr>
    </w:tbl>
    <w:p>
      <w:pPr>
        <w:pStyle w:val="NoSpacing"/>
        <w:jc w:val="both"/>
        <w:rPr>
          <w:rFonts w:ascii="Times New Roman" w:hAnsi="Times New Roman" w:cs="Times New Roman"/>
          <w:b/>
          <w:b/>
          <w:lang w:val="kk-KZ"/>
        </w:rPr>
      </w:pPr>
      <w:r>
        <w:rPr>
          <w:rFonts w:cs="Times New Roman" w:ascii="Times New Roman" w:hAnsi="Times New Roman"/>
          <w:b/>
          <w:lang w:val="kk-KZ"/>
        </w:rPr>
        <w:t xml:space="preserve"> 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eastAsia="" w:cs="Times New Roman" w:eastAsiaTheme="minorEastAsia"/>
          <w:b/>
          <w:b/>
          <w:lang w:val="kk-KZ" w:eastAsia="ru-RU"/>
        </w:rPr>
      </w:pPr>
      <w:r>
        <w:rPr>
          <w:rFonts w:eastAsia="" w:cs="Times New Roman" w:eastAsiaTheme="minorEastAsia" w:ascii="Times New Roman" w:hAnsi="Times New Roman"/>
          <w:b/>
          <w:lang w:val="kk-KZ" w:eastAsia="ru-RU"/>
        </w:rPr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eastAsia="" w:cs="Times New Roman" w:eastAsiaTheme="minorEastAsia"/>
          <w:b/>
          <w:b/>
          <w:lang w:val="kk-KZ" w:eastAsia="ru-RU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Қарағанды облысының табиғи ресурстар және табиғатты пайдалануды реттеу басқармасы - Шайкина А.М."/>
          <w10:wrap anchorx="margin" anchory="margin"/>
        </v:shape>
      </w:pic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f77e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Абзац списка Знак"/>
    <w:basedOn w:val="DefaultParagraphFont"/>
    <w:link w:val="ListParagraph"/>
    <w:uiPriority w:val="34"/>
    <w:qFormat/>
    <w:locked/>
    <w:rsid w:val="005f77e6"/>
    <w:rPr>
      <w:rFonts w:ascii="Times New Roman" w:hAnsi="Times New Roman" w:eastAsia="Times New Roman" w:cs="Times New Roman"/>
    </w:rPr>
  </w:style>
  <w:style w:type="character" w:styleId="Bumpedfont15" w:customStyle="1">
    <w:name w:val="bumpedfont15"/>
    <w:basedOn w:val="DefaultParagraphFont"/>
    <w:qFormat/>
    <w:rsid w:val="005f77e6"/>
    <w:rPr/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571f3a"/>
    <w:rPr>
      <w:rFonts w:ascii="Tahoma" w:hAnsi="Tahoma" w:cs="Tahoma"/>
      <w:sz w:val="16"/>
      <w:szCs w:val="16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Spacing">
    <w:name w:val="No Spacing"/>
    <w:uiPriority w:val="1"/>
    <w:qFormat/>
    <w:rsid w:val="005f77e6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eastAsiaTheme="minorEastAsia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link w:val="Style14"/>
    <w:uiPriority w:val="34"/>
    <w:qFormat/>
    <w:rsid w:val="005f77e6"/>
    <w:pPr>
      <w:spacing w:before="0" w:after="200"/>
      <w:ind w:left="720" w:hanging="0"/>
      <w:contextualSpacing/>
    </w:pPr>
    <w:rPr>
      <w:rFonts w:ascii="Times New Roman" w:hAnsi="Times New Roman" w:eastAsia="Times New Roman" w:cs="Times New Roman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571f3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1">
    <w:name w:val="Содержимое врезки"/>
    <w:basedOn w:val="Normal"/>
    <w:qFormat/>
    <w:pPr/>
    <w:rPr/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LibreOffice/7.3.3.2$Windows_X86_64 LibreOffice_project/d1d0ea68f081ee2800a922cac8f79445e4603348</Application>
  <AppVersion>15.0000</AppVersion>
  <Pages>4</Pages>
  <Words>985</Words>
  <Characters>7366</Characters>
  <CharactersWithSpaces>8279</CharactersWithSpaces>
  <Paragraphs>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2026-09-08T09:20:00Z</dcterms:created>
  <dc:creator>User</dc:creator>
  <dc:description/>
  <dc:language>ru-RU</dc:language>
  <cp:lastModifiedBy/>
  <dcterms:modified xsi:type="dcterms:W3CDTF">2026-09-25T15:28:08Z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