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CE6EB" w14:textId="639FCCDE" w:rsidR="003D1C8C" w:rsidRDefault="003F7020" w:rsidP="003F7020">
      <w:pPr>
        <w:spacing w:after="0" w:line="240" w:lineRule="auto"/>
        <w:jc w:val="center"/>
        <w:rPr>
          <w:rFonts w:ascii="Times New Roman" w:hAnsi="Times New Roman" w:cs="Times New Roman"/>
          <w:b/>
          <w:sz w:val="28"/>
          <w:szCs w:val="28"/>
          <w14:ligatures w14:val="none"/>
        </w:rPr>
      </w:pPr>
      <w:proofErr w:type="spellStart"/>
      <w:r w:rsidRPr="003F7020">
        <w:rPr>
          <w:rFonts w:ascii="Times New Roman" w:hAnsi="Times New Roman" w:cs="Times New Roman"/>
          <w:b/>
          <w:sz w:val="28"/>
          <w:szCs w:val="28"/>
          <w14:ligatures w14:val="none"/>
        </w:rPr>
        <w:t>Кең</w:t>
      </w:r>
      <w:proofErr w:type="spellEnd"/>
      <w:r w:rsidRPr="003F7020">
        <w:rPr>
          <w:rFonts w:ascii="Times New Roman" w:hAnsi="Times New Roman" w:cs="Times New Roman"/>
          <w:b/>
          <w:sz w:val="28"/>
          <w:szCs w:val="28"/>
          <w14:ligatures w14:val="none"/>
        </w:rPr>
        <w:t xml:space="preserve"> </w:t>
      </w:r>
      <w:proofErr w:type="spellStart"/>
      <w:r w:rsidRPr="003F7020">
        <w:rPr>
          <w:rFonts w:ascii="Times New Roman" w:hAnsi="Times New Roman" w:cs="Times New Roman"/>
          <w:b/>
          <w:sz w:val="28"/>
          <w:szCs w:val="28"/>
          <w14:ligatures w14:val="none"/>
        </w:rPr>
        <w:t>таралған</w:t>
      </w:r>
      <w:proofErr w:type="spellEnd"/>
      <w:r w:rsidRPr="003F7020">
        <w:rPr>
          <w:rFonts w:ascii="Times New Roman" w:hAnsi="Times New Roman" w:cs="Times New Roman"/>
          <w:b/>
          <w:sz w:val="28"/>
          <w:szCs w:val="28"/>
          <w14:ligatures w14:val="none"/>
        </w:rPr>
        <w:t xml:space="preserve"> </w:t>
      </w:r>
      <w:proofErr w:type="spellStart"/>
      <w:r w:rsidRPr="003F7020">
        <w:rPr>
          <w:rFonts w:ascii="Times New Roman" w:hAnsi="Times New Roman" w:cs="Times New Roman"/>
          <w:b/>
          <w:sz w:val="28"/>
          <w:szCs w:val="28"/>
          <w14:ligatures w14:val="none"/>
        </w:rPr>
        <w:t>пайдалы</w:t>
      </w:r>
      <w:proofErr w:type="spellEnd"/>
      <w:r w:rsidRPr="003F7020">
        <w:rPr>
          <w:rFonts w:ascii="Times New Roman" w:hAnsi="Times New Roman" w:cs="Times New Roman"/>
          <w:b/>
          <w:sz w:val="28"/>
          <w:szCs w:val="28"/>
          <w14:ligatures w14:val="none"/>
        </w:rPr>
        <w:t xml:space="preserve"> </w:t>
      </w:r>
      <w:proofErr w:type="spellStart"/>
      <w:r w:rsidRPr="003F7020">
        <w:rPr>
          <w:rFonts w:ascii="Times New Roman" w:hAnsi="Times New Roman" w:cs="Times New Roman"/>
          <w:b/>
          <w:sz w:val="28"/>
          <w:szCs w:val="28"/>
          <w14:ligatures w14:val="none"/>
        </w:rPr>
        <w:t>қазбаларды</w:t>
      </w:r>
      <w:proofErr w:type="spellEnd"/>
      <w:r w:rsidRPr="003F7020">
        <w:rPr>
          <w:rFonts w:ascii="Times New Roman" w:hAnsi="Times New Roman" w:cs="Times New Roman"/>
          <w:b/>
          <w:sz w:val="28"/>
          <w:szCs w:val="28"/>
          <w14:ligatures w14:val="none"/>
        </w:rPr>
        <w:t xml:space="preserve"> </w:t>
      </w:r>
      <w:proofErr w:type="spellStart"/>
      <w:r w:rsidRPr="003F7020">
        <w:rPr>
          <w:rFonts w:ascii="Times New Roman" w:hAnsi="Times New Roman" w:cs="Times New Roman"/>
          <w:b/>
          <w:sz w:val="28"/>
          <w:szCs w:val="28"/>
          <w14:ligatures w14:val="none"/>
        </w:rPr>
        <w:t>барлау</w:t>
      </w:r>
      <w:proofErr w:type="spellEnd"/>
      <w:r w:rsidRPr="003F7020">
        <w:rPr>
          <w:rFonts w:ascii="Times New Roman" w:hAnsi="Times New Roman" w:cs="Times New Roman"/>
          <w:b/>
          <w:sz w:val="28"/>
          <w:szCs w:val="28"/>
          <w14:ligatures w14:val="none"/>
        </w:rPr>
        <w:t xml:space="preserve"> </w:t>
      </w:r>
      <w:proofErr w:type="spellStart"/>
      <w:r w:rsidRPr="003F7020">
        <w:rPr>
          <w:rFonts w:ascii="Times New Roman" w:hAnsi="Times New Roman" w:cs="Times New Roman"/>
          <w:b/>
          <w:sz w:val="28"/>
          <w:szCs w:val="28"/>
          <w14:ligatures w14:val="none"/>
        </w:rPr>
        <w:t>және</w:t>
      </w:r>
      <w:proofErr w:type="spellEnd"/>
      <w:r w:rsidRPr="003F7020">
        <w:rPr>
          <w:rFonts w:ascii="Times New Roman" w:hAnsi="Times New Roman" w:cs="Times New Roman"/>
          <w:b/>
          <w:sz w:val="28"/>
          <w:szCs w:val="28"/>
          <w14:ligatures w14:val="none"/>
        </w:rPr>
        <w:t xml:space="preserve"> </w:t>
      </w:r>
      <w:proofErr w:type="spellStart"/>
      <w:r w:rsidRPr="003F7020">
        <w:rPr>
          <w:rFonts w:ascii="Times New Roman" w:hAnsi="Times New Roman" w:cs="Times New Roman"/>
          <w:b/>
          <w:sz w:val="28"/>
          <w:szCs w:val="28"/>
          <w14:ligatures w14:val="none"/>
        </w:rPr>
        <w:t>өндіру</w:t>
      </w:r>
      <w:proofErr w:type="spellEnd"/>
      <w:r w:rsidRPr="003F7020">
        <w:rPr>
          <w:rFonts w:ascii="Times New Roman" w:hAnsi="Times New Roman" w:cs="Times New Roman"/>
          <w:b/>
          <w:sz w:val="28"/>
          <w:szCs w:val="28"/>
          <w14:ligatures w14:val="none"/>
        </w:rPr>
        <w:t xml:space="preserve"> </w:t>
      </w:r>
      <w:proofErr w:type="spellStart"/>
      <w:r w:rsidRPr="003F7020">
        <w:rPr>
          <w:rFonts w:ascii="Times New Roman" w:hAnsi="Times New Roman" w:cs="Times New Roman"/>
          <w:b/>
          <w:sz w:val="28"/>
          <w:szCs w:val="28"/>
          <w14:ligatures w14:val="none"/>
        </w:rPr>
        <w:t>және</w:t>
      </w:r>
      <w:proofErr w:type="spellEnd"/>
      <w:r w:rsidRPr="003F7020">
        <w:rPr>
          <w:rFonts w:ascii="Times New Roman" w:hAnsi="Times New Roman" w:cs="Times New Roman"/>
          <w:b/>
          <w:sz w:val="28"/>
          <w:szCs w:val="28"/>
          <w14:ligatures w14:val="none"/>
        </w:rPr>
        <w:t xml:space="preserve"> кен </w:t>
      </w:r>
      <w:proofErr w:type="spellStart"/>
      <w:r w:rsidRPr="003F7020">
        <w:rPr>
          <w:rFonts w:ascii="Times New Roman" w:hAnsi="Times New Roman" w:cs="Times New Roman"/>
          <w:b/>
          <w:sz w:val="28"/>
          <w:szCs w:val="28"/>
          <w14:ligatures w14:val="none"/>
        </w:rPr>
        <w:t>іздеушілік</w:t>
      </w:r>
      <w:proofErr w:type="spellEnd"/>
      <w:r w:rsidRPr="003F7020">
        <w:rPr>
          <w:rFonts w:ascii="Times New Roman" w:hAnsi="Times New Roman" w:cs="Times New Roman"/>
          <w:b/>
          <w:sz w:val="28"/>
          <w:szCs w:val="28"/>
          <w14:ligatures w14:val="none"/>
        </w:rPr>
        <w:t xml:space="preserve"> </w:t>
      </w:r>
      <w:proofErr w:type="spellStart"/>
      <w:r w:rsidRPr="003F7020">
        <w:rPr>
          <w:rFonts w:ascii="Times New Roman" w:hAnsi="Times New Roman" w:cs="Times New Roman"/>
          <w:b/>
          <w:sz w:val="28"/>
          <w:szCs w:val="28"/>
          <w14:ligatures w14:val="none"/>
        </w:rPr>
        <w:t>жөніндегі</w:t>
      </w:r>
      <w:proofErr w:type="spellEnd"/>
      <w:r w:rsidRPr="003F7020">
        <w:rPr>
          <w:rFonts w:ascii="Times New Roman" w:hAnsi="Times New Roman" w:cs="Times New Roman"/>
          <w:b/>
          <w:sz w:val="28"/>
          <w:szCs w:val="28"/>
          <w14:ligatures w14:val="none"/>
        </w:rPr>
        <w:t xml:space="preserve"> </w:t>
      </w:r>
      <w:proofErr w:type="spellStart"/>
      <w:r w:rsidRPr="003F7020">
        <w:rPr>
          <w:rFonts w:ascii="Times New Roman" w:hAnsi="Times New Roman" w:cs="Times New Roman"/>
          <w:b/>
          <w:sz w:val="28"/>
          <w:szCs w:val="28"/>
          <w14:ligatures w14:val="none"/>
        </w:rPr>
        <w:t>жергілікті</w:t>
      </w:r>
      <w:proofErr w:type="spellEnd"/>
      <w:r w:rsidRPr="003F7020">
        <w:rPr>
          <w:rFonts w:ascii="Times New Roman" w:hAnsi="Times New Roman" w:cs="Times New Roman"/>
          <w:b/>
          <w:sz w:val="28"/>
          <w:szCs w:val="28"/>
          <w14:ligatures w14:val="none"/>
        </w:rPr>
        <w:t xml:space="preserve"> </w:t>
      </w:r>
      <w:proofErr w:type="spellStart"/>
      <w:r w:rsidRPr="003F7020">
        <w:rPr>
          <w:rFonts w:ascii="Times New Roman" w:hAnsi="Times New Roman" w:cs="Times New Roman"/>
          <w:b/>
          <w:sz w:val="28"/>
          <w:szCs w:val="28"/>
          <w14:ligatures w14:val="none"/>
        </w:rPr>
        <w:t>атқарушы</w:t>
      </w:r>
      <w:proofErr w:type="spellEnd"/>
      <w:r w:rsidRPr="003F7020">
        <w:rPr>
          <w:rFonts w:ascii="Times New Roman" w:hAnsi="Times New Roman" w:cs="Times New Roman"/>
          <w:b/>
          <w:sz w:val="28"/>
          <w:szCs w:val="28"/>
          <w14:ligatures w14:val="none"/>
        </w:rPr>
        <w:t xml:space="preserve"> </w:t>
      </w:r>
      <w:proofErr w:type="spellStart"/>
      <w:r w:rsidRPr="003F7020">
        <w:rPr>
          <w:rFonts w:ascii="Times New Roman" w:hAnsi="Times New Roman" w:cs="Times New Roman"/>
          <w:b/>
          <w:sz w:val="28"/>
          <w:szCs w:val="28"/>
          <w14:ligatures w14:val="none"/>
        </w:rPr>
        <w:t>органдар</w:t>
      </w:r>
      <w:proofErr w:type="spellEnd"/>
      <w:r w:rsidRPr="003F7020">
        <w:rPr>
          <w:rFonts w:ascii="Times New Roman" w:hAnsi="Times New Roman" w:cs="Times New Roman"/>
          <w:b/>
          <w:sz w:val="28"/>
          <w:szCs w:val="28"/>
          <w14:ligatures w14:val="none"/>
        </w:rPr>
        <w:t xml:space="preserve"> </w:t>
      </w:r>
      <w:proofErr w:type="spellStart"/>
      <w:r w:rsidRPr="003F7020">
        <w:rPr>
          <w:rFonts w:ascii="Times New Roman" w:hAnsi="Times New Roman" w:cs="Times New Roman"/>
          <w:b/>
          <w:sz w:val="28"/>
          <w:szCs w:val="28"/>
          <w14:ligatures w14:val="none"/>
        </w:rPr>
        <w:t>қызметінің</w:t>
      </w:r>
      <w:proofErr w:type="spellEnd"/>
      <w:r w:rsidRPr="003F7020">
        <w:rPr>
          <w:rFonts w:ascii="Times New Roman" w:hAnsi="Times New Roman" w:cs="Times New Roman"/>
          <w:b/>
          <w:sz w:val="28"/>
          <w:szCs w:val="28"/>
          <w14:ligatures w14:val="none"/>
        </w:rPr>
        <w:t xml:space="preserve"> </w:t>
      </w:r>
      <w:proofErr w:type="spellStart"/>
      <w:r w:rsidRPr="003F7020">
        <w:rPr>
          <w:rFonts w:ascii="Times New Roman" w:hAnsi="Times New Roman" w:cs="Times New Roman"/>
          <w:b/>
          <w:sz w:val="28"/>
          <w:szCs w:val="28"/>
          <w14:ligatures w14:val="none"/>
        </w:rPr>
        <w:t>тиімділігіне</w:t>
      </w:r>
      <w:proofErr w:type="spellEnd"/>
      <w:r w:rsidRPr="003F7020">
        <w:rPr>
          <w:rFonts w:ascii="Times New Roman" w:hAnsi="Times New Roman" w:cs="Times New Roman"/>
          <w:b/>
          <w:sz w:val="28"/>
          <w:szCs w:val="28"/>
          <w14:ligatures w14:val="none"/>
        </w:rPr>
        <w:t xml:space="preserve"> </w:t>
      </w:r>
      <w:proofErr w:type="spellStart"/>
      <w:r w:rsidRPr="003F7020">
        <w:rPr>
          <w:rFonts w:ascii="Times New Roman" w:hAnsi="Times New Roman" w:cs="Times New Roman"/>
          <w:b/>
          <w:sz w:val="28"/>
          <w:szCs w:val="28"/>
          <w14:ligatures w14:val="none"/>
        </w:rPr>
        <w:t>мемлекеттік</w:t>
      </w:r>
      <w:proofErr w:type="spellEnd"/>
      <w:r w:rsidRPr="003F7020">
        <w:rPr>
          <w:rFonts w:ascii="Times New Roman" w:hAnsi="Times New Roman" w:cs="Times New Roman"/>
          <w:b/>
          <w:sz w:val="28"/>
          <w:szCs w:val="28"/>
          <w14:ligatures w14:val="none"/>
        </w:rPr>
        <w:t xml:space="preserve"> аудит </w:t>
      </w:r>
      <w:proofErr w:type="spellStart"/>
      <w:r w:rsidRPr="003F7020">
        <w:rPr>
          <w:rFonts w:ascii="Times New Roman" w:hAnsi="Times New Roman" w:cs="Times New Roman"/>
          <w:b/>
          <w:sz w:val="28"/>
          <w:szCs w:val="28"/>
          <w14:ligatures w14:val="none"/>
        </w:rPr>
        <w:t>қорытындысы</w:t>
      </w:r>
      <w:proofErr w:type="spellEnd"/>
      <w:r w:rsidRPr="003F7020">
        <w:rPr>
          <w:rFonts w:ascii="Times New Roman" w:hAnsi="Times New Roman" w:cs="Times New Roman"/>
          <w:b/>
          <w:sz w:val="28"/>
          <w:szCs w:val="28"/>
          <w14:ligatures w14:val="none"/>
        </w:rPr>
        <w:t xml:space="preserve"> </w:t>
      </w:r>
      <w:proofErr w:type="spellStart"/>
      <w:r w:rsidRPr="003F7020">
        <w:rPr>
          <w:rFonts w:ascii="Times New Roman" w:hAnsi="Times New Roman" w:cs="Times New Roman"/>
          <w:b/>
          <w:sz w:val="28"/>
          <w:szCs w:val="28"/>
          <w14:ligatures w14:val="none"/>
        </w:rPr>
        <w:t>бойынша</w:t>
      </w:r>
      <w:proofErr w:type="spellEnd"/>
      <w:r w:rsidRPr="003F7020">
        <w:rPr>
          <w:rFonts w:ascii="Times New Roman" w:hAnsi="Times New Roman" w:cs="Times New Roman"/>
          <w:b/>
          <w:sz w:val="28"/>
          <w:szCs w:val="28"/>
          <w14:ligatures w14:val="none"/>
        </w:rPr>
        <w:t xml:space="preserve"> </w:t>
      </w:r>
      <w:proofErr w:type="spellStart"/>
      <w:r w:rsidRPr="003F7020">
        <w:rPr>
          <w:rFonts w:ascii="Times New Roman" w:hAnsi="Times New Roman" w:cs="Times New Roman"/>
          <w:b/>
          <w:sz w:val="28"/>
          <w:szCs w:val="28"/>
          <w14:ligatures w14:val="none"/>
        </w:rPr>
        <w:t>ақпарат</w:t>
      </w:r>
      <w:proofErr w:type="spellEnd"/>
    </w:p>
    <w:p w14:paraId="71981300" w14:textId="77777777" w:rsidR="003F7020" w:rsidRDefault="003F7020" w:rsidP="003F7020">
      <w:pPr>
        <w:spacing w:after="0" w:line="240" w:lineRule="auto"/>
        <w:jc w:val="center"/>
        <w:rPr>
          <w:rFonts w:ascii="Times New Roman" w:hAnsi="Times New Roman" w:cs="Times New Roman"/>
          <w:b/>
          <w:sz w:val="28"/>
          <w:szCs w:val="28"/>
          <w14:ligatures w14:val="none"/>
        </w:rPr>
      </w:pPr>
    </w:p>
    <w:p w14:paraId="7CA970C2" w14:textId="77777777" w:rsidR="003F7020" w:rsidRDefault="003F7020" w:rsidP="003F7020">
      <w:pPr>
        <w:spacing w:after="0" w:line="240" w:lineRule="auto"/>
        <w:jc w:val="both"/>
        <w:rPr>
          <w:rFonts w:ascii="Times New Roman" w:hAnsi="Times New Roman" w:cs="Times New Roman"/>
          <w:b/>
          <w:sz w:val="28"/>
          <w:szCs w:val="28"/>
          <w14:ligatures w14:val="none"/>
        </w:rPr>
      </w:pPr>
    </w:p>
    <w:p w14:paraId="21914447" w14:textId="1F1FF5E0" w:rsidR="00987EF5" w:rsidRDefault="00987EF5" w:rsidP="00987EF5">
      <w:pPr>
        <w:spacing w:after="0" w:line="240" w:lineRule="auto"/>
        <w:ind w:firstLine="708"/>
        <w:jc w:val="both"/>
        <w:rPr>
          <w:rFonts w:ascii="Times New Roman" w:hAnsi="Times New Roman" w:cs="Times New Roman"/>
          <w:bCs/>
          <w:sz w:val="28"/>
          <w:szCs w:val="28"/>
          <w14:ligatures w14:val="none"/>
        </w:rPr>
      </w:pPr>
      <w:proofErr w:type="spellStart"/>
      <w:r w:rsidRPr="00987EF5">
        <w:rPr>
          <w:rFonts w:ascii="Times New Roman" w:hAnsi="Times New Roman" w:cs="Times New Roman"/>
          <w:bCs/>
          <w:sz w:val="28"/>
          <w:szCs w:val="28"/>
          <w14:ligatures w14:val="none"/>
        </w:rPr>
        <w:t>Жүргізілген</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мемлекеттік</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аудитпен</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мемлекеттік</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органдар</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жер</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қойнауын</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пайдалану</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құқығын</w:t>
      </w:r>
      <w:proofErr w:type="spellEnd"/>
      <w:r w:rsidRPr="00987EF5">
        <w:rPr>
          <w:rFonts w:ascii="Times New Roman" w:hAnsi="Times New Roman" w:cs="Times New Roman"/>
          <w:bCs/>
          <w:sz w:val="28"/>
          <w:szCs w:val="28"/>
          <w14:ligatures w14:val="none"/>
        </w:rPr>
        <w:t xml:space="preserve"> беру </w:t>
      </w:r>
      <w:proofErr w:type="spellStart"/>
      <w:r w:rsidRPr="00987EF5">
        <w:rPr>
          <w:rFonts w:ascii="Times New Roman" w:hAnsi="Times New Roman" w:cs="Times New Roman"/>
          <w:bCs/>
          <w:sz w:val="28"/>
          <w:szCs w:val="28"/>
          <w14:ligatures w14:val="none"/>
        </w:rPr>
        <w:t>бойынша</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жүктелген</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өкілеттіктердің</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орындалуын</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қамтамасыз</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ететіні</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өтініштерді</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қараудың</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заңнамада</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белгіленген</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рәсімдері</w:t>
      </w:r>
      <w:proofErr w:type="spellEnd"/>
      <w:r w:rsidRPr="00987EF5">
        <w:rPr>
          <w:rFonts w:ascii="Times New Roman" w:hAnsi="Times New Roman" w:cs="Times New Roman"/>
          <w:bCs/>
          <w:sz w:val="28"/>
          <w:szCs w:val="28"/>
          <w14:ligatures w14:val="none"/>
        </w:rPr>
        <w:t xml:space="preserve"> мен </w:t>
      </w:r>
      <w:proofErr w:type="spellStart"/>
      <w:r w:rsidRPr="00987EF5">
        <w:rPr>
          <w:rFonts w:ascii="Times New Roman" w:hAnsi="Times New Roman" w:cs="Times New Roman"/>
          <w:bCs/>
          <w:sz w:val="28"/>
          <w:szCs w:val="28"/>
          <w14:ligatures w14:val="none"/>
        </w:rPr>
        <w:t>мерзімдері</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сақталатыны</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нәтижелер</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бойынша</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өтініштерді</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қарау</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мерзімдерінің</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бұзылуы</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және</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негізсіз</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шешімдер</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қабылдануы</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анықтал</w:t>
      </w:r>
      <w:proofErr w:type="spellEnd"/>
      <w:r>
        <w:rPr>
          <w:rFonts w:ascii="Times New Roman" w:hAnsi="Times New Roman" w:cs="Times New Roman"/>
          <w:bCs/>
          <w:sz w:val="28"/>
          <w:szCs w:val="28"/>
          <w:lang w:val="kk-KZ"/>
          <w14:ligatures w14:val="none"/>
        </w:rPr>
        <w:t>ған жоқ</w:t>
      </w:r>
      <w:r w:rsidRPr="00987EF5">
        <w:rPr>
          <w:rFonts w:ascii="Times New Roman" w:hAnsi="Times New Roman" w:cs="Times New Roman"/>
          <w:bCs/>
          <w:sz w:val="28"/>
          <w:szCs w:val="28"/>
          <w14:ligatures w14:val="none"/>
        </w:rPr>
        <w:t>.</w:t>
      </w:r>
    </w:p>
    <w:p w14:paraId="537002D1" w14:textId="1D1B97C8" w:rsidR="00987EF5" w:rsidRDefault="00987EF5" w:rsidP="00987EF5">
      <w:pPr>
        <w:spacing w:after="0" w:line="240" w:lineRule="auto"/>
        <w:ind w:firstLine="708"/>
        <w:jc w:val="both"/>
        <w:rPr>
          <w:rFonts w:ascii="Times New Roman" w:hAnsi="Times New Roman" w:cs="Times New Roman"/>
          <w:bCs/>
          <w:sz w:val="28"/>
          <w:szCs w:val="28"/>
          <w:lang w:val="kk-KZ"/>
          <w14:ligatures w14:val="none"/>
        </w:rPr>
      </w:pPr>
      <w:proofErr w:type="spellStart"/>
      <w:r w:rsidRPr="00987EF5">
        <w:rPr>
          <w:rFonts w:ascii="Times New Roman" w:hAnsi="Times New Roman" w:cs="Times New Roman"/>
          <w:bCs/>
          <w:sz w:val="28"/>
          <w:szCs w:val="28"/>
          <w14:ligatures w14:val="none"/>
        </w:rPr>
        <w:t>Сонымен</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қатар</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жер</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қойнауын</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пайдалану</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құқығын</w:t>
      </w:r>
      <w:proofErr w:type="spellEnd"/>
      <w:r w:rsidRPr="00987EF5">
        <w:rPr>
          <w:rFonts w:ascii="Times New Roman" w:hAnsi="Times New Roman" w:cs="Times New Roman"/>
          <w:bCs/>
          <w:sz w:val="28"/>
          <w:szCs w:val="28"/>
          <w14:ligatures w14:val="none"/>
        </w:rPr>
        <w:t xml:space="preserve"> беру </w:t>
      </w:r>
      <w:proofErr w:type="spellStart"/>
      <w:r w:rsidRPr="00987EF5">
        <w:rPr>
          <w:rFonts w:ascii="Times New Roman" w:hAnsi="Times New Roman" w:cs="Times New Roman"/>
          <w:bCs/>
          <w:sz w:val="28"/>
          <w:szCs w:val="28"/>
          <w14:ligatures w14:val="none"/>
        </w:rPr>
        <w:t>процестерін</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жеткіліксіз</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цифрландыру</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барланған</w:t>
      </w:r>
      <w:proofErr w:type="spellEnd"/>
      <w:r w:rsidRPr="00987EF5">
        <w:rPr>
          <w:rFonts w:ascii="Times New Roman" w:hAnsi="Times New Roman" w:cs="Times New Roman"/>
          <w:bCs/>
          <w:sz w:val="28"/>
          <w:szCs w:val="28"/>
          <w14:ligatures w14:val="none"/>
        </w:rPr>
        <w:t xml:space="preserve"> кен </w:t>
      </w:r>
      <w:proofErr w:type="spellStart"/>
      <w:r w:rsidRPr="00987EF5">
        <w:rPr>
          <w:rFonts w:ascii="Times New Roman" w:hAnsi="Times New Roman" w:cs="Times New Roman"/>
          <w:bCs/>
          <w:sz w:val="28"/>
          <w:szCs w:val="28"/>
          <w14:ligatures w14:val="none"/>
        </w:rPr>
        <w:t>орындарын</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шаруашылық</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айналымға</w:t>
      </w:r>
      <w:proofErr w:type="spellEnd"/>
      <w:r w:rsidRPr="00987EF5">
        <w:rPr>
          <w:rFonts w:ascii="Times New Roman" w:hAnsi="Times New Roman" w:cs="Times New Roman"/>
          <w:bCs/>
          <w:sz w:val="28"/>
          <w:szCs w:val="28"/>
          <w14:ligatures w14:val="none"/>
        </w:rPr>
        <w:t xml:space="preserve"> тарту </w:t>
      </w:r>
      <w:proofErr w:type="spellStart"/>
      <w:r w:rsidRPr="00987EF5">
        <w:rPr>
          <w:rFonts w:ascii="Times New Roman" w:hAnsi="Times New Roman" w:cs="Times New Roman"/>
          <w:bCs/>
          <w:sz w:val="28"/>
          <w:szCs w:val="28"/>
          <w14:ligatures w14:val="none"/>
        </w:rPr>
        <w:t>деңгейінің</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төмендігі</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берілген</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жер</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қойнауын</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пайдалану</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құқықтарын</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пайдалану</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тиімділігінің</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жеткіліксіздігі</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нормативтік</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реттеу</w:t>
      </w:r>
      <w:proofErr w:type="spellEnd"/>
      <w:r w:rsidRPr="00987EF5">
        <w:rPr>
          <w:rFonts w:ascii="Times New Roman" w:hAnsi="Times New Roman" w:cs="Times New Roman"/>
          <w:bCs/>
          <w:sz w:val="28"/>
          <w:szCs w:val="28"/>
          <w14:ligatures w14:val="none"/>
        </w:rPr>
        <w:t xml:space="preserve"> мен </w:t>
      </w:r>
      <w:proofErr w:type="spellStart"/>
      <w:r w:rsidRPr="00987EF5">
        <w:rPr>
          <w:rFonts w:ascii="Times New Roman" w:hAnsi="Times New Roman" w:cs="Times New Roman"/>
          <w:bCs/>
          <w:sz w:val="28"/>
          <w:szCs w:val="28"/>
          <w14:ligatures w14:val="none"/>
        </w:rPr>
        <w:t>бақылау</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қызметін</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ұйымдастырудың</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жекелеген</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кемшіліктерінің</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болуы</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сондай-ақ</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жер</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қойнауын</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пайдаланушылардың</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лицензиялық-келісімшарттық</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міндеттемелерін</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бұзуды</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тұрақты</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төмендетудің</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болмауы</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салдарынан</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қызметтің</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тиімділігі</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төмендеген</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Көрсетілген</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мән-жайлар</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пайдаланылған</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ресурстарды</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ескере</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отырып</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жоспарланған</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нәтижелерге</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толық</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қол</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жеткізілмегенін</w:t>
      </w:r>
      <w:proofErr w:type="spellEnd"/>
      <w:r w:rsidRPr="00987EF5">
        <w:rPr>
          <w:rFonts w:ascii="Times New Roman" w:hAnsi="Times New Roman" w:cs="Times New Roman"/>
          <w:bCs/>
          <w:sz w:val="28"/>
          <w:szCs w:val="28"/>
          <w14:ligatures w14:val="none"/>
        </w:rPr>
        <w:t xml:space="preserve"> </w:t>
      </w:r>
      <w:proofErr w:type="spellStart"/>
      <w:r w:rsidRPr="00987EF5">
        <w:rPr>
          <w:rFonts w:ascii="Times New Roman" w:hAnsi="Times New Roman" w:cs="Times New Roman"/>
          <w:bCs/>
          <w:sz w:val="28"/>
          <w:szCs w:val="28"/>
          <w14:ligatures w14:val="none"/>
        </w:rPr>
        <w:t>көрсетеді</w:t>
      </w:r>
      <w:proofErr w:type="spellEnd"/>
      <w:r w:rsidRPr="00987EF5">
        <w:rPr>
          <w:rFonts w:ascii="Times New Roman" w:hAnsi="Times New Roman" w:cs="Times New Roman"/>
          <w:bCs/>
          <w:sz w:val="28"/>
          <w:szCs w:val="28"/>
          <w14:ligatures w14:val="none"/>
        </w:rPr>
        <w:t>.</w:t>
      </w:r>
    </w:p>
    <w:p w14:paraId="32476920" w14:textId="658B9DA7" w:rsidR="00987EF5" w:rsidRDefault="00987EF5" w:rsidP="00987EF5">
      <w:pPr>
        <w:spacing w:after="0" w:line="240" w:lineRule="auto"/>
        <w:ind w:firstLine="708"/>
        <w:jc w:val="both"/>
        <w:rPr>
          <w:rFonts w:ascii="Times New Roman" w:hAnsi="Times New Roman" w:cs="Times New Roman"/>
          <w:bCs/>
          <w:sz w:val="28"/>
          <w:szCs w:val="28"/>
          <w:lang w:val="kk-KZ"/>
          <w14:ligatures w14:val="none"/>
        </w:rPr>
      </w:pPr>
      <w:r w:rsidRPr="00987EF5">
        <w:rPr>
          <w:rFonts w:ascii="Times New Roman" w:hAnsi="Times New Roman" w:cs="Times New Roman"/>
          <w:bCs/>
          <w:sz w:val="28"/>
          <w:szCs w:val="28"/>
          <w:lang w:val="kk-KZ"/>
          <w14:ligatures w14:val="none"/>
        </w:rPr>
        <w:t>Барланған 265 кен орнының 38-і (14,3%) игерілуде, кен орындарының 85,7 пайызы әлі де игерілмеген.</w:t>
      </w:r>
    </w:p>
    <w:p w14:paraId="085C29E2" w14:textId="28BD05A7" w:rsidR="00987EF5" w:rsidRDefault="00987EF5" w:rsidP="00987EF5">
      <w:pPr>
        <w:spacing w:after="0" w:line="240" w:lineRule="auto"/>
        <w:ind w:firstLine="708"/>
        <w:jc w:val="both"/>
        <w:rPr>
          <w:rFonts w:ascii="Times New Roman" w:hAnsi="Times New Roman" w:cs="Times New Roman"/>
          <w:bCs/>
          <w:sz w:val="28"/>
          <w:szCs w:val="28"/>
          <w:lang w:val="kk-KZ"/>
          <w14:ligatures w14:val="none"/>
        </w:rPr>
      </w:pPr>
      <w:r w:rsidRPr="00987EF5">
        <w:rPr>
          <w:rFonts w:ascii="Times New Roman" w:hAnsi="Times New Roman" w:cs="Times New Roman"/>
          <w:bCs/>
          <w:sz w:val="28"/>
          <w:szCs w:val="28"/>
          <w:lang w:val="kk-KZ"/>
          <w14:ligatures w14:val="none"/>
        </w:rPr>
        <w:t>Берілген жер қойнауын пайдалану құқықтарын пайдалану деңгейі төмен болып қалуда: барланған қорлардың тонналық мәнде 1,12% және көлемдік мәнде 3,01% игерілді, жекелеген кен орындары бойынша игеру деңгейі 0,2%-дан аспайды. Кен іздеушілікке берілген учаскелер бойынша тексерілетін кезеңде бағалы металдарды өндіру жүзеге асырылмаған, бұл берілген жер қойнауын пайдалану құқықтарының бір бөлігінің олардың мақсаты бойынша іс жүзінде пайдаланылмағанын көрсетеді.</w:t>
      </w:r>
    </w:p>
    <w:p w14:paraId="5676F0DC" w14:textId="4130452A" w:rsidR="00987EF5" w:rsidRDefault="00987EF5" w:rsidP="00987EF5">
      <w:pPr>
        <w:spacing w:after="0" w:line="240" w:lineRule="auto"/>
        <w:ind w:firstLine="708"/>
        <w:jc w:val="both"/>
        <w:rPr>
          <w:rFonts w:ascii="Times New Roman" w:hAnsi="Times New Roman" w:cs="Times New Roman"/>
          <w:bCs/>
          <w:sz w:val="28"/>
          <w:szCs w:val="28"/>
          <w:lang w:val="kk-KZ"/>
          <w14:ligatures w14:val="none"/>
        </w:rPr>
      </w:pPr>
      <w:r w:rsidRPr="00987EF5">
        <w:rPr>
          <w:rFonts w:ascii="Times New Roman" w:hAnsi="Times New Roman" w:cs="Times New Roman"/>
          <w:bCs/>
          <w:sz w:val="28"/>
          <w:szCs w:val="28"/>
          <w:lang w:val="kk-KZ"/>
          <w14:ligatures w14:val="none"/>
        </w:rPr>
        <w:t>2023-2025 жылдары берілген 8 лицензияның ішінде тек 3 жер қойнауын пайдаланушы (37,5%) өндіруді бастады, екі лицензия міндеттемелерді орындамауына байланысты тоқтатылды, лицензиаттардың бір бөлігі игеруге кіріспеді.</w:t>
      </w:r>
    </w:p>
    <w:p w14:paraId="14EABB92" w14:textId="1B90133E" w:rsidR="00987EF5" w:rsidRDefault="00987EF5" w:rsidP="00987EF5">
      <w:pPr>
        <w:spacing w:after="0" w:line="240" w:lineRule="auto"/>
        <w:ind w:firstLine="708"/>
        <w:jc w:val="both"/>
        <w:rPr>
          <w:rFonts w:ascii="Times New Roman" w:hAnsi="Times New Roman" w:cs="Times New Roman"/>
          <w:bCs/>
          <w:sz w:val="28"/>
          <w:szCs w:val="28"/>
          <w:lang w:val="kk-KZ"/>
          <w14:ligatures w14:val="none"/>
        </w:rPr>
      </w:pPr>
      <w:r w:rsidRPr="00987EF5">
        <w:rPr>
          <w:rFonts w:ascii="Times New Roman" w:hAnsi="Times New Roman" w:cs="Times New Roman"/>
          <w:bCs/>
          <w:sz w:val="28"/>
          <w:szCs w:val="28"/>
          <w:lang w:val="kk-KZ"/>
          <w14:ligatures w14:val="none"/>
        </w:rPr>
        <w:t>Өндіру жоспары заттай мәнде 67,7%, көлемдік мәнде 74,2% орындалды. Ең елеулі артта қалу әктастар, кірпіш шикізаты және құрылыс тастары бойынша байқалды.</w:t>
      </w:r>
    </w:p>
    <w:p w14:paraId="6493864B" w14:textId="2ADC30AF" w:rsidR="00987EF5" w:rsidRDefault="00987EF5" w:rsidP="00987EF5">
      <w:pPr>
        <w:spacing w:after="0" w:line="240" w:lineRule="auto"/>
        <w:ind w:firstLine="708"/>
        <w:jc w:val="both"/>
        <w:rPr>
          <w:rFonts w:ascii="Times New Roman" w:hAnsi="Times New Roman" w:cs="Times New Roman"/>
          <w:bCs/>
          <w:sz w:val="28"/>
          <w:szCs w:val="28"/>
          <w:lang w:val="kk-KZ"/>
          <w14:ligatures w14:val="none"/>
        </w:rPr>
      </w:pPr>
      <w:r w:rsidRPr="00987EF5">
        <w:rPr>
          <w:rFonts w:ascii="Times New Roman" w:hAnsi="Times New Roman" w:cs="Times New Roman"/>
          <w:bCs/>
          <w:sz w:val="28"/>
          <w:szCs w:val="28"/>
          <w:lang w:val="kk-KZ"/>
          <w14:ligatures w14:val="none"/>
        </w:rPr>
        <w:t>Заңнамада Minerals.gov.kz платформасы арқылы лицензияларды берудің электрондық тәртібі қарастырылғанына қарамастан, пайдалы қазбаларды өндіруге өтініштер іс жүзінде платформаның шектеулі функционалының салдарынан қағаз түрінде қабылданды және қаралды.</w:t>
      </w:r>
    </w:p>
    <w:p w14:paraId="4A3059AA" w14:textId="211D83D2" w:rsidR="00987EF5" w:rsidRDefault="00987EF5" w:rsidP="00987EF5">
      <w:pPr>
        <w:spacing w:after="0" w:line="240" w:lineRule="auto"/>
        <w:ind w:firstLine="708"/>
        <w:jc w:val="both"/>
        <w:rPr>
          <w:rFonts w:ascii="Times New Roman" w:hAnsi="Times New Roman" w:cs="Times New Roman"/>
          <w:bCs/>
          <w:sz w:val="28"/>
          <w:szCs w:val="28"/>
          <w:lang w:val="kk-KZ"/>
          <w14:ligatures w14:val="none"/>
        </w:rPr>
      </w:pPr>
      <w:r w:rsidRPr="00987EF5">
        <w:rPr>
          <w:rFonts w:ascii="Times New Roman" w:hAnsi="Times New Roman" w:cs="Times New Roman"/>
          <w:bCs/>
          <w:sz w:val="28"/>
          <w:szCs w:val="28"/>
          <w:lang w:val="kk-KZ"/>
          <w14:ligatures w14:val="none"/>
        </w:rPr>
        <w:t>Ашық қолжетімділікте орналастырылған жер қойнауы учаскелерінің тізбесі пайдалы қазбалар, қорлар және зерделену дәрежесі туралы толық ақпаратты қамтымайды, бұл әлеуетті жер қойнауын пайдаланушылар үшін ақпараттың қолжетімділігін шектейді.</w:t>
      </w:r>
    </w:p>
    <w:p w14:paraId="0F74EB23" w14:textId="4EACECD1" w:rsidR="00987EF5" w:rsidRDefault="00987EF5" w:rsidP="00987EF5">
      <w:pPr>
        <w:spacing w:after="0" w:line="240" w:lineRule="auto"/>
        <w:ind w:firstLine="708"/>
        <w:jc w:val="both"/>
        <w:rPr>
          <w:rFonts w:ascii="Times New Roman" w:hAnsi="Times New Roman" w:cs="Times New Roman"/>
          <w:bCs/>
          <w:sz w:val="28"/>
          <w:szCs w:val="28"/>
          <w:lang w:val="kk-KZ"/>
          <w14:ligatures w14:val="none"/>
        </w:rPr>
      </w:pPr>
      <w:r w:rsidRPr="00987EF5">
        <w:rPr>
          <w:rFonts w:ascii="Times New Roman" w:hAnsi="Times New Roman" w:cs="Times New Roman"/>
          <w:bCs/>
          <w:sz w:val="28"/>
          <w:szCs w:val="28"/>
          <w:lang w:val="kk-KZ"/>
          <w14:ligatures w14:val="none"/>
        </w:rPr>
        <w:lastRenderedPageBreak/>
        <w:t>Қолданыстағы нормативтік құқықтық реттеу бақылау өкілеттіктерін толық, уақтылы және нәтижелі іске асыру үшін жеткілікті құқықтық негізді қамтамасыз етпейді. Талдау кең таралған пайдалы қазбаларды өндіру және кен іздеушілік жөніндегі операцияларды жүргізуге мемлекеттік бақылауды жүзеге асыру тәртібінің болмауынан, жекелеген бақылау өкілеттіктерінің қиылысуынан, мониторинг пен бақылау іс-шараларын жүргізудің нормативтік белгіленген мерзімдерінің болмауынан, сондай-ақ жер қойнауын пайдаланушылардың есептілігімен бір мезгілде растайтын құжаттарды ұсыну туралы талаптың болмауынан көрінетін нормативтік құқықтық актілерде олқылықтар мен келіспеушіліктердің бар екенін көрсетті. Аталған кемшіліктер заңнамада көзделген бақылау функцияларын іске асыруды шектейді, бұзушылықтарды уақтылы анықтауды қамтамасыз етпейді, мемлекеттік ден қою шараларын қолдану жеделдігін төмендетеді және жер қойнауын пайдалану саласындағы мемлекеттік бақылаудың тиімділігіне теріс әсер етеді.</w:t>
      </w:r>
    </w:p>
    <w:p w14:paraId="0EEF00FA" w14:textId="7358EEA4" w:rsidR="00987EF5" w:rsidRDefault="00987EF5" w:rsidP="00987EF5">
      <w:pPr>
        <w:spacing w:after="0" w:line="240" w:lineRule="auto"/>
        <w:ind w:firstLine="708"/>
        <w:jc w:val="both"/>
        <w:rPr>
          <w:rFonts w:ascii="Times New Roman" w:hAnsi="Times New Roman" w:cs="Times New Roman"/>
          <w:bCs/>
          <w:sz w:val="28"/>
          <w:szCs w:val="28"/>
          <w:lang w:val="kk-KZ"/>
          <w14:ligatures w14:val="none"/>
        </w:rPr>
      </w:pPr>
      <w:r w:rsidRPr="00987EF5">
        <w:rPr>
          <w:rFonts w:ascii="Times New Roman" w:hAnsi="Times New Roman" w:cs="Times New Roman"/>
          <w:bCs/>
          <w:sz w:val="28"/>
          <w:szCs w:val="28"/>
          <w:lang w:val="kk-KZ"/>
          <w14:ligatures w14:val="none"/>
        </w:rPr>
        <w:t>"Жер қойнауын пайдаланудың бірыңғай платформасы" ақпараттық жүйесін енгізу бақылау процесінің жекелеген кезеңдерін, оның ішінде жыл сайынғы есептілікті қабылдауды, лицензиялық-келісімшарттық міндеттемелердің орындалуына мониторинг жүргізуді және есептілікті талдау нәтижелері бойынша хабарламаларды автоматты түрде қалыптастыруды автоматтандыруды қамтамасыз етті. Сонымен қатар, бақылау қызметін автоматтандыру толық көлемде жүзеге асырылмаған. БПН-да жіберілген хабарламалардың орындалу мерзімдерін автоматтандырылған бақылау функционалы, сондай-ақ көшпелі бақылау іс-шараларының нәтижелері бойынша хабарламаларды қалыптастыру және жіберу мүмкіндігі жоқ. Осының салдарынан хабарламалардың орындалуын есепке алу және оларды орындау мерзімдерінің сақталуын бақылау қолмен жүзеге асырылады, бұл ден қою шараларын уақтылы қолданбау, адами факторға байланысты қателердің туындау қаупін арттырады және бақылау процесінің барлық кезеңдерінде автоматтандырылған бақылаудың үздіксіздігін қамтамасыз етпейді.</w:t>
      </w:r>
    </w:p>
    <w:p w14:paraId="558DF671" w14:textId="4FD5FF8E" w:rsidR="00987EF5" w:rsidRDefault="00987EF5" w:rsidP="00987EF5">
      <w:pPr>
        <w:spacing w:after="0" w:line="240" w:lineRule="auto"/>
        <w:ind w:firstLine="708"/>
        <w:jc w:val="both"/>
        <w:rPr>
          <w:rFonts w:ascii="Times New Roman" w:hAnsi="Times New Roman" w:cs="Times New Roman"/>
          <w:bCs/>
          <w:sz w:val="28"/>
          <w:szCs w:val="28"/>
          <w:lang w:val="kk-KZ"/>
          <w14:ligatures w14:val="none"/>
        </w:rPr>
      </w:pPr>
      <w:r w:rsidRPr="00987EF5">
        <w:rPr>
          <w:rFonts w:ascii="Times New Roman" w:hAnsi="Times New Roman" w:cs="Times New Roman"/>
          <w:bCs/>
          <w:sz w:val="28"/>
          <w:szCs w:val="28"/>
          <w:lang w:val="kk-KZ"/>
          <w14:ligatures w14:val="none"/>
        </w:rPr>
        <w:t>Жер қойнауын пайдаланушылар тарапынан бұзушылықтардың жоғары деңгейі сақталуда, бұл қайта бұзушылықтардың алдын алуға бағытталған профилактикалық жұмысты күшейтуді талап етеді. Келісімшарттық (лицензиялық) міндеттемелерді бұзуға жол берген жер қойнауын пайдаланушылардың саны 2022 жылдың қорытындысы бойынша 23-тен 2024 жылдың қорытындысы бойынша 32-ге дейін немесе 39,1%-ға өсті. Анықталған бұзушылықтар саны 2024 жылы төмендегеннен кейін 2025 жылы 37-ден 80-ге дейін өсті (өсім 2,2 есе). Қаржылық міндеттемелерді орындауға, тау-кен жұмыстарын жүргізуге, инвестициялық міндеттемелерді орындауға және анық емес есептілікті ұсынуға байланысты ең көп таралған бұзушылықтардың қайталануы сақталуда.</w:t>
      </w:r>
    </w:p>
    <w:p w14:paraId="75387530" w14:textId="60D0764C" w:rsidR="00987EF5" w:rsidRDefault="00987EF5" w:rsidP="00987EF5">
      <w:pPr>
        <w:spacing w:after="0" w:line="240" w:lineRule="auto"/>
        <w:ind w:firstLine="708"/>
        <w:jc w:val="both"/>
        <w:rPr>
          <w:rFonts w:ascii="Times New Roman" w:hAnsi="Times New Roman" w:cs="Times New Roman"/>
          <w:bCs/>
          <w:sz w:val="28"/>
          <w:szCs w:val="28"/>
          <w:lang w:val="kk-KZ"/>
          <w14:ligatures w14:val="none"/>
        </w:rPr>
      </w:pPr>
      <w:r w:rsidRPr="00987EF5">
        <w:rPr>
          <w:rFonts w:ascii="Times New Roman" w:hAnsi="Times New Roman" w:cs="Times New Roman"/>
          <w:bCs/>
          <w:sz w:val="28"/>
          <w:szCs w:val="28"/>
          <w:lang w:val="kk-KZ"/>
          <w14:ligatures w14:val="none"/>
        </w:rPr>
        <w:t>Жер қойнауын пайдаланушылар хабарлама талаптарының үштен екісінен астамын (67,8%) орындағанына қарамастан, әрбір үшінші хабарлама бұзушылықтарды толық жоюға әкелмеген (орындалмаған, ішінара орындалған немесе орындау мерзімі ұзартылған).</w:t>
      </w:r>
    </w:p>
    <w:p w14:paraId="031AC18E" w14:textId="082ACD47" w:rsidR="00987EF5" w:rsidRDefault="00987EF5" w:rsidP="00987EF5">
      <w:pPr>
        <w:spacing w:after="0" w:line="240" w:lineRule="auto"/>
        <w:ind w:firstLine="708"/>
        <w:jc w:val="both"/>
        <w:rPr>
          <w:rFonts w:ascii="Times New Roman" w:hAnsi="Times New Roman" w:cs="Times New Roman"/>
          <w:bCs/>
          <w:sz w:val="28"/>
          <w:szCs w:val="28"/>
          <w:lang w:val="kk-KZ"/>
          <w14:ligatures w14:val="none"/>
        </w:rPr>
      </w:pPr>
      <w:r w:rsidRPr="00987EF5">
        <w:rPr>
          <w:rFonts w:ascii="Times New Roman" w:hAnsi="Times New Roman" w:cs="Times New Roman"/>
          <w:bCs/>
          <w:sz w:val="28"/>
          <w:szCs w:val="28"/>
          <w:lang w:val="kk-KZ"/>
          <w14:ligatures w14:val="none"/>
        </w:rPr>
        <w:lastRenderedPageBreak/>
        <w:t>Мемлекеттік аудит тұтастай алғанда жер қойнауын пайдалану құқығын беру бюджетке кірістердің түсуін және жер қойнауын пайдаланушылардың қаржылық міндеттемелерінің басым бөлігінің орындалуын қамтамасыз ететінін анықтады. Сонымен қатар, жекелеген келісімшарттық міндеттемелер толық көлемде орындалмай отыр, қаржылық міндеттемелердің орындалуын мониторингтеу мен бюджет түсімдерін жоспарлауда кемшіліктер бар, ал жекелеген келісімшарттар бойынша берілген жер қойнауын пайдалану құқығы көзделген бюджеттік және әлеуметтік-экономикалық тиімділікке қол жеткізуді қамтамасыз етпеді.</w:t>
      </w:r>
    </w:p>
    <w:p w14:paraId="5E86E336" w14:textId="3AACEDF1" w:rsidR="00987EF5" w:rsidRDefault="00987EF5" w:rsidP="00987EF5">
      <w:pPr>
        <w:spacing w:after="0" w:line="240" w:lineRule="auto"/>
        <w:ind w:firstLine="708"/>
        <w:jc w:val="both"/>
        <w:rPr>
          <w:rFonts w:ascii="Times New Roman" w:hAnsi="Times New Roman" w:cs="Times New Roman"/>
          <w:bCs/>
          <w:sz w:val="28"/>
          <w:szCs w:val="28"/>
          <w:lang w:val="kk-KZ"/>
          <w14:ligatures w14:val="none"/>
        </w:rPr>
      </w:pPr>
      <w:r w:rsidRPr="00987EF5">
        <w:rPr>
          <w:rFonts w:ascii="Times New Roman" w:hAnsi="Times New Roman" w:cs="Times New Roman"/>
          <w:bCs/>
          <w:sz w:val="28"/>
          <w:szCs w:val="28"/>
          <w:lang w:val="kk-KZ"/>
          <w14:ligatures w14:val="none"/>
        </w:rPr>
        <w:t>2023-2025 жылдары нақты салық түсімдері 1 376,1 млн теңгені немесе келісімшарттарда көзделген міндеттемелердің 155,8%-ын (883,4 млн теңге) құрады, бұл жоспарлы көрсеткіштердің асыра орындалғанын көрсетеді.</w:t>
      </w:r>
    </w:p>
    <w:p w14:paraId="04F96366" w14:textId="77777777" w:rsidR="00987EF5" w:rsidRPr="00987EF5" w:rsidRDefault="00987EF5" w:rsidP="00987EF5">
      <w:pPr>
        <w:spacing w:after="0" w:line="240" w:lineRule="auto"/>
        <w:ind w:firstLine="708"/>
        <w:jc w:val="both"/>
        <w:rPr>
          <w:rFonts w:ascii="Times New Roman" w:hAnsi="Times New Roman" w:cs="Times New Roman"/>
          <w:bCs/>
          <w:sz w:val="28"/>
          <w:szCs w:val="28"/>
          <w:lang w:val="kk-KZ"/>
          <w14:ligatures w14:val="none"/>
        </w:rPr>
      </w:pPr>
      <w:r w:rsidRPr="00987EF5">
        <w:rPr>
          <w:rFonts w:ascii="Times New Roman" w:hAnsi="Times New Roman" w:cs="Times New Roman"/>
          <w:bCs/>
          <w:sz w:val="28"/>
          <w:szCs w:val="28"/>
          <w:lang w:val="kk-KZ"/>
          <w14:ligatures w14:val="none"/>
        </w:rPr>
        <w:t>Алайда, келісімшарттар жиынтығы бойынша салықтық міндеттемелерді жалпы асыра орындау кезінде жекелеген келісімшарттар бойынша жоспарлы салықтық түсімдерге айтарлықтай қол жеткізбеудің жекелеген жағдайлары сақталуда:</w:t>
      </w:r>
    </w:p>
    <w:p w14:paraId="6E66FE51" w14:textId="77777777" w:rsidR="00987EF5" w:rsidRPr="00987EF5" w:rsidRDefault="00987EF5" w:rsidP="00987EF5">
      <w:pPr>
        <w:spacing w:after="0" w:line="240" w:lineRule="auto"/>
        <w:ind w:firstLine="708"/>
        <w:jc w:val="both"/>
        <w:rPr>
          <w:rFonts w:ascii="Times New Roman" w:hAnsi="Times New Roman" w:cs="Times New Roman"/>
          <w:bCs/>
          <w:sz w:val="28"/>
          <w:szCs w:val="28"/>
          <w:lang w:val="kk-KZ"/>
          <w14:ligatures w14:val="none"/>
        </w:rPr>
      </w:pPr>
      <w:r w:rsidRPr="00987EF5">
        <w:rPr>
          <w:rFonts w:ascii="Times New Roman" w:hAnsi="Times New Roman" w:cs="Times New Roman"/>
          <w:bCs/>
          <w:sz w:val="28"/>
          <w:szCs w:val="28"/>
          <w:lang w:val="kk-KZ"/>
          <w14:ligatures w14:val="none"/>
        </w:rPr>
        <w:t>- 2023 жылы - 29,9%-дан 88,0%-ға дейін;</w:t>
      </w:r>
    </w:p>
    <w:p w14:paraId="00376776" w14:textId="77777777" w:rsidR="00987EF5" w:rsidRPr="00987EF5" w:rsidRDefault="00987EF5" w:rsidP="00987EF5">
      <w:pPr>
        <w:spacing w:after="0" w:line="240" w:lineRule="auto"/>
        <w:ind w:firstLine="708"/>
        <w:jc w:val="both"/>
        <w:rPr>
          <w:rFonts w:ascii="Times New Roman" w:hAnsi="Times New Roman" w:cs="Times New Roman"/>
          <w:bCs/>
          <w:sz w:val="28"/>
          <w:szCs w:val="28"/>
          <w:lang w:val="kk-KZ"/>
          <w14:ligatures w14:val="none"/>
        </w:rPr>
      </w:pPr>
      <w:r w:rsidRPr="00987EF5">
        <w:rPr>
          <w:rFonts w:ascii="Times New Roman" w:hAnsi="Times New Roman" w:cs="Times New Roman"/>
          <w:bCs/>
          <w:sz w:val="28"/>
          <w:szCs w:val="28"/>
          <w:lang w:val="kk-KZ"/>
          <w14:ligatures w14:val="none"/>
        </w:rPr>
        <w:t>- 2024 жылы - 17,2%-дан 76,2%-ға дейін;</w:t>
      </w:r>
    </w:p>
    <w:p w14:paraId="6888BB0F" w14:textId="77777777" w:rsidR="00987EF5" w:rsidRPr="00987EF5" w:rsidRDefault="00987EF5" w:rsidP="00987EF5">
      <w:pPr>
        <w:spacing w:after="0" w:line="240" w:lineRule="auto"/>
        <w:ind w:firstLine="708"/>
        <w:jc w:val="both"/>
        <w:rPr>
          <w:rFonts w:ascii="Times New Roman" w:hAnsi="Times New Roman" w:cs="Times New Roman"/>
          <w:bCs/>
          <w:sz w:val="28"/>
          <w:szCs w:val="28"/>
          <w:lang w:val="kk-KZ"/>
          <w14:ligatures w14:val="none"/>
        </w:rPr>
      </w:pPr>
      <w:r w:rsidRPr="00987EF5">
        <w:rPr>
          <w:rFonts w:ascii="Times New Roman" w:hAnsi="Times New Roman" w:cs="Times New Roman"/>
          <w:bCs/>
          <w:sz w:val="28"/>
          <w:szCs w:val="28"/>
          <w:lang w:val="kk-KZ"/>
          <w14:ligatures w14:val="none"/>
        </w:rPr>
        <w:t>- 2025 жылы - 5,8%-дан 64,8%-ға дейін;</w:t>
      </w:r>
    </w:p>
    <w:p w14:paraId="607D1A32" w14:textId="77777777" w:rsidR="00987EF5" w:rsidRPr="00987EF5" w:rsidRDefault="00987EF5" w:rsidP="00987EF5">
      <w:pPr>
        <w:spacing w:after="0" w:line="240" w:lineRule="auto"/>
        <w:ind w:firstLine="708"/>
        <w:jc w:val="both"/>
        <w:rPr>
          <w:rFonts w:ascii="Times New Roman" w:hAnsi="Times New Roman" w:cs="Times New Roman"/>
          <w:bCs/>
          <w:sz w:val="28"/>
          <w:szCs w:val="28"/>
          <w:lang w:val="kk-KZ"/>
          <w14:ligatures w14:val="none"/>
        </w:rPr>
      </w:pPr>
      <w:r w:rsidRPr="00987EF5">
        <w:rPr>
          <w:rFonts w:ascii="Times New Roman" w:hAnsi="Times New Roman" w:cs="Times New Roman"/>
          <w:bCs/>
          <w:sz w:val="28"/>
          <w:szCs w:val="28"/>
          <w:lang w:val="kk-KZ"/>
          <w14:ligatures w14:val="none"/>
        </w:rPr>
        <w:t>Жер қойнауын пайдалануға арналған келісімшарттарды орындау өндірістік нәтижелер (өндіру, өткізу), қызметтің қаржылық көрсеткіштері мен бюджетке салық түсімдерінің толықтығы арасындағы тұрақты өзара байланысты қамтамасыз етуге тиіс.</w:t>
      </w:r>
    </w:p>
    <w:p w14:paraId="0FA8DA23" w14:textId="77777777" w:rsidR="00987EF5" w:rsidRPr="00987EF5" w:rsidRDefault="00987EF5" w:rsidP="00987EF5">
      <w:pPr>
        <w:spacing w:after="0" w:line="240" w:lineRule="auto"/>
        <w:ind w:firstLine="708"/>
        <w:jc w:val="both"/>
        <w:rPr>
          <w:rFonts w:ascii="Times New Roman" w:hAnsi="Times New Roman" w:cs="Times New Roman"/>
          <w:bCs/>
          <w:sz w:val="28"/>
          <w:szCs w:val="28"/>
          <w:lang w:val="kk-KZ"/>
          <w14:ligatures w14:val="none"/>
        </w:rPr>
      </w:pPr>
      <w:r w:rsidRPr="00987EF5">
        <w:rPr>
          <w:rFonts w:ascii="Times New Roman" w:hAnsi="Times New Roman" w:cs="Times New Roman"/>
          <w:bCs/>
          <w:sz w:val="28"/>
          <w:szCs w:val="28"/>
          <w:lang w:val="kk-KZ"/>
          <w14:ligatures w14:val="none"/>
        </w:rPr>
        <w:t>Аудит мұндай өзара байланыстың болмауының көптеген жағдайларын анықтады:</w:t>
      </w:r>
    </w:p>
    <w:p w14:paraId="5BC523F7" w14:textId="77777777" w:rsidR="00987EF5" w:rsidRPr="00987EF5" w:rsidRDefault="00987EF5" w:rsidP="00987EF5">
      <w:pPr>
        <w:spacing w:after="0" w:line="240" w:lineRule="auto"/>
        <w:ind w:firstLine="708"/>
        <w:jc w:val="both"/>
        <w:rPr>
          <w:rFonts w:ascii="Times New Roman" w:hAnsi="Times New Roman" w:cs="Times New Roman"/>
          <w:bCs/>
          <w:sz w:val="28"/>
          <w:szCs w:val="28"/>
          <w:lang w:val="kk-KZ"/>
          <w14:ligatures w14:val="none"/>
        </w:rPr>
      </w:pPr>
      <w:r w:rsidRPr="00987EF5">
        <w:rPr>
          <w:rFonts w:ascii="Times New Roman" w:hAnsi="Times New Roman" w:cs="Times New Roman"/>
          <w:bCs/>
          <w:sz w:val="28"/>
          <w:szCs w:val="28"/>
          <w:lang w:val="kk-KZ"/>
          <w14:ligatures w14:val="none"/>
        </w:rPr>
        <w:t>"Ресурс KST" ЖШС ("Садовое-2" кен орны) өндіру жоспарын 113,3%-ға орындап, өткізу жоспарын 74,3%-ға асырып, салық түсімін 64,8%-ға ғана қамтамасыз етті;</w:t>
      </w:r>
    </w:p>
    <w:p w14:paraId="35019DDD" w14:textId="77777777" w:rsidR="00987EF5" w:rsidRPr="00987EF5" w:rsidRDefault="00987EF5" w:rsidP="00987EF5">
      <w:pPr>
        <w:spacing w:after="0" w:line="240" w:lineRule="auto"/>
        <w:ind w:firstLine="708"/>
        <w:jc w:val="both"/>
        <w:rPr>
          <w:rFonts w:ascii="Times New Roman" w:hAnsi="Times New Roman" w:cs="Times New Roman"/>
          <w:bCs/>
          <w:sz w:val="28"/>
          <w:szCs w:val="28"/>
          <w:lang w:val="kk-KZ"/>
          <w14:ligatures w14:val="none"/>
        </w:rPr>
      </w:pPr>
      <w:r w:rsidRPr="00987EF5">
        <w:rPr>
          <w:rFonts w:ascii="Times New Roman" w:hAnsi="Times New Roman" w:cs="Times New Roman"/>
          <w:bCs/>
          <w:sz w:val="28"/>
          <w:szCs w:val="28"/>
          <w:lang w:val="kk-KZ"/>
          <w14:ligatures w14:val="none"/>
        </w:rPr>
        <w:t>"Ресурс KST" ЖШС ("Берлинское" кен орны) жоспардан 120% өндіру кезінде салық түсімін тек 56,1% қамтамасыз етті;</w:t>
      </w:r>
    </w:p>
    <w:p w14:paraId="1A11E6AD" w14:textId="77777777" w:rsidR="00987EF5" w:rsidRPr="00987EF5" w:rsidRDefault="00987EF5" w:rsidP="00987EF5">
      <w:pPr>
        <w:spacing w:after="0" w:line="240" w:lineRule="auto"/>
        <w:ind w:firstLine="708"/>
        <w:jc w:val="both"/>
        <w:rPr>
          <w:rFonts w:ascii="Times New Roman" w:hAnsi="Times New Roman" w:cs="Times New Roman"/>
          <w:bCs/>
          <w:sz w:val="28"/>
          <w:szCs w:val="28"/>
          <w:lang w:val="kk-KZ"/>
          <w14:ligatures w14:val="none"/>
        </w:rPr>
      </w:pPr>
      <w:r w:rsidRPr="00987EF5">
        <w:rPr>
          <w:rFonts w:ascii="Times New Roman" w:hAnsi="Times New Roman" w:cs="Times New Roman"/>
          <w:bCs/>
          <w:sz w:val="28"/>
          <w:szCs w:val="28"/>
          <w:lang w:val="kk-KZ"/>
          <w14:ligatures w14:val="none"/>
        </w:rPr>
        <w:t>бірқатар жер қойнауын пайдаланушылар бойынша инвестициялар жоспарлы көрсеткіштерден 1,6-30 есе асып түсті , алайда салық түсімдері небәрі 39,1-76,2% құрады .</w:t>
      </w:r>
    </w:p>
    <w:p w14:paraId="5145D2E1" w14:textId="61AA95CC" w:rsidR="00987EF5" w:rsidRDefault="00987EF5" w:rsidP="00987EF5">
      <w:pPr>
        <w:spacing w:after="0" w:line="240" w:lineRule="auto"/>
        <w:ind w:firstLine="708"/>
        <w:jc w:val="both"/>
        <w:rPr>
          <w:rFonts w:ascii="Times New Roman" w:hAnsi="Times New Roman" w:cs="Times New Roman"/>
          <w:bCs/>
          <w:sz w:val="28"/>
          <w:szCs w:val="28"/>
          <w:lang w:val="kk-KZ"/>
          <w14:ligatures w14:val="none"/>
        </w:rPr>
      </w:pPr>
      <w:r w:rsidRPr="00987EF5">
        <w:rPr>
          <w:rFonts w:ascii="Times New Roman" w:hAnsi="Times New Roman" w:cs="Times New Roman"/>
          <w:bCs/>
          <w:sz w:val="28"/>
          <w:szCs w:val="28"/>
          <w:lang w:val="kk-KZ"/>
          <w14:ligatures w14:val="none"/>
        </w:rPr>
        <w:t>Жер қойнауын пайдаланушылардың есептілігіндегі өндіру, өткізу көлемдері мен салық түсімдері арасындағы ауытқулардың себептерін түсіндірудің болмауы салықтық базаны қалыптастыру факторларын объективті бағалауға мүмкіндік бермейді.</w:t>
      </w:r>
    </w:p>
    <w:p w14:paraId="252DA6AF" w14:textId="77777777" w:rsidR="00987EF5" w:rsidRPr="00987EF5" w:rsidRDefault="00987EF5" w:rsidP="00987EF5">
      <w:pPr>
        <w:spacing w:after="0" w:line="240" w:lineRule="auto"/>
        <w:ind w:firstLine="708"/>
        <w:jc w:val="both"/>
        <w:rPr>
          <w:rFonts w:ascii="Times New Roman" w:hAnsi="Times New Roman" w:cs="Times New Roman"/>
          <w:bCs/>
          <w:sz w:val="28"/>
          <w:szCs w:val="28"/>
          <w:lang w:val="kk-KZ"/>
          <w14:ligatures w14:val="none"/>
        </w:rPr>
      </w:pPr>
      <w:r w:rsidRPr="00987EF5">
        <w:rPr>
          <w:rFonts w:ascii="Times New Roman" w:hAnsi="Times New Roman" w:cs="Times New Roman"/>
          <w:bCs/>
          <w:sz w:val="28"/>
          <w:szCs w:val="28"/>
          <w:lang w:val="kk-KZ"/>
          <w14:ligatures w14:val="none"/>
        </w:rPr>
        <w:t>Пайдалы қазбаларды өндіру мен өткізудің ұзақ уақыт бойы болмауы (мысалы, "ЖолСнаб" ЖШС, "НТС-2020" ЖШС, "ГДК Бентонит" ЖШС) салықтық түсімдердің айтарлықтай төмендеуімен (келісімшарттарда көзделген көрсеткіштерден 5,8–20,1%-ға дейін) қатар жүрді.</w:t>
      </w:r>
    </w:p>
    <w:p w14:paraId="63603E58" w14:textId="77777777" w:rsidR="00987EF5" w:rsidRPr="00987EF5" w:rsidRDefault="00987EF5" w:rsidP="00987EF5">
      <w:pPr>
        <w:spacing w:after="0" w:line="240" w:lineRule="auto"/>
        <w:ind w:firstLine="708"/>
        <w:jc w:val="both"/>
        <w:rPr>
          <w:rFonts w:ascii="Times New Roman" w:hAnsi="Times New Roman" w:cs="Times New Roman"/>
          <w:bCs/>
          <w:sz w:val="28"/>
          <w:szCs w:val="28"/>
          <w:lang w:val="kk-KZ"/>
          <w14:ligatures w14:val="none"/>
        </w:rPr>
      </w:pPr>
      <w:r w:rsidRPr="00987EF5">
        <w:rPr>
          <w:rFonts w:ascii="Times New Roman" w:hAnsi="Times New Roman" w:cs="Times New Roman"/>
          <w:bCs/>
          <w:sz w:val="28"/>
          <w:szCs w:val="28"/>
          <w:lang w:val="kk-KZ"/>
          <w14:ligatures w14:val="none"/>
        </w:rPr>
        <w:t>206114 КБК бойынша түсімдерді қалыптастырудың барлық көздері туралы толық ақпараттың болмауы негізделген болжамды көрсеткіштерді қалыптастыру және кірістер құрылымын талдау мүмкіндігін қамтамасыз етпейді.</w:t>
      </w:r>
    </w:p>
    <w:p w14:paraId="3A5B1391" w14:textId="25AE14A0" w:rsidR="00987EF5" w:rsidRDefault="00987EF5" w:rsidP="00987EF5">
      <w:pPr>
        <w:spacing w:after="0" w:line="240" w:lineRule="auto"/>
        <w:ind w:firstLine="708"/>
        <w:jc w:val="both"/>
        <w:rPr>
          <w:rFonts w:ascii="Times New Roman" w:hAnsi="Times New Roman" w:cs="Times New Roman"/>
          <w:bCs/>
          <w:sz w:val="28"/>
          <w:szCs w:val="28"/>
          <w:lang w:val="kk-KZ"/>
          <w14:ligatures w14:val="none"/>
        </w:rPr>
      </w:pPr>
      <w:r w:rsidRPr="00987EF5">
        <w:rPr>
          <w:rFonts w:ascii="Times New Roman" w:hAnsi="Times New Roman" w:cs="Times New Roman"/>
          <w:bCs/>
          <w:sz w:val="28"/>
          <w:szCs w:val="28"/>
          <w:lang w:val="kk-KZ"/>
          <w14:ligatures w14:val="none"/>
        </w:rPr>
        <w:lastRenderedPageBreak/>
        <w:t>Қол қою бонусы бойынша түсімдердің жартысынан астамы (56,9%) жер қойнауын пайдаланушылардың салықтық тіркелген жері бойынша басқа өңірлердің бюджеттеріне есепке жатқызылды, соның салдарынан Қостанай облысының облыстық бюджетінің кірістері өңірдің жер қойнауын пайдалануға қатысты толық көлемде қалыптаспайды.</w:t>
      </w:r>
    </w:p>
    <w:p w14:paraId="731FE9E0" w14:textId="4AD43704" w:rsidR="00987EF5" w:rsidRDefault="00987EF5" w:rsidP="00987EF5">
      <w:pPr>
        <w:spacing w:after="0" w:line="240" w:lineRule="auto"/>
        <w:ind w:firstLine="708"/>
        <w:jc w:val="both"/>
        <w:rPr>
          <w:rFonts w:ascii="Times New Roman" w:hAnsi="Times New Roman" w:cs="Times New Roman"/>
          <w:bCs/>
          <w:sz w:val="28"/>
          <w:szCs w:val="28"/>
          <w:lang w:val="kk-KZ"/>
          <w14:ligatures w14:val="none"/>
        </w:rPr>
      </w:pPr>
      <w:r w:rsidRPr="00987EF5">
        <w:rPr>
          <w:rFonts w:ascii="Times New Roman" w:hAnsi="Times New Roman" w:cs="Times New Roman"/>
          <w:bCs/>
          <w:sz w:val="28"/>
          <w:szCs w:val="28"/>
          <w:lang w:val="kk-KZ"/>
          <w14:ligatures w14:val="none"/>
        </w:rPr>
        <w:t>Келісімшарттар мен жұмыс бағдарламаларының мәліметтерін салық органдарының ақпаратымен салыстыру арқылы міндеттемелерді орындауды талдау арқылы уәкілетті орган Қостанай облысы бойынша Мемлекеттік кірістер департаментінің деректері бойынша аудитпен анықталған М.Корнеев (443,04 мың теңге) ЖК және "Рудныйсоколовстрой" АҚ (471,8 мың теңге) қол қою бонусын төлеу бойынша міндеттемелерді орындамау фактілерін анықтаған жоқ.</w:t>
      </w:r>
    </w:p>
    <w:p w14:paraId="62A637AB" w14:textId="747B4B9B" w:rsidR="00987EF5" w:rsidRDefault="00987EF5" w:rsidP="00987EF5">
      <w:pPr>
        <w:spacing w:after="0" w:line="240" w:lineRule="auto"/>
        <w:ind w:firstLine="708"/>
        <w:jc w:val="both"/>
        <w:rPr>
          <w:rFonts w:ascii="Times New Roman" w:hAnsi="Times New Roman" w:cs="Times New Roman"/>
          <w:bCs/>
          <w:sz w:val="28"/>
          <w:szCs w:val="28"/>
          <w:lang w:val="kk-KZ"/>
          <w14:ligatures w14:val="none"/>
        </w:rPr>
      </w:pPr>
      <w:r w:rsidRPr="00987EF5">
        <w:rPr>
          <w:rFonts w:ascii="Times New Roman" w:hAnsi="Times New Roman" w:cs="Times New Roman"/>
          <w:bCs/>
          <w:sz w:val="28"/>
          <w:szCs w:val="28"/>
          <w:lang w:val="kk-KZ"/>
          <w14:ligatures w14:val="none"/>
        </w:rPr>
        <w:t>Аудит сондай-ақ өндіру көлемін ұлғайту кезінде өңірдің әлеуметтік-экономикалық дамуын қаржыландыру бойынша міндеттемелерді төмендету ("Қостанай-Ізвестняк" ЖШС), пайдалы қазбаларды өндіруді бастау мерзімдерін бірнеше рет ауыстыру ("НТС-2020" ЖШС) фактілерін анықтады, бұл ретте өзгерістер міндеттемелерді орындау мерзімі басталғаннан кейін ресімделді, өндіру көлемін, инвестициялық міндеттемелерді, өңірді әлеуметтік-экономикалық дамытуға және кадрларды даярлауға арналған шығыстарды азайту, соның салдарынан келісімшарт талаптары тиімсіз болды.</w:t>
      </w:r>
    </w:p>
    <w:p w14:paraId="44F34C4A" w14:textId="669E952F" w:rsidR="00987EF5" w:rsidRDefault="00987EF5" w:rsidP="00987EF5">
      <w:pPr>
        <w:spacing w:after="0" w:line="240" w:lineRule="auto"/>
        <w:ind w:firstLine="708"/>
        <w:jc w:val="both"/>
        <w:rPr>
          <w:rFonts w:ascii="Times New Roman" w:hAnsi="Times New Roman" w:cs="Times New Roman"/>
          <w:bCs/>
          <w:sz w:val="28"/>
          <w:szCs w:val="28"/>
          <w:lang w:val="kk-KZ"/>
          <w14:ligatures w14:val="none"/>
        </w:rPr>
      </w:pPr>
      <w:r w:rsidRPr="00987EF5">
        <w:rPr>
          <w:rFonts w:ascii="Times New Roman" w:hAnsi="Times New Roman" w:cs="Times New Roman"/>
          <w:bCs/>
          <w:sz w:val="28"/>
          <w:szCs w:val="28"/>
          <w:lang w:val="kk-KZ"/>
          <w14:ligatures w14:val="none"/>
        </w:rPr>
        <w:t>2024-2025 жылдарға арналған жұмыс бағдарламасының толық көлемде орындалмауы бюджетке пайдалы қазбаларды өндіру салығының 5 117,1 мың теңге сомасында түспеуіне әкеп соқты.</w:t>
      </w:r>
    </w:p>
    <w:p w14:paraId="65E4D88A" w14:textId="41A12ADC" w:rsidR="00C35C28" w:rsidRDefault="00C35C28" w:rsidP="00987EF5">
      <w:pPr>
        <w:spacing w:after="0" w:line="240" w:lineRule="auto"/>
        <w:ind w:firstLine="708"/>
        <w:jc w:val="both"/>
        <w:rPr>
          <w:rFonts w:ascii="Times New Roman" w:hAnsi="Times New Roman" w:cs="Times New Roman"/>
          <w:bCs/>
          <w:sz w:val="28"/>
          <w:szCs w:val="28"/>
          <w:lang w:val="kk-KZ"/>
          <w14:ligatures w14:val="none"/>
        </w:rPr>
      </w:pPr>
      <w:r w:rsidRPr="00C35C28">
        <w:rPr>
          <w:rFonts w:ascii="Times New Roman" w:hAnsi="Times New Roman" w:cs="Times New Roman"/>
          <w:bCs/>
          <w:sz w:val="28"/>
          <w:szCs w:val="28"/>
          <w:lang w:val="kk-KZ"/>
          <w14:ligatures w14:val="none"/>
        </w:rPr>
        <w:t>Жер қойнауын пайдаланушы есептілікте ұсынған мәліметтер жұмыс бағдарламасымен және мемлекеттік органдардың ақпаратымен елеулі алшақтықтарды қамтиды, ал растайтын құжаттардың болмауы жекелеген келісімшарттық міндеттемелердің орындалу дұрыстығын объективті бағалауға мүмкіндік бермейді.</w:t>
      </w:r>
    </w:p>
    <w:p w14:paraId="2C2942EB" w14:textId="30C38949" w:rsidR="00C35C28" w:rsidRPr="00987EF5" w:rsidRDefault="00C35C28" w:rsidP="00987EF5">
      <w:pPr>
        <w:spacing w:after="0" w:line="240" w:lineRule="auto"/>
        <w:ind w:firstLine="708"/>
        <w:jc w:val="both"/>
        <w:rPr>
          <w:rFonts w:ascii="Times New Roman" w:hAnsi="Times New Roman" w:cs="Times New Roman"/>
          <w:bCs/>
          <w:sz w:val="28"/>
          <w:szCs w:val="28"/>
          <w:lang w:val="kk-KZ"/>
          <w14:ligatures w14:val="none"/>
        </w:rPr>
      </w:pPr>
      <w:r w:rsidRPr="00C35C28">
        <w:rPr>
          <w:rFonts w:ascii="Times New Roman" w:hAnsi="Times New Roman" w:cs="Times New Roman"/>
          <w:bCs/>
          <w:sz w:val="28"/>
          <w:szCs w:val="28"/>
          <w:lang w:val="kk-KZ"/>
          <w14:ligatures w14:val="none"/>
        </w:rPr>
        <w:t>Жергілікті атқарушы органның геология және жер қойнауын пайдалану саласында бейінді білімі бар мамандарының болмауы материалдарды сараптамалық бағалау сапасын және бақылау тиімділігін төмендетеді.</w:t>
      </w:r>
    </w:p>
    <w:sectPr w:rsidR="00C35C28" w:rsidRPr="00987EF5" w:rsidSect="00C1764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B8E"/>
    <w:rsid w:val="003D1C8C"/>
    <w:rsid w:val="003F7020"/>
    <w:rsid w:val="00527869"/>
    <w:rsid w:val="00826B8E"/>
    <w:rsid w:val="008E4706"/>
    <w:rsid w:val="00987EF5"/>
    <w:rsid w:val="00C17642"/>
    <w:rsid w:val="00C35C28"/>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7BF51"/>
  <w15:chartTrackingRefBased/>
  <w15:docId w15:val="{B5E7278D-A3C3-48DC-A689-B20F4759C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826B8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26B8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26B8E"/>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26B8E"/>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26B8E"/>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26B8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26B8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26B8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26B8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26B8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26B8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26B8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26B8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26B8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26B8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26B8E"/>
    <w:rPr>
      <w:rFonts w:eastAsiaTheme="majorEastAsia" w:cstheme="majorBidi"/>
      <w:color w:val="595959" w:themeColor="text1" w:themeTint="A6"/>
    </w:rPr>
  </w:style>
  <w:style w:type="character" w:customStyle="1" w:styleId="80">
    <w:name w:val="Заголовок 8 Знак"/>
    <w:basedOn w:val="a0"/>
    <w:link w:val="8"/>
    <w:uiPriority w:val="9"/>
    <w:semiHidden/>
    <w:rsid w:val="00826B8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26B8E"/>
    <w:rPr>
      <w:rFonts w:eastAsiaTheme="majorEastAsia" w:cstheme="majorBidi"/>
      <w:color w:val="272727" w:themeColor="text1" w:themeTint="D8"/>
    </w:rPr>
  </w:style>
  <w:style w:type="paragraph" w:styleId="a3">
    <w:name w:val="Title"/>
    <w:basedOn w:val="a"/>
    <w:next w:val="a"/>
    <w:link w:val="a4"/>
    <w:uiPriority w:val="10"/>
    <w:qFormat/>
    <w:rsid w:val="00826B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826B8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26B8E"/>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26B8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26B8E"/>
    <w:pPr>
      <w:spacing w:before="160"/>
      <w:jc w:val="center"/>
    </w:pPr>
    <w:rPr>
      <w:i/>
      <w:iCs/>
      <w:color w:val="404040" w:themeColor="text1" w:themeTint="BF"/>
    </w:rPr>
  </w:style>
  <w:style w:type="character" w:customStyle="1" w:styleId="22">
    <w:name w:val="Цитата 2 Знак"/>
    <w:basedOn w:val="a0"/>
    <w:link w:val="21"/>
    <w:uiPriority w:val="29"/>
    <w:rsid w:val="00826B8E"/>
    <w:rPr>
      <w:i/>
      <w:iCs/>
      <w:color w:val="404040" w:themeColor="text1" w:themeTint="BF"/>
    </w:rPr>
  </w:style>
  <w:style w:type="paragraph" w:styleId="a7">
    <w:name w:val="List Paragraph"/>
    <w:basedOn w:val="a"/>
    <w:uiPriority w:val="34"/>
    <w:qFormat/>
    <w:rsid w:val="00826B8E"/>
    <w:pPr>
      <w:ind w:left="720"/>
      <w:contextualSpacing/>
    </w:pPr>
  </w:style>
  <w:style w:type="character" w:styleId="a8">
    <w:name w:val="Intense Emphasis"/>
    <w:basedOn w:val="a0"/>
    <w:uiPriority w:val="21"/>
    <w:qFormat/>
    <w:rsid w:val="00826B8E"/>
    <w:rPr>
      <w:i/>
      <w:iCs/>
      <w:color w:val="2F5496" w:themeColor="accent1" w:themeShade="BF"/>
    </w:rPr>
  </w:style>
  <w:style w:type="paragraph" w:styleId="a9">
    <w:name w:val="Intense Quote"/>
    <w:basedOn w:val="a"/>
    <w:next w:val="a"/>
    <w:link w:val="aa"/>
    <w:uiPriority w:val="30"/>
    <w:qFormat/>
    <w:rsid w:val="00826B8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826B8E"/>
    <w:rPr>
      <w:i/>
      <w:iCs/>
      <w:color w:val="2F5496" w:themeColor="accent1" w:themeShade="BF"/>
    </w:rPr>
  </w:style>
  <w:style w:type="character" w:styleId="ab">
    <w:name w:val="Intense Reference"/>
    <w:basedOn w:val="a0"/>
    <w:uiPriority w:val="32"/>
    <w:qFormat/>
    <w:rsid w:val="00826B8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1480</Words>
  <Characters>8441</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 Dossayev</dc:creator>
  <cp:keywords/>
  <dc:description/>
  <cp:lastModifiedBy>Renat Dossayev</cp:lastModifiedBy>
  <cp:revision>3</cp:revision>
  <dcterms:created xsi:type="dcterms:W3CDTF">2026-09-21T07:24:00Z</dcterms:created>
  <dcterms:modified xsi:type="dcterms:W3CDTF">2026-09-21T07:34:00Z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29d43631-9ca9-44ab-a611-6c2c5250f657</vt:lpwstr>
  </property>
</Properties>
</file>