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6.xml" ContentType="application/xml"/>
  <Override PartName="/customXml/item7.xml" ContentType="application/xml"/>
  <Override PartName="/customXml/item8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cx1="http://schemas.microsoft.com/office/drawing/2015/9/8/chartex" xmlns:w15="http://schemas.microsoft.com/office/word/2012/wordml" mc:Ignorable="w14 wp14 w15">
  <!-- Generated by Spire.Doc -->
  <w:body>
    <w:tbl>
      <w:tblPr>
        <w:tblStyle w:val="TableGrid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Tr="00F51D3F">
        <w:trPr/>
        <w:tc>
          <w:tcPr>
            <w:tcW w:w="3396" w:type="dxa"/>
          </w:tcPr>
          <w:p>
            <w:pPr>
              <w:rPr>
                <w:sz w:val="28"/>
                <w:szCs w:val="28"/>
              </w:rPr>
            </w:pPr>
            <w:r w:rsidRPr="005507DA">
              <w:rPr>
                <w:sz w:val="28"/>
                <w:szCs w:val="28"/>
              </w:rPr>
              <w:t xml:space="preserve">бұйрығына қ</w:t>
            </w:r>
            <w:r w:rsidRPr="005507DA">
              <w:rPr>
                <w:sz w:val="28"/>
                <w:szCs w:val="28"/>
                <w:lang w:val="kk-KZ"/>
              </w:rPr>
              <w:t xml:space="preserve">о</w:t>
            </w:r>
            <w:r w:rsidRPr="005507DA">
              <w:rPr>
                <w:sz w:val="28"/>
                <w:szCs w:val="28"/>
              </w:rPr>
              <w:t xml:space="preserve">сымша</w:t>
            </w:r>
          </w:p>
        </w:tc>
      </w:tr>
    </w:tbl>
    <w:p>
      <w:pPr>
        <w:jc w:val="right"/>
        <w:rPr>
          <w:i/>
          <w:sz w:val="28"/>
          <w:szCs w:val="28"/>
          <w:lang w:val="kk-KZ"/>
        </w:rPr>
      </w:pPr>
    </w:p>
    <w:p>
      <w:pPr>
        <w:jc w:val="right"/>
        <w:rPr>
          <w:i/>
          <w:sz w:val="28"/>
          <w:szCs w:val="28"/>
          <w:lang w:val="kk-KZ"/>
        </w:rPr>
      </w:pPr>
    </w:p>
    <w:p>
      <w:pPr>
        <w:pStyle w:val="NoSpacing"/>
        <w:ind w:firstLine="709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18161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1. Жалпы ережелер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1.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Осы Үлгілік талаптар (бұдан әрі – Үлгілік талаптар) сервистік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күту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аймақтарды жайластыруға және техникалық жарақтандыруға қойылатын талаптарды айқындайды және Қазақстан Республикасының Мемлекеттік шекарасы арқылы өткізу пункттерінің (бұдан әрі – ӨП) алдында тасымалдаушылар үшін күтуге арналған сервистік аймақтарды (бұдан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әрі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– СКА) және қажетті инфрақұрылымды жобалау, салу (қайта жаңарту) және пайдалану кезінде ескеруге арналған.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2. С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ервистік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күту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айма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ғы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– бұл арнайы бөлінген жер учаскесін, онда орналасқан құрылыстар мен инженерлік желілерді қамтитын жол бойындағы көлік и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нфрақұрылымы объектісі, ол ӨП-ге кіруді ұйымдасқан түрде күтуге, жүргізушілер мен тасымалдаушыларға сервистік қызметтер көрсетуге, сондай-ақ көлік құралдары мен жүктерге қатысты мемлекеттік бақылауға жатпайтын ілеспе технологиялық операцияларды орындауға 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рналған, егер Қазақстан Республикасының заңнамасында өзгеше көзделмесе.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3.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Мемлекеттік бақылау органдарының бөлімшелерін орналастыру (қажет болған жағдайда), сондай-ақ  СКА аумағында кедендік және өзге де бақылау операцияларын жүзеге асыру тек Қазақстан Р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еспубликасының заңнамасында тікелей көзделген жағдайларда және шектерде ғана жол беріледі.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4.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Осы Үлгілік талаптар ӨП-нің өткізу қабілетін арттыруға, күту және сервистік функцияларды ӨП аумағынан тыс жерге шығару арқылы шекара маңындағы аумақтарда көлік қ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ұралдарының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жиналуын болдырмауға, жүргізушілер үшін қауіпсіз және санитариялық жағдайлар жасауға, ағындарды басқарудың ашықтығын қамтамасыз етуге және (қажет болған жағдайда) электрондық кезек жүйесімен цифрлық интеграцияны қамтамасыз етуге бағытталған.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Еуразиялық экономикалық одақтың (бұдан әрі – ЕАЭО) ішкі шекарасындағы өткізу пункттерінің алдында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С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КА салудың орындылығын Қазақстан Республикасы Ұлттық қауіпсіздік комитетінің Шекара қызметі (бұдан әрі – ҰҚК ШҚ), ал ЕАЭО сыртқы шекарасында ҰҚК ШҚ-мен келісу бойынша мемлекеттік кірістер органдары айқындайды.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КА автомобиль өткізу пункттерінің, әуежайлар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дың, теңіз және өзен порттарының, теміржол станцияларының алдында 10 км-ге дейінгі қашықтықта құрылады. Күту аймағының нақты орналасқан жері қолданыстағы жол желісін, жол қозғалысы қауіпсіздігі талаптарын және жоспарлау шектеулерін ескере отырып айқындалад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ы. Автомобиль жолдарын реконструкциялау кезінде, трассалардың өту бағыты өзгерген жағдайда, сервистік аймақтардың орналасқан жері нақтыланып, құзыретті органдармен келісіледі.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КА жұмыс режимі өткізу пунктінің жұмыс режимімен синхрондалады.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6. С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КА құру үші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н жер учаскелері жер қатынастары жөніндегі уәкілетті органмен арнайы жер қорынан бөлінеді. Арнайы жер қорынан жер учаскелерін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бөлу мүмкін болмаған жағдайда, қолданыстағы заңнамаға сәйкес жеке меншіктегі жер учаскелері мемлекеттік мұқтаждар үшін алып қоюға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жатады.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222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2. Сервистік күту аймақтардың жұмыс істеуіне (пайдаланылуына) қойылатын талаптар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22291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7. СКА инфрақұрылымын ұстау (пайдалану) СКА теңгерімінде тұрған ұйымға не Қазақстан Республикасының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заңнамасына және іске асырылатын жобаның шарттарына (оның ішінде МЖ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Ә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шарттары, концессия, жалға алу немесе сенімгерлік басқару шарттары) сәйкес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-ны салуды және/немесе пайдалануды жүзеге асырған инвесторға (операторға) жүктеледі.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8. 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операторы негізгі инфрақұрылымның тәулік бойы жұмыс істеуін қамтамасыз етеді: кіру/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шығуды бақылау, жарықтандыру, бейнебақылау, байланыс, санитариялық тораптар, өрт қауіпсіздігі жүйелері, сондай-ақ ағындарды диспетчерлеу және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аумағында қозғалыс схемаларын сақтауды қамтамасыз ету.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9. 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жұмысының жалпы тәртібі (жұмыс уақытының бастал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уы мен аяқталуы, технологиялық үзілістер, тазалау регламенті, қысқы күтіп-ұстау режимі)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операторы тарапынан бекітіледі.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10. 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аумағында адамдарды, көлік құралдарын және жүктерді бақылау жүргізу кезінде (мұндай функциялар болған жағдайда) Қазақстан Республикасының мемлекеттік органдарының өзара іс-қимыл жасау тәртібі мемлекеттік бақылау органдарының бірлескен актісімен айқындалад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ы.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11. 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-дағы сервистік қызметтерге арналған тарифтер (болған жағдайда)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-ға кіреберісте және оператордың цифрлық ресурстарында міндетті түрде жария түрде орналастырылуға тиіс.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12.СКА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операторы мыналарды қамтамасыз етеді: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) көлік құралдарының кіруі/шығуын есепке алу;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2) 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аумағында қоғамдық тәртіпті сақтау;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3)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уәкілетті органдардың сұраулары бойынша өз құзыреті шегінде деректерді сақтау және ұсыну;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4) 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қоршаған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ортаны қорғау тала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птарын және қалдықтармен (қатты тұрмыстық қалдықтар, сұйық қалдықтар) жұмыс істеу қағидаларын сақтау.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13. СКА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аумағында бөлінген автотұрақ секторлары мен жүріп өту жолдарынан тыс стихиялық кезектер құруға, сондай-ақ кіреберіс жолдарды бұғаттауға тыйым сал</w:t>
      </w:r>
      <w:r w:rsidRPr="00C6037A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ынады. Оператор уәкілетті органдармен бірлесіп кірме жолдарда кептелістердің алдын алу шараларын ұйымдастырады.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22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3. Сервистік аймақтарды жайластыруға қойылатын талаптар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22291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14. Сервистік аймақтарды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жобалау және салу кезінде географиялық орналасуы, тиісті ӨП-ні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ң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өткізу қабілеті, көлік ағындарының болжамы, жер бедері және климаттық жағдайлар ескеріледі.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15. Сервистік к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үту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аймағының жол-көлік коммуникациялық жүйесі көлік құралдарының ең көп санын өткізуге, кедергісіз маневр жасауға және қауіпсіз кіру/шығуды қамта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масыз етуге бағытталып құрылады. Қозғалыс схемасы ағындарды бөлуді көздеуі тиіс: кіру, сәйкестендіру, күту, сервис, шығуға шақыру, ӨП бағытына шығу.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16.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Жүк көлік құралдарына арналған бақылау жолақтарының ені кемінде 3,5 метр болуы тиіс.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17.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Ірі габаритт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і, ауыр салмақты және арнайы жүктері бар көлік құралдарының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СКА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-ға қауіпсіз кіруі мен шығуын қамтамасыз ету үшін әр бағыт бойынша ені кемінде 6 метр болатын жеке қозғалыс жолағы көзделеді.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18.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Күту аймақтары үш функционалдық учаскені қамтиды: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тұрақ (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паркинг) учаскесі;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2)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коммерциялық (міндетті және қосымша);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3)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әкімшілік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.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19.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Тұрақ алаңында мыналар көзделеді: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жүк және жеңіл көлік ағындарын (жеңіл көлік сегменті болған жағдайда) таңбалау, жол белгілері мен көрсеткіштер арқылы бөле отырып, көлік құралдарына арналған тұрақ орындары;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2)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операторлар, терминалдар немесе мобильді қосымшалар арқылы көлікті тіркеу мүмк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індігі бар электрондық кезекті ұйымдастыру, сондай-ақ күту аймағынан шығу кезектілігін көрсететін ақпараттық таблолар/мониторлар;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3)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бейнебақылауды, күзетті, қоршауды және жарықтандыруды қамтитын қауіпсіздік жүйесі;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4)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кіру/шығуды бақылауға арналған авто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матты шлагбаумдар немесе өзге де тосқауыл құрылғылары;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5) 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қауіпсіздік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 талаптары мен санитариялық нормаларды ескере отырып, қауіпті жүктерді, тез бұзылатын өнімдерді және тірі жануарларды тасымалдайтын көлік құралдары үшін жеке секторлар (қажет болған жағд</w:t>
      </w:r>
      <w:r w:rsidRPr="00181618">
        <w:rPr>
          <w:rFonts w:ascii="Times New Roman" w:hAnsi="Times New Roman" w:cs="Times New Roman"/>
          <w:sz w:val="28"/>
          <w:szCs w:val="28"/>
          <w:lang w:val="kk-KZ"/>
        </w:rPr>
        <w:t xml:space="preserve">айда).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704C4">
        <w:rPr>
          <w:rFonts w:ascii="Times New Roman" w:hAnsi="Times New Roman" w:cs="Times New Roman"/>
          <w:sz w:val="28"/>
          <w:szCs w:val="28"/>
          <w:lang w:val="kk-KZ"/>
        </w:rPr>
        <w:t xml:space="preserve">Тұрақ орындарының саны өткізу пунктінің өткізу қабілеті мен оны дамыту перспективаларын ескере отырып жобалау сатысында айқындалады, алайда кемінде 120 жүк көлік құралына есептелуі тиіс.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20.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Коммерциялық міндетті аймақта (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СКА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ашылған кезде) көлік/с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ақтандыру/экспедиторлық ұйымдардың кеңселерін орналастыруға арналған үй-жайлар, екінші деңгейдегі банктердің бөлімшелері, қызмет көрсету объектілері (тамақтану пункттері/кафелер, валюта айырбастау, хостелдер/капсулалық қонақүйлер немесе қонақүйлер, кір жуу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орындары, душ бөлмелері, намаз оқу бөлмелері), жылы санитариялық-гигиеналық тораптар қарастырылады.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Коммерциялық қосымша аймақта автожанармай құю станцияларын, техникалық қызмет көрсету станцияларын (оның ішінде шиномонтаж), автожуу орындарын, азық-түлік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дүкендерін орналастыруға жол беріледі.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21. </w:t>
      </w: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Әкімшілік</w:t>
      </w: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 аймақта оператор әкімшілігін, мемлекеттік бақылау органдарының бөлімшелерін (орналастырылған жағдайда), Қазақстан Республикасы автомобиль жолдарын басқару жөніндегі ұлттық оператор – «ҚазАвтоЖол» ұлттық</w:t>
      </w: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 компаниясы» акционерлік қоғамы өкілдерін орналастыру және олардың қажетті штат саны ескеріліп, жеткіліктілік қағидатын сақтай отырып қызметтік қызметін қамтамасыз ету көзделеді. 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Үй</w:t>
      </w: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-жайлардың саны, олардың алаңдары және арнайы талаптар жобалау сатысында тиісті уәкілетті органдармен келісіледі.</w:t>
      </w:r>
    </w:p>
    <w:p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Жиһаздар мен жабдықтардың үлгілік тізбесі осы бұйрықтың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2</w:t>
      </w: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-қосымшасында көрсетілген.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22.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Сервистік аймақтар аумағында мыналарды орналастыруға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жол беріледі: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1) сауда алаңдары;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2) қадағалау функцияларын жүзеге асыратын мемлекеттік органдардың мобильді/жылжымалы посттары (қажет болған жағдайда).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222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4. Сервистік аймақтарды техникалық жарақтандыруға қойылатын талаптар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22291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23. Сервистік аймақтарды техникалық жарақтандыру мынадай талаптарға сәйкес болуы тиіс: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A22291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1) кірме жолдардың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және қауіпсіз қосылулардың болуы;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2)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көлік құралдарының кіруі мен шығуын бақылаудың автоматтандырылған жүйелерінің болуы;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3)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мемлекеттік тіркеу нөм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ірлік белгілерін оқуды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(бұдан әрі - МТНБ)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оның ішінде шетелдік МТНБ,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деректер базасын сақтауды және жүргізуді, сондай-ақ уәкілетті органдардың ақпараттық жүйелерімен интеграцияланудың техникалық мүмкіндігін қамтамасыз ететін көлік құралдарын электрондық е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сепке алу жүйесінің болуы;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4)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көлік құралдарының салмақ параметрлерін автоматты түрде анықтау жүйесінің (қажет болған жағдайда) болуы, уәкілетті органның ақпараттық жүйесімен (құзыреті бойынша) интеграцияланудың техникалық мүмкіндігімен;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5)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аумақты нақты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уақыт режимінде бақылауды және Қазақстан Республикасы Ішкі істер министрлігінің жүйелеріне қосылуды қамтамасыз ететін бейнебақылау жүйесінің болуы, деректерді сақтау және соңғы кемінде 90 күнтізбелік күн ішіндегі оқиғалар бойынша бейнеақпаратты қарау мүмк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індігі (камералар кіру/шығу жерлерінде, периметр бойынша, негізгі жол өткелдерінде және сервистік тораптарда орналастырылады);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6)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өртті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автоматты түрде анықтауды, хабарлауды және өрт сөндіру қондырғыларын іске қосуды қамтамасыз ететін өрт дабылы және өрт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сөндіру жүйесінің болуы;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7)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рұқсатсыз кіруді анықтауға және ақпаратты оператордың пультіне беруге арналған күзет инженерлік құралдары, қолжетімділікті бақылау және күзет дабылы жүйесінің болуы;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8)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электрмен жабдықтау авариялық ажыратылған жағдайда қауіпс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іздік жүйелері мен IT-инфрақұрылымының жұмыс қабілеттілігін қамтамасыз ету үшін резервтік электрмен жабдықтау жүйесінің болуы;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9)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күту аймағы аумағында тұрақты ұялы байланыс пен интернетке қолжетімділіктің болуы;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10)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ӨП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бағытына шақыру және шығу тәртібі </w:t>
      </w:r>
      <w:r w:rsidRPr="00435403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туралы ақпарат беретін ақпараттық таблолардың (электрондық) болуы (электрондық кезек қолданылған жағдайда).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2229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5. Қорытынды және өтпелі ережелер </w:t>
      </w:r>
    </w:p>
    <w:p>
      <w:pPr>
        <w:pStyle w:val="NoSpacing"/>
        <w:ind w:firstLine="709"/>
        <w:jc w:val="both"/>
        <w:rPr>
          <w:i/>
          <w:sz w:val="28"/>
          <w:szCs w:val="28"/>
          <w:lang w:val="kk-KZ"/>
        </w:rPr>
      </w:pPr>
      <w:r w:rsidRPr="00A22291">
        <w:rPr>
          <w:rFonts w:ascii="Times New Roman" w:hAnsi="Times New Roman" w:cs="Times New Roman"/>
          <w:sz w:val="28"/>
          <w:szCs w:val="28"/>
          <w:lang w:val="kk-KZ"/>
        </w:rPr>
        <w:t xml:space="preserve">24. Қолданыстағы күту алаңдары осы бұйрық бекітілген күннен бастап</w:t>
      </w: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 екі жылдан аспайтын мерзімде осы Үлгілік тал</w:t>
      </w:r>
      <w:r w:rsidRPr="00220250">
        <w:rPr>
          <w:rFonts w:ascii="Times New Roman" w:hAnsi="Times New Roman" w:cs="Times New Roman"/>
          <w:sz w:val="28"/>
          <w:szCs w:val="28"/>
          <w:lang w:val="kk-KZ"/>
        </w:rPr>
        <w:t xml:space="preserve">аптарға сәйкестендірлуге тиіс.</w:t>
      </w:r>
    </w:p>
    <w:sectPr w:rsidSect="00286031">
      <w:headerReference w:type="even" r:id="rId9"/>
      <w:headerReference w:type="default" r:id="rId10"/>
      <w:headerReference w:type="first" r:id="rId11"/>
      <w:footerReference w:type="even" r:id="rId12"/>
      <w:footerReference w:type="default" r:id="rId13"/>
      <w:footerReference w:type="first" r:id="rId14"/>
      <w:pgSz w:w="11906" w:h="16838" w:orient="portrait"/>
      <w:pgMar w:top="1134" w:right="850" w:bottom="1134" w:left="1276" w:header="708" w:footer="708" w:gutter="0"/>
      <w:pgNumType w:start="3"/>
      <w:cols w:num="1" w:space="708">
        <w:col w:w="9780" w:space="708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Auto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Auto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Auto"/>
    <w:pitch w:val="variable"/>
    <w:sig w:usb0="E0002AFF" w:usb1="C0007843" w:usb2="00000009" w:usb3="00000000" w:csb0="000001FF" w:csb1="00000000"/>
  </w:font>
  <w:font w:name="SimSun">
    <w:altName w:val="????????????????????§ЮЎм§Ў?Ўм§А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Auto"/>
    <w:pitch w:val="variable"/>
    <w:sig w:usb0="A0002AEF" w:usb1="4000207B" w:usb2="00000000" w:usb3="00000000" w:csb0="000001F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3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rPr/>
    </w:pPr>
    <w:r>
      <w:pict>
        <v:shape id="PowerPlusWaterMarkObject1025" o:spid="PowerPlusWaterMarkObject1096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<v:fill opacity="0.5"/>
          <v:textpath style="font-family:&quot;Times New Roman&quot;;font-size:70pt" string="СЕК 738881501"/>
          <w10:wrap anchorx="margin" anchory="margin"/>
        </v:shape>
      </w:pict>
    </w: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sdt>
    <w:sdtPr>
      <w:id w:val="1023209113"/>
      <w:docPartObj>
        <w:docPartGallery w:val="Page Numbers (Top of Page)"/>
        <w:docPartUnique/>
      </w:docPartObj>
    </w:sdtPr>
    <w:sdtContent>
      <w:p>
        <w:pPr>
          <w:pStyle w:val="Header"/>
          <w:jc w:val="center"/>
          <w:rPr/>
        </w:pPr>
        <w:r>
          <w:pict>
            <v:shape id="PowerPlusWaterMarkObject1026" o:spid="PowerPlusWaterMarkObject1098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    <v:fill opacity="0.5"/>
              <v:textpath style="font-family:&quot;Times New Roman&quot;;font-size:70pt" string="СЕК 738881501"/>
              <w10:wrap anchorx="margin" anchory="margin"/>
            </v:shape>
          </w:pict>
        </w:r>
        <w:r>
          <w:rPr>
            <w:noProof/>
          </w:rPr>
          <w:pict>
            <v:shape id="Watermark" o:spid="_x0000_s1099" type="#_x0000_t136" style="height:25pt;margin-left:0;margin-top:0;mso-position-horizontal:center;mso-position-horizontal-relative:margin;mso-position-vertical:center;mso-position-vertical-relative:margin;position:absolute;rotation:315;width:0.05pt;z-index:251659264" fillcolor="#e1e1e1" stroked="f">
              <v:fill r:id="rId1" o:title=""/>
              <v:stroke r:id="rId1" o:title=""/>
              <v:shadow color="#868686"/>
              <v:textpath style="font-family:&quot;Times New Roman&quot;;font-size:24pt;v-text-kern:t" trim="t" fitpath="t" string="Министерство транспорта Республики Казахстан Саденов Ернар – 04.06.26 18:39"/>
              <o:lock v:ext="edit" text="t" shapetype="t"/>
              <w10:wrap anchorx="margin" anchory="margin"/>
            </v:shape>
          </w:pic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</w:p>
    </w:sdtContent>
  </w:sdt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rPr/>
    </w:pPr>
    <w:r>
      <w:pict>
        <v:shape id="PowerPlusWaterMarkObject1027" o:spid="PowerPlusWaterMarkObject1101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<v:fill opacity="0.5"/>
          <v:textpath style="font-family:&quot;Times New Roman&quot;;font-size:70pt" string="СЕК 7388815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00"/>
  <w:bordersDoNotSurroundFooter/>
  <w:bordersDoNotSurroundHeader/>
  <w:proofState w:spelling="clean" w:grammar="clean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asciiTheme="minorHAnsi" w:eastAsiaTheme="minorHAnsi" w:hAnsiTheme="minorHAnsi" w:cs="Arial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table" w:styleId="TableGrid">
    <w:name w:val="Table Grid"/>
    <w:basedOn w:val="NormalTable"/>
    <w:uiPriority w:val="39"/>
    <w:rsid w:val="005507DA"/>
    <w:pPr>
      <w:spacing w:after="0" w:line="240" w:lineRule="auto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ВерхнийколонтитулЗнак"/>
    <w:uiPriority w:val="99"/>
    <w:unhideWhenUsed/>
    <w:qFormat/>
    <w:rsid w:val="00D27F13"/>
    <w:pPr>
      <w:tabs>
        <w:tab w:val="center" w:pos="4677"/>
        <w:tab w:val="right" w:pos="9355"/>
      </w:tabs>
    </w:pPr>
    <w:rPr/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rsid w:val="00D27F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НижнийколонтитулЗнак"/>
    <w:uiPriority w:val="99"/>
    <w:unhideWhenUsed/>
    <w:qFormat/>
    <w:rsid w:val="00D27F13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rsid w:val="00D27F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27F13"/>
    <w:pPr>
      <w:spacing w:after="0" w:line="240" w:lineRule="auto"/>
    </w:pPr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header" Target="header3.xml"/>
  <Relationship Id="rId12" Type="http://schemas.openxmlformats.org/officeDocument/2006/relationships/footer" Target="footer1.xml"/>
  <Relationship Id="rId13" Type="http://schemas.openxmlformats.org/officeDocument/2006/relationships/footer" Target="footer2.xml"/>
  <Relationship Id="rId14" Type="http://schemas.openxmlformats.org/officeDocument/2006/relationships/footer" Target="footer3.xml"/>
  <Relationship Id="rId15" Type="http://schemas.openxmlformats.org/officeDocument/2006/relationships/theme" Target="theme/theme1.xml"/>
  <Relationship Id="rId16" Type="http://schemas.openxmlformats.org/officeDocument/2006/relationships/styles" Target="styles.xml"/>
  <Relationship Id="rId17" Type="http://schemas.openxmlformats.org/officeDocument/2006/relationships/webSettings" Target="webSettings.xml"/>
  <Relationship Id="rId18" Type="http://schemas.openxmlformats.org/officeDocument/2006/relationships/numbering" Target="numbering.xml"/>
  <Relationship Id="rId19" Type="http://schemas.openxmlformats.org/officeDocument/2006/relationships/fontTable" Target="fontTable.xml"/>
  <Relationship Id="rId2" Type="http://schemas.openxmlformats.org/officeDocument/2006/relationships/customXml" Target="../customXml/item2.xml"/>
  <Relationship Id="rId20" Type="http://schemas.openxmlformats.org/officeDocument/2006/relationships/settings" Target="settings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5" Type="http://schemas.openxmlformats.org/officeDocument/2006/relationships/customXml" Target="../customXml/item5.xml"/>
  <Relationship Id="rId6" Type="http://schemas.openxmlformats.org/officeDocument/2006/relationships/customXml" Target="../customXml/item6.xml"/>
  <Relationship Id="rId7" Type="http://schemas.openxmlformats.org/officeDocument/2006/relationships/customXml" Target="../customXml/item7.xml"/>
  <Relationship Id="rId8" Type="http://schemas.openxmlformats.org/officeDocument/2006/relationships/customXml" Target="../customXml/item8.xml"/>
  <Relationship Id="rId9" Type="http://schemas.openxmlformats.org/officeDocument/2006/relationships/header" Target="header1.xml"/>
</Relationships>

</file>

<file path=word/_rels/header2.xml.rels><?xml version="1.0" encoding="UTF-8"?>

<Relationships xmlns="http://schemas.openxmlformats.org/package/2006/relationships">
  <Relationship Id="rId1" Type="http://schemas.openxmlformats.org/officeDocument/2006/relationships/image" Target="media/image1.jpeg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_rels/item5.xml.rels><?xml version="1.0" encoding="UTF-8"?>

<Relationships xmlns="http://schemas.openxmlformats.org/package/2006/relationships">
  <Relationship Id="rId1" Type="http://schemas.openxmlformats.org/officeDocument/2006/relationships/customXmlProps" Target="itemProps5.xml"/>
</Relationships>

</file>

<file path=customXml/_rels/item6.xml.rels><?xml version="1.0" encoding="UTF-8"?>

<Relationships xmlns="http://schemas.openxmlformats.org/package/2006/relationships">
  <Relationship Id="rId1" Type="http://schemas.openxmlformats.org/officeDocument/2006/relationships/customXmlProps" Target="itemProps6.xml"/>
</Relationships>

</file>

<file path=customXml/_rels/item7.xml.rels><?xml version="1.0" encoding="UTF-8"?>

<Relationships xmlns="http://schemas.openxmlformats.org/package/2006/relationships">
  <Relationship Id="rId1" Type="http://schemas.openxmlformats.org/officeDocument/2006/relationships/customXmlProps" Target="itemProps7.xml"/>
</Relationships>

</file>

<file path=customXml/_rels/item8.xml.rels><?xml version="1.0" encoding="UTF-8"?>

<Relationships xmlns="http://schemas.openxmlformats.org/package/2006/relationships">
  <Relationship Id="rId1" Type="http://schemas.openxmlformats.org/officeDocument/2006/relationships/customXmlProps" Target="itemProps8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2026-06-04T13:41:00Z</dcterms:created>
  <dc:creator>Дәулетберді Гаухар</dc:creator>
  <lastModifiedBy>Саденов Ернар</lastModifiedBy>
  <dcterms:modified xsi:type="dcterms:W3CDTF">2026-06-04T13:41:00Z</dcterms:modified>
  <revision>2</revision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1537</Words>
  <Characters>8764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10281</CharactersWithSpaces>
  <SharedDoc>false</SharedDoc>
  <HyperlinksChanged>false</HyperlinksChanged>
  <AppVersion>16.0000</AppVersion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1553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10391</CharactersWithSpaces>
  <SharedDoc>false</SharedDoc>
  <HyperlinksChanged>false</HyperlinksChanged>
  <AppVersion>16.0000</AppVersion>
</Properties>
</file>

<file path=customXml/item4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1554</Words>
  <Characters>8858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10392</CharactersWithSpaces>
  <SharedDoc>false</SharedDoc>
  <HyperlinksChanged>false</HyperlinksChanged>
  <AppVersion>16.0000</AppVersion>
</Properties>
</file>

<file path=customXml/item5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2019-11-25T11:44:00Z</dcterms:created>
  <dc:creator>Дәулетберді Гаухар</dc:creator>
  <lastModifiedBy>Саденов Ернар</lastModifiedBy>
  <dcterms:modified xsi:type="dcterms:W3CDTF">2026-05-29T05:18:00Z</dcterms:modified>
  <revision>5</revision>
</coreProperties>
</file>

<file path=customXml/item6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2019-11-25T11:44:00Z</dcterms:created>
  <dc:creator>Дәулетберді Гаухар</dc:creator>
  <lastModifiedBy>Саденов Ернар</lastModifiedBy>
  <dcterms:modified xsi:type="dcterms:W3CDTF">2026-05-25T06:07:00Z</dcterms:modified>
  <revision>4</revision>
</coreProperties>
</file>

<file path=customXml/item7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1537</Words>
  <Characters>8766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10283</CharactersWithSpaces>
  <SharedDoc>false</SharedDoc>
  <HyperlinksChanged>false</HyperlinksChanged>
  <AppVersion>16.0000</AppVersion>
</Properties>
</file>

<file path=customXml/item8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2019-11-25T11:44:00Z</dcterms:created>
  <dc:creator>Дәулетберді Гаухар</dc:creator>
  <lastModifiedBy>Саденов Ернар</lastModifiedBy>
  <dcterms:modified xsi:type="dcterms:W3CDTF">2026-06-03T09:34:00Z</dcterms:modified>
  <revision>7</revision>
</core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{7B7E8218-EFEA-4F7D-8259-C0DFA30F2FA5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4.xml><?xml version="1.0" encoding="utf-8"?>
<ds:datastoreItem xmlns:ds="http://schemas.openxmlformats.org/officeDocument/2006/customXml" ds:itemID="{840743A0-EF69-4FEA-9A5A-DBF5862EDE8B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5.xml><?xml version="1.0" encoding="utf-8"?>
<ds:datastoreItem xmlns:ds="http://schemas.openxmlformats.org/officeDocument/2006/customXml" ds:itemID="{12611DE9-50B2-43A8-956C-AF0ECFACC50E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34D02284-453F-4947-A757-4144D8B175AF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7.xml><?xml version="1.0" encoding="utf-8"?>
<ds:datastoreItem xmlns:ds="http://schemas.openxmlformats.org/officeDocument/2006/customXml" ds:itemID="{E847D059-CC7B-41DE-BE12-8CF186ED6E2F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8.xml><?xml version="1.0" encoding="utf-8"?>
<ds:datastoreItem xmlns:ds="http://schemas.openxmlformats.org/officeDocument/2006/customXml" ds:itemID="{CFB050D3-FE1C-43AA-B04A-29702B4EEB14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</TotalTime>
  <Pages>4</Pages>
  <Words>1537</Words>
  <Characters>8764</Characters>
  <Application>Microsoft Office Word</Application>
  <DocSecurity>0</DocSecurity>
  <Lines>73</Lines>
  <Paragraphs>20</Paragraphs>
  <Company>SPecialiST RePack</Company>
  <CharactersWithSpaces>10281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2026-06-04T13:41:00Z</dcterms:created>
  <dc:creator>Дәулетберді Гаухар</dc:creator>
  <lastModifiedBy>Саденов Ернар</lastModifiedBy>
  <dcterms:modified xsi:type="dcterms:W3CDTF">2026-06-04T13:41:00Z</dcterms:modified>
  <revision>2</revision>
</coreProperties>
</file>