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C13F7">
      <w:pPr>
        <w:tabs>
          <w:tab w:val="left" w:pos="709"/>
          <w:tab w:val="left" w:pos="851"/>
        </w:tabs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Жамбыл облысы әкімдігінің</w:t>
      </w:r>
    </w:p>
    <w:p w14:paraId="0725A1E9">
      <w:pPr>
        <w:tabs>
          <w:tab w:val="left" w:pos="709"/>
          <w:tab w:val="left" w:pos="851"/>
        </w:tabs>
        <w:spacing w:after="0" w:line="240" w:lineRule="auto"/>
        <w:jc w:val="right"/>
        <w:rPr>
          <w:rFonts w:hint="default"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2026 жылғы «</w:t>
      </w:r>
      <w:r>
        <w:rPr>
          <w:rFonts w:hint="default"/>
          <w:color w:val="000000"/>
          <w:sz w:val="28"/>
          <w:szCs w:val="28"/>
          <w:lang w:val="ru-RU"/>
        </w:rPr>
        <w:t>28</w:t>
      </w:r>
      <w:r>
        <w:rPr>
          <w:color w:val="000000"/>
          <w:sz w:val="28"/>
          <w:szCs w:val="28"/>
          <w:lang w:val="kk-KZ"/>
        </w:rPr>
        <w:t>»</w:t>
      </w:r>
      <w:r>
        <w:rPr>
          <w:rFonts w:hint="default"/>
          <w:color w:val="000000"/>
          <w:sz w:val="28"/>
          <w:szCs w:val="28"/>
          <w:lang w:val="kk-KZ"/>
        </w:rPr>
        <w:t xml:space="preserve"> </w:t>
      </w:r>
      <w:r>
        <w:rPr>
          <w:rFonts w:hint="default"/>
          <w:color w:val="000000"/>
          <w:sz w:val="28"/>
          <w:szCs w:val="28"/>
          <w:u w:val="single"/>
          <w:lang w:val="kk-KZ"/>
        </w:rPr>
        <w:t>сәуірдегі</w:t>
      </w:r>
    </w:p>
    <w:p w14:paraId="440F70DE">
      <w:pPr>
        <w:tabs>
          <w:tab w:val="left" w:pos="709"/>
          <w:tab w:val="left" w:pos="851"/>
        </w:tabs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№</w:t>
      </w:r>
      <w:r>
        <w:rPr>
          <w:rFonts w:hint="default"/>
          <w:color w:val="000000"/>
          <w:sz w:val="28"/>
          <w:szCs w:val="28"/>
          <w:lang w:val="kk-KZ"/>
        </w:rPr>
        <w:t xml:space="preserve"> </w:t>
      </w:r>
      <w:r>
        <w:rPr>
          <w:rFonts w:hint="default"/>
          <w:color w:val="000000"/>
          <w:sz w:val="28"/>
          <w:szCs w:val="28"/>
          <w:u w:val="single"/>
          <w:lang w:val="ru-RU"/>
        </w:rPr>
        <w:t xml:space="preserve">86 </w:t>
      </w:r>
      <w:r>
        <w:rPr>
          <w:rFonts w:hint="default"/>
          <w:color w:val="000000"/>
          <w:sz w:val="28"/>
          <w:szCs w:val="28"/>
          <w:u w:val="none"/>
          <w:lang w:val="ru-RU"/>
        </w:rPr>
        <w:t xml:space="preserve"> </w:t>
      </w:r>
      <w:r>
        <w:rPr>
          <w:color w:val="000000"/>
          <w:sz w:val="28"/>
          <w:szCs w:val="28"/>
          <w:lang w:val="kk-KZ"/>
        </w:rPr>
        <w:t>қаулысына</w:t>
      </w:r>
    </w:p>
    <w:p w14:paraId="371A432D">
      <w:pPr>
        <w:tabs>
          <w:tab w:val="left" w:pos="709"/>
          <w:tab w:val="left" w:pos="851"/>
        </w:tabs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қосымша</w:t>
      </w:r>
    </w:p>
    <w:p w14:paraId="7079D544">
      <w:pPr>
        <w:spacing w:after="0" w:line="240" w:lineRule="auto"/>
        <w:ind w:left="4956" w:firstLine="573"/>
        <w:rPr>
          <w:color w:val="000000"/>
          <w:sz w:val="28"/>
          <w:szCs w:val="28"/>
          <w:lang w:val="kk-KZ"/>
        </w:rPr>
      </w:pPr>
    </w:p>
    <w:p w14:paraId="0FE1CBD3">
      <w:pPr>
        <w:spacing w:after="0" w:line="240" w:lineRule="auto"/>
        <w:rPr>
          <w:color w:val="000000"/>
          <w:sz w:val="28"/>
          <w:szCs w:val="28"/>
          <w:lang w:val="kk-KZ"/>
        </w:rPr>
      </w:pPr>
    </w:p>
    <w:p w14:paraId="64552355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«Жамбыл  облысы  әкімдігінің  сәулет және  қала  құрылысы басқармасының «Жамбыл Бас Жоспары» зерттеу-жобалау дамыту институты»  коммуналдық мемлекеттік мекемесінің</w:t>
      </w:r>
      <w:r>
        <w:rPr>
          <w:b/>
          <w:bCs/>
          <w:sz w:val="28"/>
          <w:szCs w:val="28"/>
          <w:lang w:val="kk-KZ" w:eastAsia="ru-RU"/>
        </w:rPr>
        <w:t xml:space="preserve"> азаматтық қызметкерлерінің лауазымдық айлықақыларына ынталандырушы үстемеақылар белгілеудің тәртібі мен шарттары</w:t>
      </w:r>
    </w:p>
    <w:p w14:paraId="3139713C">
      <w:pPr>
        <w:spacing w:after="0" w:line="240" w:lineRule="auto"/>
        <w:ind w:left="-567" w:firstLine="567"/>
        <w:rPr>
          <w:b/>
          <w:color w:val="000000"/>
          <w:sz w:val="28"/>
          <w:szCs w:val="28"/>
          <w:lang w:val="kk-KZ"/>
        </w:rPr>
      </w:pPr>
    </w:p>
    <w:p w14:paraId="03B9E038">
      <w:pPr>
        <w:spacing w:before="100" w:beforeAutospacing="1" w:after="100" w:afterAutospacing="1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>1-тарау. Жалпы ережелер</w:t>
      </w:r>
    </w:p>
    <w:p w14:paraId="0CDB7A85">
      <w:pPr>
        <w:pStyle w:val="30"/>
        <w:numPr>
          <w:ilvl w:val="0"/>
          <w:numId w:val="1"/>
        </w:numPr>
        <w:tabs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bookmarkStart w:id="0" w:name="z20"/>
      <w:bookmarkEnd w:id="0"/>
      <w:r>
        <w:rPr>
          <w:sz w:val="28"/>
          <w:szCs w:val="28"/>
          <w:lang w:val="kk-KZ" w:eastAsia="ru-RU"/>
        </w:rPr>
        <w:t>«Жамбыл  облысы  әкімдігінің  сәулет және  қала  құрылысы басқармасының «Жамбыл Бас Жоспары» зерттеу-жобалау дамыту институты»</w:t>
      </w:r>
      <w:r>
        <w:rPr>
          <w:b/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 xml:space="preserve">коммуналдық мемлекеттік мекемесінің (бұдан әрі – Мекеме) азаматтық қызметкерлерінің лауазымдық айлықақыларына ынталандырушы үстемеақылар белгілеудің тәртібі мен шарттары (бұдан әрі – тәртіп пен шарттар) «Азаматтық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туралы» Қазақстан </w:t>
      </w:r>
      <w:bookmarkStart w:id="2" w:name="_GoBack"/>
      <w:bookmarkEnd w:id="2"/>
      <w:r>
        <w:rPr>
          <w:sz w:val="28"/>
          <w:szCs w:val="28"/>
          <w:lang w:val="kk-KZ" w:eastAsia="ru-RU"/>
        </w:rPr>
        <w:t>Республикасы Үкіметінің 2015 жылғы 31 желтоқсандағы № 1193 қаулысы 5-тармағының 3) тармақшасына сәйкес әзірленді және ерекше еңбек жағдайлары үшін үстемеақылар төлеудің тәртібі мен шарттарын айқындайды.</w:t>
      </w:r>
    </w:p>
    <w:p w14:paraId="5AF8004E">
      <w:pPr>
        <w:pStyle w:val="30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bookmarkStart w:id="1" w:name="z21"/>
      <w:bookmarkEnd w:id="1"/>
      <w:r>
        <w:rPr>
          <w:sz w:val="28"/>
          <w:szCs w:val="28"/>
          <w:lang w:val="kk-KZ" w:eastAsia="ru-RU"/>
        </w:rPr>
        <w:t xml:space="preserve">Қазақстан Республикасының Еңбек кодексінің </w:t>
      </w:r>
      <w:r>
        <w:fldChar w:fldCharType="begin"/>
      </w:r>
      <w:r>
        <w:instrText xml:space="preserve"> HYPERLINK "https://adilet.zan.kz/kaz/docs/K1500000414" \l "z245" </w:instrText>
      </w:r>
      <w:r>
        <w:fldChar w:fldCharType="separate"/>
      </w:r>
      <w:r>
        <w:rPr>
          <w:sz w:val="28"/>
          <w:szCs w:val="28"/>
          <w:lang w:val="kk-KZ" w:eastAsia="ru-RU"/>
        </w:rPr>
        <w:t>1-бабы</w:t>
      </w:r>
      <w:r>
        <w:rPr>
          <w:sz w:val="28"/>
          <w:szCs w:val="28"/>
          <w:lang w:val="kk-KZ" w:eastAsia="ru-RU"/>
        </w:rPr>
        <w:fldChar w:fldCharType="end"/>
      </w:r>
      <w:r>
        <w:rPr>
          <w:sz w:val="28"/>
          <w:szCs w:val="28"/>
          <w:lang w:val="kk-KZ" w:eastAsia="ru-RU"/>
        </w:rPr>
        <w:t xml:space="preserve"> 1-тармағының 37) тармақшасына сәйкес жұмыскердің біліктілігіне, орындалатын жұмыстың күрделілігіне, санына, сапасына және жағдайларына қарай еңбек үшін төленетін сыйақы, сондай-ақ өтемақы және ынталандыру сипатындағы төлемдер жалақы болып табылады.</w:t>
      </w:r>
    </w:p>
    <w:p w14:paraId="77308ED1">
      <w:pPr>
        <w:spacing w:after="0" w:line="240" w:lineRule="auto"/>
        <w:ind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Осы тәртіп пен шарттарда көрсетілген Мекеме қызметкерлерінің лауазымдық жалақыларына ынталандыру үстемақыларын төлеу қызметкерлерді еңбекке ынталандырудың басқа түрлерін (сыйлықақы, қосымша төлемдер, лауазымды біріктіру, үстеме жұмыс) төлемеуге негіз болып табылмайды.</w:t>
      </w:r>
    </w:p>
    <w:p w14:paraId="1CE3EA01">
      <w:pPr>
        <w:pStyle w:val="3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Мекемеде кредиторлық берешектің болуы Мекеме қызметкерлерінің лауазымдық жалақыларына ынталандыру үстемақыларын төлеуге кедергі келтірмейді.</w:t>
      </w:r>
    </w:p>
    <w:p w14:paraId="6E94E86D">
      <w:pPr>
        <w:pStyle w:val="30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Мекеме қызметкерлерінің лауазымдық айлықақыларына ынталандырушы үстемеақылар төлеуге арналған бюджет қаражаты әрбір қаржы жылында Мекеменің қаржыландыру жоспарында (даму жоспарында) көзделуге тиіс.</w:t>
      </w:r>
    </w:p>
    <w:p w14:paraId="61A5830D">
      <w:pPr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Үстемеақылар төлеуді қаржыландыру көзі жергілікті бюджет болып табылады.</w:t>
      </w:r>
    </w:p>
    <w:p w14:paraId="25A16177">
      <w:pPr>
        <w:pStyle w:val="30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Бюджеттік бағдарламалар әкімшісі ынталандырушы үстемеақылардың белгіленген мөлшері негізінде қосымша бюджет қаражатына қажеттілікті қалыптастырып, өтінімді бюджеттік жоспарлау жөніндегі уәкілетті органға ұсынады.</w:t>
      </w:r>
    </w:p>
    <w:p w14:paraId="1B73E7BD">
      <w:pPr>
        <w:tabs>
          <w:tab w:val="left" w:pos="567"/>
          <w:tab w:val="left" w:pos="993"/>
        </w:tabs>
        <w:spacing w:line="240" w:lineRule="auto"/>
        <w:jc w:val="center"/>
        <w:rPr>
          <w:b/>
          <w:bCs/>
          <w:sz w:val="28"/>
          <w:szCs w:val="28"/>
          <w:lang w:val="kk-KZ" w:eastAsia="ru-RU"/>
        </w:rPr>
      </w:pPr>
    </w:p>
    <w:p w14:paraId="5CA357BC">
      <w:pPr>
        <w:tabs>
          <w:tab w:val="left" w:pos="567"/>
          <w:tab w:val="left" w:pos="993"/>
        </w:tabs>
        <w:spacing w:after="0" w:line="240" w:lineRule="auto"/>
        <w:jc w:val="center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>2-тарау. Қызметкерлердің лауазымдық айлықақыларына ынталандырушы үстемеақылар белгілеу тәртібі</w:t>
      </w:r>
    </w:p>
    <w:p w14:paraId="456A9FCB">
      <w:pPr>
        <w:tabs>
          <w:tab w:val="left" w:pos="567"/>
          <w:tab w:val="left" w:pos="993"/>
        </w:tabs>
        <w:spacing w:after="0" w:line="240" w:lineRule="auto"/>
        <w:jc w:val="center"/>
        <w:rPr>
          <w:b/>
          <w:bCs/>
          <w:sz w:val="28"/>
          <w:szCs w:val="28"/>
          <w:lang w:val="kk-KZ" w:eastAsia="ru-RU"/>
        </w:rPr>
      </w:pPr>
    </w:p>
    <w:p w14:paraId="7D05BCFB">
      <w:pPr>
        <w:pStyle w:val="3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Үстемеақылар Мекеме қызметкерлерінің лауазымдық айлықақыларына ынталандырушы үстемеақылар белгілеу жөніндегі комиссияның (бұдан әрі – комиссия) шешіміне сәйкес Жамбыл облысы әкімдігінің сәулет және қала құрылысы басқармасы (бұдан әрі – Басқарма) басшысының бұйрығымен белгіленеді. Комиссияның қарауына қызметкерлерге үстемеақылар белгілеу жөніндегі ұсынысты Мекеме басшысы енгізеді.</w:t>
      </w:r>
    </w:p>
    <w:p w14:paraId="602FDE5F">
      <w:pPr>
        <w:pStyle w:val="3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Мекеме басшысына үстемеақы белгілеу жөніндегі ұсынысты комиссияның қарауына Басқарма басшысы енгізеді.</w:t>
      </w:r>
    </w:p>
    <w:p w14:paraId="2772BFA6">
      <w:pPr>
        <w:pStyle w:val="3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Комиссияны құру және комиссия хатшысын айқындау туралы шешімді Басқарма басшысы не оның міндетін атқарушы тұлға қабылдайды.</w:t>
      </w:r>
    </w:p>
    <w:p w14:paraId="782F14AC">
      <w:pPr>
        <w:pStyle w:val="30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Комиссия мүшелерінің жалпы саны тақсанды, бірақ кемінде үш адамды құрайды.</w:t>
      </w:r>
    </w:p>
    <w:p w14:paraId="413914BA">
      <w:pPr>
        <w:pStyle w:val="30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Комиссия хатшысы комиссия мүшесі болып табылмайды және комиссия шешімдер қабылдаған кезде дауыс беру құқығы жоқ.</w:t>
      </w:r>
    </w:p>
    <w:p w14:paraId="45DD025B">
      <w:pPr>
        <w:pStyle w:val="30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Комиссияның шешімі ашық дауыс беру арқылы қабылданады, оған Комиссия мүшелерінің жалпы санының көпшілігі дауыс берсе, қабылданды деп есептеледі.</w:t>
      </w:r>
    </w:p>
    <w:p w14:paraId="4AB02E48">
      <w:pPr>
        <w:pStyle w:val="30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Комиссия шешімі хаттамамен ресімделеді, оған комиссия төрағасы мен мүшелері қол қояды.</w:t>
      </w:r>
    </w:p>
    <w:p w14:paraId="63EC5619">
      <w:pPr>
        <w:pStyle w:val="30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Қызметкерлерінің лауазымдық айлықақыларына ынталандырушы үстемеақылар белгілеу комиссияның отырысында жылына бір рет қаралады.</w:t>
      </w:r>
    </w:p>
    <w:p w14:paraId="7CAFE408">
      <w:pPr>
        <w:pStyle w:val="30"/>
        <w:tabs>
          <w:tab w:val="left" w:pos="851"/>
        </w:tabs>
        <w:spacing w:after="0" w:line="240" w:lineRule="auto"/>
        <w:ind w:left="709"/>
        <w:jc w:val="both"/>
        <w:rPr>
          <w:b/>
          <w:bCs/>
          <w:sz w:val="28"/>
          <w:szCs w:val="28"/>
          <w:lang w:val="kk-KZ" w:eastAsia="ru-RU"/>
        </w:rPr>
      </w:pPr>
    </w:p>
    <w:p w14:paraId="02CBF6C7">
      <w:pPr>
        <w:pStyle w:val="30"/>
        <w:tabs>
          <w:tab w:val="left" w:pos="851"/>
        </w:tabs>
        <w:spacing w:after="0" w:line="240" w:lineRule="auto"/>
        <w:ind w:left="709"/>
        <w:jc w:val="center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>3-тарау. Қызметкерлердің лауазымдық айлықақыларына ынталандырушы үстемеақылар белгілеу шарттары</w:t>
      </w:r>
    </w:p>
    <w:p w14:paraId="65C6EB1C">
      <w:pPr>
        <w:pStyle w:val="30"/>
        <w:tabs>
          <w:tab w:val="left" w:pos="851"/>
        </w:tabs>
        <w:spacing w:after="0" w:line="240" w:lineRule="auto"/>
        <w:ind w:left="709"/>
        <w:jc w:val="center"/>
        <w:rPr>
          <w:sz w:val="28"/>
          <w:szCs w:val="28"/>
          <w:lang w:val="kk-KZ" w:eastAsia="ru-RU"/>
        </w:rPr>
      </w:pPr>
    </w:p>
    <w:p w14:paraId="1B368192">
      <w:pPr>
        <w:pStyle w:val="3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Мекеме қызметкерлерінің лауазымдық айлықақыларына ынталандырушы үстемеақылар келесі функцияларды орындағаны үшін белгіленеді:</w:t>
      </w:r>
    </w:p>
    <w:p w14:paraId="587BF420">
      <w:pPr>
        <w:tabs>
          <w:tab w:val="left" w:pos="142"/>
          <w:tab w:val="left" w:pos="284"/>
          <w:tab w:val="left" w:pos="709"/>
          <w:tab w:val="left" w:pos="851"/>
          <w:tab w:val="left" w:pos="993"/>
          <w:tab w:val="left" w:pos="1701"/>
        </w:tabs>
        <w:spacing w:after="0" w:line="240" w:lineRule="auto"/>
        <w:ind w:firstLine="567"/>
        <w:jc w:val="both"/>
        <w:rPr>
          <w:color w:val="FF0000"/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1) аумақтар  бойынша  тиісті зерделеу  жұмыстары  жүргізіліп,  оларды абаттандыру және тиімді пайдалану мақсатында эскиздік жобалар әзірленеді, яғни Жамбыл облысы бойынша зерделеу жұмыстары тұрақты жүргізу;</w:t>
      </w:r>
    </w:p>
    <w:p w14:paraId="39B460D3">
      <w:pPr>
        <w:tabs>
          <w:tab w:val="left" w:pos="142"/>
          <w:tab w:val="left" w:pos="568"/>
          <w:tab w:val="left" w:pos="709"/>
          <w:tab w:val="left" w:pos="1134"/>
        </w:tabs>
        <w:spacing w:after="0" w:line="240" w:lineRule="auto"/>
        <w:ind w:left="56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2) урбанистика саласын енгізу және дамыту;</w:t>
      </w:r>
    </w:p>
    <w:p w14:paraId="7CF9A80E">
      <w:pPr>
        <w:tabs>
          <w:tab w:val="left" w:pos="142"/>
          <w:tab w:val="left" w:pos="709"/>
          <w:tab w:val="left" w:pos="993"/>
        </w:tabs>
        <w:spacing w:after="0" w:line="240" w:lineRule="auto"/>
        <w:ind w:left="56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3)  Тараз қаласының ландшафтық-шеберлік жоспарын әзірлеу;</w:t>
      </w:r>
    </w:p>
    <w:p w14:paraId="29AA36CC">
      <w:pPr>
        <w:tabs>
          <w:tab w:val="left" w:pos="142"/>
          <w:tab w:val="left" w:pos="709"/>
          <w:tab w:val="left" w:pos="993"/>
        </w:tabs>
        <w:spacing w:after="0" w:line="240" w:lineRule="auto"/>
        <w:ind w:left="56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4)  Тараз қаласының сәулеттік жарық-шеберлік жоспарын әзірлеу;</w:t>
      </w:r>
    </w:p>
    <w:p w14:paraId="1F2E73DD">
      <w:pPr>
        <w:tabs>
          <w:tab w:val="left" w:pos="142"/>
          <w:tab w:val="left" w:pos="709"/>
          <w:tab w:val="left" w:pos="993"/>
        </w:tabs>
        <w:spacing w:after="0" w:line="240" w:lineRule="auto"/>
        <w:ind w:left="56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5)  Тараз қаласының көгалдандыру сапасының стандартын әзірлеу; </w:t>
      </w:r>
    </w:p>
    <w:p w14:paraId="7587C52F">
      <w:pPr>
        <w:tabs>
          <w:tab w:val="left" w:pos="142"/>
          <w:tab w:val="left" w:pos="709"/>
          <w:tab w:val="left" w:pos="993"/>
        </w:tabs>
        <w:spacing w:after="0" w:line="240" w:lineRule="auto"/>
        <w:ind w:left="56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6)  Тараз қаласының бірыңғай сәулеттік келбеттің стандартын әзірлеу; </w:t>
      </w:r>
    </w:p>
    <w:p w14:paraId="6CE39087">
      <w:pPr>
        <w:tabs>
          <w:tab w:val="left" w:pos="142"/>
          <w:tab w:val="left" w:pos="709"/>
        </w:tabs>
        <w:spacing w:after="0" w:line="240" w:lineRule="auto"/>
        <w:ind w:firstLine="567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7) Халықтың қолайлы өмір сүру ортасын қалыптастыру мақсатында урбанистика саласын зерделеу және өңірге озық тәжірибелерді енгізу;</w:t>
      </w:r>
    </w:p>
    <w:p w14:paraId="2B367C5F">
      <w:pPr>
        <w:tabs>
          <w:tab w:val="left" w:pos="142"/>
          <w:tab w:val="left" w:pos="709"/>
          <w:tab w:val="left" w:pos="993"/>
        </w:tabs>
        <w:spacing w:after="0" w:line="240" w:lineRule="auto"/>
        <w:ind w:firstLine="56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8)  Елді мекендердің бірыңғай сәулеттік-көркемдік бейнесін қалыптастыру үшін «Дизайн-кодты» әзірлеу, бекіту және оны қолданысқа енгізу процестерін ұйымдастыру;</w:t>
      </w:r>
    </w:p>
    <w:p w14:paraId="1AD64287">
      <w:pPr>
        <w:tabs>
          <w:tab w:val="left" w:pos="142"/>
          <w:tab w:val="left" w:pos="709"/>
          <w:tab w:val="left" w:pos="993"/>
        </w:tabs>
        <w:spacing w:after="0" w:line="240" w:lineRule="auto"/>
        <w:ind w:firstLine="567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9) Жамбыл облысы бойынша эскиздік жобаларды әзірлеуді қамтамасыз ету, тапсырыс берушінің сұранысы бойынша сметалық құжаттамалардың сәйкестігін тексеру және нысандарды орнына барып зерделеу;</w:t>
      </w:r>
    </w:p>
    <w:p w14:paraId="6447CFFF">
      <w:pPr>
        <w:tabs>
          <w:tab w:val="left" w:pos="142"/>
          <w:tab w:val="left" w:pos="709"/>
          <w:tab w:val="left" w:pos="993"/>
        </w:tabs>
        <w:spacing w:after="0" w:line="240" w:lineRule="auto"/>
        <w:ind w:firstLine="56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10) Жамбыл облысының жасыл желек және көгалдандыру саласын дамыту шеңберінде дендрологиялық зерттеулер жүргізу және тиісті ұсынымдар дайындау;</w:t>
      </w:r>
    </w:p>
    <w:p w14:paraId="7BD4D68C">
      <w:pPr>
        <w:tabs>
          <w:tab w:val="left" w:pos="142"/>
          <w:tab w:val="left" w:pos="709"/>
          <w:tab w:val="left" w:pos="993"/>
        </w:tabs>
        <w:spacing w:after="0" w:line="240" w:lineRule="auto"/>
        <w:ind w:firstLine="56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11) комиссияның шешімімен өзге де еңбек жағдайлары үшін белгіленуі мүмкін.</w:t>
      </w:r>
    </w:p>
    <w:p w14:paraId="2F37B05F">
      <w:pPr>
        <w:tabs>
          <w:tab w:val="left" w:pos="142"/>
          <w:tab w:val="left" w:pos="709"/>
        </w:tabs>
        <w:jc w:val="both"/>
        <w:rPr>
          <w:sz w:val="28"/>
          <w:szCs w:val="28"/>
          <w:lang w:val="kk-KZ"/>
        </w:rPr>
      </w:pPr>
    </w:p>
    <w:p w14:paraId="0675FB91">
      <w:pPr>
        <w:tabs>
          <w:tab w:val="left" w:pos="284"/>
          <w:tab w:val="left" w:pos="567"/>
          <w:tab w:val="left" w:pos="851"/>
        </w:tabs>
        <w:spacing w:after="0" w:line="240" w:lineRule="auto"/>
        <w:jc w:val="both"/>
        <w:rPr>
          <w:rFonts w:eastAsiaTheme="minorEastAsia"/>
          <w:sz w:val="28"/>
          <w:szCs w:val="28"/>
          <w:lang w:val="kk-KZ" w:eastAsia="ko-KR"/>
        </w:rPr>
      </w:pPr>
    </w:p>
    <w:p w14:paraId="77408EFD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eastAsiaTheme="minorEastAsia"/>
          <w:sz w:val="28"/>
          <w:szCs w:val="28"/>
          <w:lang w:val="kk-KZ" w:eastAsia="ko-KR"/>
        </w:rPr>
      </w:pPr>
      <w:r>
        <w:rPr>
          <w:rFonts w:eastAsiaTheme="minorEastAsia"/>
          <w:sz w:val="28"/>
          <w:szCs w:val="28"/>
          <w:lang w:val="kk-KZ" w:eastAsia="ko-KR"/>
        </w:rPr>
        <w:tab/>
      </w:r>
      <w:r>
        <w:rPr>
          <w:rFonts w:eastAsiaTheme="minorEastAsia"/>
          <w:sz w:val="28"/>
          <w:szCs w:val="28"/>
          <w:lang w:val="kk-KZ" w:eastAsia="ko-KR"/>
        </w:rPr>
        <w:tab/>
      </w:r>
      <w:r>
        <w:rPr>
          <w:rFonts w:eastAsiaTheme="minorEastAsia"/>
          <w:sz w:val="28"/>
          <w:szCs w:val="28"/>
          <w:lang w:val="kk-KZ" w:eastAsia="ko-KR"/>
        </w:rPr>
        <w:tab/>
      </w:r>
      <w:r>
        <w:rPr>
          <w:rFonts w:eastAsiaTheme="minorEastAsia"/>
          <w:sz w:val="28"/>
          <w:szCs w:val="28"/>
          <w:lang w:val="kk-KZ" w:eastAsia="ko-KR"/>
        </w:rPr>
        <w:tab/>
      </w:r>
    </w:p>
    <w:p w14:paraId="02BA6B49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>
        <w:rPr>
          <w:rFonts w:eastAsiaTheme="minorEastAsia"/>
          <w:sz w:val="28"/>
          <w:szCs w:val="28"/>
          <w:lang w:val="kk-KZ" w:eastAsia="ko-KR"/>
        </w:rPr>
        <w:tab/>
      </w:r>
      <w:r>
        <w:rPr>
          <w:rFonts w:eastAsiaTheme="minorEastAsia"/>
          <w:sz w:val="28"/>
          <w:szCs w:val="28"/>
          <w:lang w:val="kk-KZ" w:eastAsia="ko-KR"/>
        </w:rPr>
        <w:tab/>
      </w:r>
      <w:r>
        <w:rPr>
          <w:rFonts w:eastAsiaTheme="minorEastAsia"/>
          <w:sz w:val="28"/>
          <w:szCs w:val="28"/>
          <w:lang w:val="kk-KZ" w:eastAsia="ko-KR"/>
        </w:rPr>
        <w:tab/>
      </w:r>
      <w:r>
        <w:rPr>
          <w:rFonts w:eastAsiaTheme="minorEastAsia"/>
          <w:sz w:val="28"/>
          <w:szCs w:val="28"/>
          <w:lang w:val="kk-KZ" w:eastAsia="ko-KR"/>
        </w:rPr>
        <w:tab/>
      </w:r>
    </w:p>
    <w:p w14:paraId="44B28E3C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</w:p>
    <w:sectPr>
      <w:headerReference r:id="rId5" w:type="default"/>
      <w:pgSz w:w="11907" w:h="16839"/>
      <w:pgMar w:top="1418" w:right="851" w:bottom="1418" w:left="1418" w:header="720" w:footer="720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B1390">
    <w:pPr>
      <w:pStyle w:val="13"/>
      <w:jc w:val="both"/>
    </w:pPr>
    <w:r>
      <w:rPr>
        <w:sz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Текстовое пол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A088B4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LNJWO7QAAAABQEAAA8AAAAAAAAAAQAgAAAAIgAAAGRycy9k&#10;b3ducmV2LnhtbFBLAQIUABQAAAAIAIdO4kB8k3dD7gIAADYGAAAOAAAAAAAAAAEAIAAAAB8BAABk&#10;cnMvZTJvRG9jLnhtbFBLBQYAAAAABgAGAFkBAAB/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A088B4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58D2C9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LNJWO7QAAAABQEAAA8AAAAAAAAAAQAgAAAAIgAAAGRycy9k&#10;b3ducmV2LnhtbFBLAQIUABQAAAAIAIdO4kCqRMXX7gIAADYGAAAOAAAAAAAAAAEAIAAAAB8BAABk&#10;cnMvZTJvRG9jLnhtbFBLBQYAAAAABgAGAFkBAAB/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58D2C9"/>
                </w:txbxContent>
              </v:textbox>
            </v:shape>
          </w:pict>
        </mc:Fallback>
      </mc:AlternateContent>
    </w: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C406E9">
                          <w:pPr>
                            <w:pStyle w:val="13"/>
                          </w:pPr>
                          <w:r>
                            <w:rPr>
                              <w:rFonts w:hint="default"/>
                              <w:lang w:val="ru-RU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s0lY7tAAAAAFAQAADwAAAAAAAAABACAAAAAiAAAAZHJzL2Rv&#10;d25yZXYueG1sUEsBAhQAFAAAAAgAh07iQJE6Y7HtAgAANgYAAA4AAAAAAAAAAQAgAAAAHwEAAGRy&#10;cy9lMm9Eb2MueG1sUEsFBgAAAAAGAAYAWQEAAH4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C406E9">
                    <w:pPr>
                      <w:pStyle w:val="13"/>
                    </w:pPr>
                    <w:r>
                      <w:rPr>
                        <w:rFonts w:hint="default"/>
                        <w:lang w:val="ru-RU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2C0444"/>
    <w:multiLevelType w:val="multilevel"/>
    <w:tmpl w:val="742C0444"/>
    <w:lvl w:ilvl="0" w:tentative="0">
      <w:start w:val="1"/>
      <w:numFmt w:val="decimal"/>
      <w:lvlText w:val="%1."/>
      <w:lvlJc w:val="left"/>
      <w:pPr>
        <w:ind w:left="4592" w:hanging="48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404" w:hanging="360"/>
      </w:pPr>
    </w:lvl>
    <w:lvl w:ilvl="2" w:tentative="0">
      <w:start w:val="1"/>
      <w:numFmt w:val="lowerRoman"/>
      <w:lvlText w:val="%3."/>
      <w:lvlJc w:val="right"/>
      <w:pPr>
        <w:ind w:left="3124" w:hanging="180"/>
      </w:pPr>
    </w:lvl>
    <w:lvl w:ilvl="3" w:tentative="0">
      <w:start w:val="1"/>
      <w:numFmt w:val="decimal"/>
      <w:lvlText w:val="%4."/>
      <w:lvlJc w:val="left"/>
      <w:pPr>
        <w:ind w:left="3844" w:hanging="360"/>
      </w:pPr>
    </w:lvl>
    <w:lvl w:ilvl="4" w:tentative="0">
      <w:start w:val="1"/>
      <w:numFmt w:val="lowerLetter"/>
      <w:lvlText w:val="%5."/>
      <w:lvlJc w:val="left"/>
      <w:pPr>
        <w:ind w:left="4564" w:hanging="360"/>
      </w:pPr>
    </w:lvl>
    <w:lvl w:ilvl="5" w:tentative="0">
      <w:start w:val="1"/>
      <w:numFmt w:val="lowerRoman"/>
      <w:lvlText w:val="%6."/>
      <w:lvlJc w:val="right"/>
      <w:pPr>
        <w:ind w:left="5284" w:hanging="180"/>
      </w:pPr>
    </w:lvl>
    <w:lvl w:ilvl="6" w:tentative="0">
      <w:start w:val="1"/>
      <w:numFmt w:val="decimal"/>
      <w:lvlText w:val="%7."/>
      <w:lvlJc w:val="left"/>
      <w:pPr>
        <w:ind w:left="6004" w:hanging="360"/>
      </w:pPr>
    </w:lvl>
    <w:lvl w:ilvl="7" w:tentative="0">
      <w:start w:val="1"/>
      <w:numFmt w:val="lowerLetter"/>
      <w:lvlText w:val="%8."/>
      <w:lvlJc w:val="left"/>
      <w:pPr>
        <w:ind w:left="6724" w:hanging="360"/>
      </w:pPr>
    </w:lvl>
    <w:lvl w:ilvl="8" w:tentative="0">
      <w:start w:val="1"/>
      <w:numFmt w:val="lowerRoman"/>
      <w:lvlText w:val="%9."/>
      <w:lvlJc w:val="right"/>
      <w:pPr>
        <w:ind w:left="74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hideSpelling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0C6"/>
    <w:rsid w:val="00011F13"/>
    <w:rsid w:val="0001770D"/>
    <w:rsid w:val="000225E8"/>
    <w:rsid w:val="00024C40"/>
    <w:rsid w:val="0003000B"/>
    <w:rsid w:val="00032CDE"/>
    <w:rsid w:val="0004257C"/>
    <w:rsid w:val="00051214"/>
    <w:rsid w:val="000636A6"/>
    <w:rsid w:val="00064874"/>
    <w:rsid w:val="00070E7C"/>
    <w:rsid w:val="00070F6A"/>
    <w:rsid w:val="0007279D"/>
    <w:rsid w:val="00080839"/>
    <w:rsid w:val="00080903"/>
    <w:rsid w:val="00082857"/>
    <w:rsid w:val="00091BF2"/>
    <w:rsid w:val="000A7CAD"/>
    <w:rsid w:val="000B1765"/>
    <w:rsid w:val="000B19E1"/>
    <w:rsid w:val="000B5892"/>
    <w:rsid w:val="000B6D48"/>
    <w:rsid w:val="000B7B1F"/>
    <w:rsid w:val="000C1A1F"/>
    <w:rsid w:val="000C1F91"/>
    <w:rsid w:val="000D54D3"/>
    <w:rsid w:val="000E33DB"/>
    <w:rsid w:val="000E4265"/>
    <w:rsid w:val="000F358D"/>
    <w:rsid w:val="001008B2"/>
    <w:rsid w:val="00110565"/>
    <w:rsid w:val="001125F2"/>
    <w:rsid w:val="00113C3F"/>
    <w:rsid w:val="001156A5"/>
    <w:rsid w:val="001178C8"/>
    <w:rsid w:val="0012190F"/>
    <w:rsid w:val="00132C38"/>
    <w:rsid w:val="00136A72"/>
    <w:rsid w:val="00140DA1"/>
    <w:rsid w:val="00142409"/>
    <w:rsid w:val="00143F9C"/>
    <w:rsid w:val="001445AC"/>
    <w:rsid w:val="00145283"/>
    <w:rsid w:val="001475F3"/>
    <w:rsid w:val="00165C4A"/>
    <w:rsid w:val="001667B4"/>
    <w:rsid w:val="00166980"/>
    <w:rsid w:val="00170DD8"/>
    <w:rsid w:val="00171C58"/>
    <w:rsid w:val="00171DE3"/>
    <w:rsid w:val="00174A26"/>
    <w:rsid w:val="00175126"/>
    <w:rsid w:val="001753A0"/>
    <w:rsid w:val="00176537"/>
    <w:rsid w:val="00176A64"/>
    <w:rsid w:val="00195469"/>
    <w:rsid w:val="0019641A"/>
    <w:rsid w:val="001A325A"/>
    <w:rsid w:val="001A3E3F"/>
    <w:rsid w:val="001B3EE1"/>
    <w:rsid w:val="001B694F"/>
    <w:rsid w:val="001C0F92"/>
    <w:rsid w:val="001D5517"/>
    <w:rsid w:val="001D65D8"/>
    <w:rsid w:val="001E0080"/>
    <w:rsid w:val="001E7541"/>
    <w:rsid w:val="001F2ECF"/>
    <w:rsid w:val="001F306B"/>
    <w:rsid w:val="00204D1F"/>
    <w:rsid w:val="00204D53"/>
    <w:rsid w:val="00206AA8"/>
    <w:rsid w:val="002168EB"/>
    <w:rsid w:val="002240BF"/>
    <w:rsid w:val="002446C7"/>
    <w:rsid w:val="00245D57"/>
    <w:rsid w:val="00253BA0"/>
    <w:rsid w:val="00275ACC"/>
    <w:rsid w:val="00275E54"/>
    <w:rsid w:val="0028057B"/>
    <w:rsid w:val="00280D67"/>
    <w:rsid w:val="00280E7A"/>
    <w:rsid w:val="0028124F"/>
    <w:rsid w:val="002875E7"/>
    <w:rsid w:val="00287633"/>
    <w:rsid w:val="0029371F"/>
    <w:rsid w:val="0029507D"/>
    <w:rsid w:val="00295F1E"/>
    <w:rsid w:val="002A1995"/>
    <w:rsid w:val="002B09D1"/>
    <w:rsid w:val="002C6FA8"/>
    <w:rsid w:val="002D01C0"/>
    <w:rsid w:val="002D209B"/>
    <w:rsid w:val="002D49FD"/>
    <w:rsid w:val="002E1F57"/>
    <w:rsid w:val="002F0E19"/>
    <w:rsid w:val="002F5E1B"/>
    <w:rsid w:val="002F7B84"/>
    <w:rsid w:val="003008AB"/>
    <w:rsid w:val="003040EC"/>
    <w:rsid w:val="00305F39"/>
    <w:rsid w:val="003070B2"/>
    <w:rsid w:val="00314807"/>
    <w:rsid w:val="00314A6B"/>
    <w:rsid w:val="00317BCB"/>
    <w:rsid w:val="003220E9"/>
    <w:rsid w:val="00330563"/>
    <w:rsid w:val="00335599"/>
    <w:rsid w:val="003433AA"/>
    <w:rsid w:val="00343D52"/>
    <w:rsid w:val="0035038D"/>
    <w:rsid w:val="00351DBF"/>
    <w:rsid w:val="003526CB"/>
    <w:rsid w:val="00353B50"/>
    <w:rsid w:val="00353DAA"/>
    <w:rsid w:val="0035402C"/>
    <w:rsid w:val="003550A5"/>
    <w:rsid w:val="00355119"/>
    <w:rsid w:val="003573B4"/>
    <w:rsid w:val="003602A6"/>
    <w:rsid w:val="0036262E"/>
    <w:rsid w:val="00363068"/>
    <w:rsid w:val="00363FFF"/>
    <w:rsid w:val="00371145"/>
    <w:rsid w:val="0037412D"/>
    <w:rsid w:val="00381FEC"/>
    <w:rsid w:val="00383500"/>
    <w:rsid w:val="00391720"/>
    <w:rsid w:val="00392D49"/>
    <w:rsid w:val="0039488D"/>
    <w:rsid w:val="003A1FA1"/>
    <w:rsid w:val="003A379E"/>
    <w:rsid w:val="003A4199"/>
    <w:rsid w:val="003B136D"/>
    <w:rsid w:val="003C0635"/>
    <w:rsid w:val="003C097C"/>
    <w:rsid w:val="003D5197"/>
    <w:rsid w:val="003E67F8"/>
    <w:rsid w:val="003F27BE"/>
    <w:rsid w:val="003F6472"/>
    <w:rsid w:val="00411586"/>
    <w:rsid w:val="00414086"/>
    <w:rsid w:val="0042104C"/>
    <w:rsid w:val="004339F9"/>
    <w:rsid w:val="004442A8"/>
    <w:rsid w:val="00444BA6"/>
    <w:rsid w:val="00447F2E"/>
    <w:rsid w:val="004537AA"/>
    <w:rsid w:val="004539D0"/>
    <w:rsid w:val="00464F6E"/>
    <w:rsid w:val="004666FD"/>
    <w:rsid w:val="00467817"/>
    <w:rsid w:val="00472D70"/>
    <w:rsid w:val="00473A5D"/>
    <w:rsid w:val="00490D3C"/>
    <w:rsid w:val="004915C4"/>
    <w:rsid w:val="00494312"/>
    <w:rsid w:val="00495B78"/>
    <w:rsid w:val="004A47EF"/>
    <w:rsid w:val="004B04C0"/>
    <w:rsid w:val="004B3C1A"/>
    <w:rsid w:val="004B62A0"/>
    <w:rsid w:val="004C38E0"/>
    <w:rsid w:val="004C3A06"/>
    <w:rsid w:val="004D12B8"/>
    <w:rsid w:val="004D5DB6"/>
    <w:rsid w:val="004E019B"/>
    <w:rsid w:val="004E2055"/>
    <w:rsid w:val="004E5DD4"/>
    <w:rsid w:val="004E61C5"/>
    <w:rsid w:val="004F2AD2"/>
    <w:rsid w:val="004F454C"/>
    <w:rsid w:val="004F6DD2"/>
    <w:rsid w:val="00500F6C"/>
    <w:rsid w:val="00501D32"/>
    <w:rsid w:val="00503F3B"/>
    <w:rsid w:val="00515174"/>
    <w:rsid w:val="00521EBD"/>
    <w:rsid w:val="00524CDE"/>
    <w:rsid w:val="00526256"/>
    <w:rsid w:val="005325A4"/>
    <w:rsid w:val="00533F03"/>
    <w:rsid w:val="00534BC1"/>
    <w:rsid w:val="00540843"/>
    <w:rsid w:val="0054196A"/>
    <w:rsid w:val="005515F8"/>
    <w:rsid w:val="0055682C"/>
    <w:rsid w:val="00557986"/>
    <w:rsid w:val="00562A57"/>
    <w:rsid w:val="00563CFA"/>
    <w:rsid w:val="0056505F"/>
    <w:rsid w:val="005702F7"/>
    <w:rsid w:val="00575782"/>
    <w:rsid w:val="0059021E"/>
    <w:rsid w:val="00597F47"/>
    <w:rsid w:val="005A113E"/>
    <w:rsid w:val="005A1A5B"/>
    <w:rsid w:val="005A3A16"/>
    <w:rsid w:val="005A4378"/>
    <w:rsid w:val="005A53F6"/>
    <w:rsid w:val="005A580A"/>
    <w:rsid w:val="005B15C7"/>
    <w:rsid w:val="005B1675"/>
    <w:rsid w:val="005B2402"/>
    <w:rsid w:val="005B24BE"/>
    <w:rsid w:val="005B2C1C"/>
    <w:rsid w:val="005B6D0D"/>
    <w:rsid w:val="005B72FD"/>
    <w:rsid w:val="005C749F"/>
    <w:rsid w:val="005D1DD8"/>
    <w:rsid w:val="005D248F"/>
    <w:rsid w:val="005D32F4"/>
    <w:rsid w:val="005D424C"/>
    <w:rsid w:val="005E5102"/>
    <w:rsid w:val="005E7405"/>
    <w:rsid w:val="005F110D"/>
    <w:rsid w:val="005F3046"/>
    <w:rsid w:val="00600935"/>
    <w:rsid w:val="00603D37"/>
    <w:rsid w:val="00607162"/>
    <w:rsid w:val="006103BE"/>
    <w:rsid w:val="006111BB"/>
    <w:rsid w:val="0061126A"/>
    <w:rsid w:val="0062150E"/>
    <w:rsid w:val="00622A7A"/>
    <w:rsid w:val="00625A43"/>
    <w:rsid w:val="006320DA"/>
    <w:rsid w:val="0064010B"/>
    <w:rsid w:val="00642187"/>
    <w:rsid w:val="00642BAB"/>
    <w:rsid w:val="00642D55"/>
    <w:rsid w:val="0064750D"/>
    <w:rsid w:val="00651EF3"/>
    <w:rsid w:val="00656FFE"/>
    <w:rsid w:val="00661C26"/>
    <w:rsid w:val="00661E58"/>
    <w:rsid w:val="006730D0"/>
    <w:rsid w:val="00675496"/>
    <w:rsid w:val="00681D38"/>
    <w:rsid w:val="00681E93"/>
    <w:rsid w:val="00686CFC"/>
    <w:rsid w:val="006A550F"/>
    <w:rsid w:val="006A5F33"/>
    <w:rsid w:val="006A766B"/>
    <w:rsid w:val="006A7ABC"/>
    <w:rsid w:val="006B79FA"/>
    <w:rsid w:val="006C0171"/>
    <w:rsid w:val="006C02C5"/>
    <w:rsid w:val="006C78A2"/>
    <w:rsid w:val="006D3D99"/>
    <w:rsid w:val="006D5D95"/>
    <w:rsid w:val="006D7D4B"/>
    <w:rsid w:val="006E0EE9"/>
    <w:rsid w:val="006E122B"/>
    <w:rsid w:val="006E1B27"/>
    <w:rsid w:val="006E34C0"/>
    <w:rsid w:val="006F1090"/>
    <w:rsid w:val="006F3224"/>
    <w:rsid w:val="006F6C3F"/>
    <w:rsid w:val="00700CBE"/>
    <w:rsid w:val="00701DA0"/>
    <w:rsid w:val="00702026"/>
    <w:rsid w:val="00702F5C"/>
    <w:rsid w:val="007060D2"/>
    <w:rsid w:val="007130D5"/>
    <w:rsid w:val="00715848"/>
    <w:rsid w:val="007170E5"/>
    <w:rsid w:val="0072022C"/>
    <w:rsid w:val="007261D3"/>
    <w:rsid w:val="00726A8F"/>
    <w:rsid w:val="00731142"/>
    <w:rsid w:val="00740BAF"/>
    <w:rsid w:val="00744CD0"/>
    <w:rsid w:val="00746B30"/>
    <w:rsid w:val="0075464F"/>
    <w:rsid w:val="00763555"/>
    <w:rsid w:val="007701D1"/>
    <w:rsid w:val="00773966"/>
    <w:rsid w:val="00774DD9"/>
    <w:rsid w:val="00783D12"/>
    <w:rsid w:val="00785B71"/>
    <w:rsid w:val="007922F5"/>
    <w:rsid w:val="00792AD7"/>
    <w:rsid w:val="00794EC7"/>
    <w:rsid w:val="00796B90"/>
    <w:rsid w:val="007975AE"/>
    <w:rsid w:val="007A0399"/>
    <w:rsid w:val="007A41AD"/>
    <w:rsid w:val="007B2F73"/>
    <w:rsid w:val="007B57B2"/>
    <w:rsid w:val="007C31AB"/>
    <w:rsid w:val="007D0A4D"/>
    <w:rsid w:val="007E0004"/>
    <w:rsid w:val="007E1465"/>
    <w:rsid w:val="007E2CC3"/>
    <w:rsid w:val="007F2257"/>
    <w:rsid w:val="007F279D"/>
    <w:rsid w:val="007F40E2"/>
    <w:rsid w:val="008040DF"/>
    <w:rsid w:val="00810B11"/>
    <w:rsid w:val="0081343A"/>
    <w:rsid w:val="00813C63"/>
    <w:rsid w:val="00817FB8"/>
    <w:rsid w:val="0082683D"/>
    <w:rsid w:val="00832C89"/>
    <w:rsid w:val="00833E55"/>
    <w:rsid w:val="00840433"/>
    <w:rsid w:val="00847B00"/>
    <w:rsid w:val="0086193D"/>
    <w:rsid w:val="0087022F"/>
    <w:rsid w:val="008715B9"/>
    <w:rsid w:val="00880BD9"/>
    <w:rsid w:val="00885F13"/>
    <w:rsid w:val="00891873"/>
    <w:rsid w:val="00897135"/>
    <w:rsid w:val="008A0D00"/>
    <w:rsid w:val="008A0DA5"/>
    <w:rsid w:val="008A138E"/>
    <w:rsid w:val="008A3BD1"/>
    <w:rsid w:val="008A3C25"/>
    <w:rsid w:val="008B0656"/>
    <w:rsid w:val="008B07FE"/>
    <w:rsid w:val="008C0E78"/>
    <w:rsid w:val="008C585C"/>
    <w:rsid w:val="008D1701"/>
    <w:rsid w:val="008D3D93"/>
    <w:rsid w:val="008D59F7"/>
    <w:rsid w:val="008E08A8"/>
    <w:rsid w:val="008E32B6"/>
    <w:rsid w:val="008E59C1"/>
    <w:rsid w:val="008F5408"/>
    <w:rsid w:val="009015CB"/>
    <w:rsid w:val="00902B67"/>
    <w:rsid w:val="00902FD9"/>
    <w:rsid w:val="009255BA"/>
    <w:rsid w:val="00927111"/>
    <w:rsid w:val="00937072"/>
    <w:rsid w:val="00937670"/>
    <w:rsid w:val="009428B9"/>
    <w:rsid w:val="00950E9F"/>
    <w:rsid w:val="009543DE"/>
    <w:rsid w:val="009546B7"/>
    <w:rsid w:val="009565E4"/>
    <w:rsid w:val="00964AE6"/>
    <w:rsid w:val="00966884"/>
    <w:rsid w:val="0096714B"/>
    <w:rsid w:val="009677AF"/>
    <w:rsid w:val="0097282A"/>
    <w:rsid w:val="009812C9"/>
    <w:rsid w:val="0098215F"/>
    <w:rsid w:val="0098532F"/>
    <w:rsid w:val="0098641F"/>
    <w:rsid w:val="00994FB3"/>
    <w:rsid w:val="00995C3C"/>
    <w:rsid w:val="0099620E"/>
    <w:rsid w:val="00996300"/>
    <w:rsid w:val="009A025D"/>
    <w:rsid w:val="009A0494"/>
    <w:rsid w:val="009A3874"/>
    <w:rsid w:val="009B002E"/>
    <w:rsid w:val="009B264C"/>
    <w:rsid w:val="009C4BB0"/>
    <w:rsid w:val="009D37ED"/>
    <w:rsid w:val="009D4C31"/>
    <w:rsid w:val="009E0BB0"/>
    <w:rsid w:val="00A04361"/>
    <w:rsid w:val="00A06EA0"/>
    <w:rsid w:val="00A1385E"/>
    <w:rsid w:val="00A14719"/>
    <w:rsid w:val="00A162A7"/>
    <w:rsid w:val="00A228A1"/>
    <w:rsid w:val="00A3137A"/>
    <w:rsid w:val="00A338FD"/>
    <w:rsid w:val="00A35931"/>
    <w:rsid w:val="00A42A83"/>
    <w:rsid w:val="00A44177"/>
    <w:rsid w:val="00A51143"/>
    <w:rsid w:val="00A51A79"/>
    <w:rsid w:val="00A53567"/>
    <w:rsid w:val="00A53C68"/>
    <w:rsid w:val="00A57E7B"/>
    <w:rsid w:val="00A623F4"/>
    <w:rsid w:val="00A70ACD"/>
    <w:rsid w:val="00A80BEA"/>
    <w:rsid w:val="00A9472E"/>
    <w:rsid w:val="00AA4683"/>
    <w:rsid w:val="00AB1D5E"/>
    <w:rsid w:val="00AB5BB1"/>
    <w:rsid w:val="00AB6236"/>
    <w:rsid w:val="00AC13B0"/>
    <w:rsid w:val="00AC5A1D"/>
    <w:rsid w:val="00AD020B"/>
    <w:rsid w:val="00AD0B58"/>
    <w:rsid w:val="00AD198E"/>
    <w:rsid w:val="00AD2366"/>
    <w:rsid w:val="00AD2D06"/>
    <w:rsid w:val="00AD3C95"/>
    <w:rsid w:val="00AD42B9"/>
    <w:rsid w:val="00AD5D0B"/>
    <w:rsid w:val="00AD740C"/>
    <w:rsid w:val="00AF3B6B"/>
    <w:rsid w:val="00AF6853"/>
    <w:rsid w:val="00B0077C"/>
    <w:rsid w:val="00B010C9"/>
    <w:rsid w:val="00B03571"/>
    <w:rsid w:val="00B0372F"/>
    <w:rsid w:val="00B0641B"/>
    <w:rsid w:val="00B1690A"/>
    <w:rsid w:val="00B16A96"/>
    <w:rsid w:val="00B16EE5"/>
    <w:rsid w:val="00B17ADF"/>
    <w:rsid w:val="00B22756"/>
    <w:rsid w:val="00B22E7E"/>
    <w:rsid w:val="00B4313A"/>
    <w:rsid w:val="00B45B60"/>
    <w:rsid w:val="00B45CEA"/>
    <w:rsid w:val="00B56A3F"/>
    <w:rsid w:val="00B672E1"/>
    <w:rsid w:val="00B67A1C"/>
    <w:rsid w:val="00B71670"/>
    <w:rsid w:val="00B74716"/>
    <w:rsid w:val="00B833F8"/>
    <w:rsid w:val="00B8670E"/>
    <w:rsid w:val="00B90451"/>
    <w:rsid w:val="00B906D6"/>
    <w:rsid w:val="00B90E26"/>
    <w:rsid w:val="00B918C6"/>
    <w:rsid w:val="00B9361C"/>
    <w:rsid w:val="00B968B5"/>
    <w:rsid w:val="00B9773A"/>
    <w:rsid w:val="00BA4736"/>
    <w:rsid w:val="00BB0304"/>
    <w:rsid w:val="00BB3079"/>
    <w:rsid w:val="00BC2FFF"/>
    <w:rsid w:val="00BC5795"/>
    <w:rsid w:val="00BC65AE"/>
    <w:rsid w:val="00BD21EB"/>
    <w:rsid w:val="00BD3B67"/>
    <w:rsid w:val="00BD541E"/>
    <w:rsid w:val="00BE7E46"/>
    <w:rsid w:val="00BF06E5"/>
    <w:rsid w:val="00BF676E"/>
    <w:rsid w:val="00C01439"/>
    <w:rsid w:val="00C04A64"/>
    <w:rsid w:val="00C075FD"/>
    <w:rsid w:val="00C10B39"/>
    <w:rsid w:val="00C12193"/>
    <w:rsid w:val="00C129B4"/>
    <w:rsid w:val="00C12AC4"/>
    <w:rsid w:val="00C14B59"/>
    <w:rsid w:val="00C25745"/>
    <w:rsid w:val="00C31A9D"/>
    <w:rsid w:val="00C31B76"/>
    <w:rsid w:val="00C3316D"/>
    <w:rsid w:val="00C46AEF"/>
    <w:rsid w:val="00C5035D"/>
    <w:rsid w:val="00C6244A"/>
    <w:rsid w:val="00C62AC5"/>
    <w:rsid w:val="00C70EEE"/>
    <w:rsid w:val="00C74B43"/>
    <w:rsid w:val="00C74EFD"/>
    <w:rsid w:val="00C75F97"/>
    <w:rsid w:val="00C830C2"/>
    <w:rsid w:val="00C94953"/>
    <w:rsid w:val="00CA414B"/>
    <w:rsid w:val="00CC2C4C"/>
    <w:rsid w:val="00CC3164"/>
    <w:rsid w:val="00CC58CC"/>
    <w:rsid w:val="00CC7F65"/>
    <w:rsid w:val="00CD334A"/>
    <w:rsid w:val="00CD3C13"/>
    <w:rsid w:val="00CE0A1A"/>
    <w:rsid w:val="00CE172D"/>
    <w:rsid w:val="00CE3B29"/>
    <w:rsid w:val="00CE41A3"/>
    <w:rsid w:val="00CF13E3"/>
    <w:rsid w:val="00CF2BB1"/>
    <w:rsid w:val="00CF6516"/>
    <w:rsid w:val="00CF7C60"/>
    <w:rsid w:val="00D035D7"/>
    <w:rsid w:val="00D1016F"/>
    <w:rsid w:val="00D11238"/>
    <w:rsid w:val="00D12C62"/>
    <w:rsid w:val="00D156F4"/>
    <w:rsid w:val="00D17AE8"/>
    <w:rsid w:val="00D21B99"/>
    <w:rsid w:val="00D26CE8"/>
    <w:rsid w:val="00D3049D"/>
    <w:rsid w:val="00D326CF"/>
    <w:rsid w:val="00D32711"/>
    <w:rsid w:val="00D34E58"/>
    <w:rsid w:val="00D34EA2"/>
    <w:rsid w:val="00D45347"/>
    <w:rsid w:val="00D53CCD"/>
    <w:rsid w:val="00D569D8"/>
    <w:rsid w:val="00D642BB"/>
    <w:rsid w:val="00D67977"/>
    <w:rsid w:val="00D7372B"/>
    <w:rsid w:val="00D743AE"/>
    <w:rsid w:val="00D77F99"/>
    <w:rsid w:val="00D80591"/>
    <w:rsid w:val="00D83207"/>
    <w:rsid w:val="00D84E4F"/>
    <w:rsid w:val="00D87294"/>
    <w:rsid w:val="00D900C6"/>
    <w:rsid w:val="00D9597A"/>
    <w:rsid w:val="00D96573"/>
    <w:rsid w:val="00DA0E7A"/>
    <w:rsid w:val="00DA20D9"/>
    <w:rsid w:val="00DB6ABE"/>
    <w:rsid w:val="00DC0C45"/>
    <w:rsid w:val="00DC0DDE"/>
    <w:rsid w:val="00DC4103"/>
    <w:rsid w:val="00DD6096"/>
    <w:rsid w:val="00DE3736"/>
    <w:rsid w:val="00DF12D7"/>
    <w:rsid w:val="00DF2CCA"/>
    <w:rsid w:val="00DF3B74"/>
    <w:rsid w:val="00DF404E"/>
    <w:rsid w:val="00DF4F1A"/>
    <w:rsid w:val="00DF50C5"/>
    <w:rsid w:val="00E01E55"/>
    <w:rsid w:val="00E026D3"/>
    <w:rsid w:val="00E05A40"/>
    <w:rsid w:val="00E10FD8"/>
    <w:rsid w:val="00E15A00"/>
    <w:rsid w:val="00E20236"/>
    <w:rsid w:val="00E223A5"/>
    <w:rsid w:val="00E23984"/>
    <w:rsid w:val="00E25F55"/>
    <w:rsid w:val="00E262EC"/>
    <w:rsid w:val="00E30D6C"/>
    <w:rsid w:val="00E33BBF"/>
    <w:rsid w:val="00E34DAA"/>
    <w:rsid w:val="00E34F0B"/>
    <w:rsid w:val="00E43246"/>
    <w:rsid w:val="00E434CD"/>
    <w:rsid w:val="00E471B4"/>
    <w:rsid w:val="00E52E0D"/>
    <w:rsid w:val="00E54789"/>
    <w:rsid w:val="00E5734F"/>
    <w:rsid w:val="00E57777"/>
    <w:rsid w:val="00E6285A"/>
    <w:rsid w:val="00E7555E"/>
    <w:rsid w:val="00E7710C"/>
    <w:rsid w:val="00E81513"/>
    <w:rsid w:val="00E84711"/>
    <w:rsid w:val="00E86226"/>
    <w:rsid w:val="00E86ED8"/>
    <w:rsid w:val="00E97FDB"/>
    <w:rsid w:val="00EA02A6"/>
    <w:rsid w:val="00EA4927"/>
    <w:rsid w:val="00EA7BC2"/>
    <w:rsid w:val="00EB3080"/>
    <w:rsid w:val="00EB4C03"/>
    <w:rsid w:val="00EB6A59"/>
    <w:rsid w:val="00EC7B92"/>
    <w:rsid w:val="00ED2753"/>
    <w:rsid w:val="00ED7112"/>
    <w:rsid w:val="00EE13D1"/>
    <w:rsid w:val="00EE4CCA"/>
    <w:rsid w:val="00EE5E74"/>
    <w:rsid w:val="00EF4832"/>
    <w:rsid w:val="00EF7027"/>
    <w:rsid w:val="00F05FC4"/>
    <w:rsid w:val="00F112C8"/>
    <w:rsid w:val="00F17CE3"/>
    <w:rsid w:val="00F2398C"/>
    <w:rsid w:val="00F24245"/>
    <w:rsid w:val="00F24CCF"/>
    <w:rsid w:val="00F34438"/>
    <w:rsid w:val="00F447BE"/>
    <w:rsid w:val="00F44D27"/>
    <w:rsid w:val="00F46111"/>
    <w:rsid w:val="00F60DD8"/>
    <w:rsid w:val="00F67ED5"/>
    <w:rsid w:val="00F80C23"/>
    <w:rsid w:val="00F81DF4"/>
    <w:rsid w:val="00F84C9A"/>
    <w:rsid w:val="00F85E7D"/>
    <w:rsid w:val="00F919FC"/>
    <w:rsid w:val="00F93351"/>
    <w:rsid w:val="00F93E4E"/>
    <w:rsid w:val="00F94078"/>
    <w:rsid w:val="00F97376"/>
    <w:rsid w:val="00FB2088"/>
    <w:rsid w:val="00FB2626"/>
    <w:rsid w:val="00FB5B1A"/>
    <w:rsid w:val="00FB656E"/>
    <w:rsid w:val="00FB7041"/>
    <w:rsid w:val="00FB782F"/>
    <w:rsid w:val="00FC0416"/>
    <w:rsid w:val="00FC1E50"/>
    <w:rsid w:val="00FC2625"/>
    <w:rsid w:val="00FC293F"/>
    <w:rsid w:val="00FD0131"/>
    <w:rsid w:val="00FD41E6"/>
    <w:rsid w:val="00FD616C"/>
    <w:rsid w:val="00FD61F4"/>
    <w:rsid w:val="00FD7C3A"/>
    <w:rsid w:val="00FD7E42"/>
    <w:rsid w:val="00FE1CA8"/>
    <w:rsid w:val="00FE5E9A"/>
    <w:rsid w:val="00FF006C"/>
    <w:rsid w:val="00FF2EA4"/>
    <w:rsid w:val="00FF317E"/>
    <w:rsid w:val="00FF7E32"/>
    <w:rsid w:val="782B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/>
      <w:outlineLvl w:val="0"/>
    </w:p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200"/>
      <w:outlineLvl w:val="1"/>
    </w:p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00"/>
      <w:outlineLvl w:val="2"/>
    </w:pPr>
  </w:style>
  <w:style w:type="paragraph" w:styleId="5">
    <w:name w:val="heading 4"/>
    <w:basedOn w:val="1"/>
    <w:next w:val="1"/>
    <w:link w:val="24"/>
    <w:unhideWhenUsed/>
    <w:qFormat/>
    <w:uiPriority w:val="9"/>
    <w:pPr>
      <w:keepNext/>
      <w:keepLines/>
      <w:spacing w:before="200"/>
      <w:outlineLvl w:val="3"/>
    </w:p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rFonts w:ascii="Times New Roman" w:hAnsi="Times New Roman" w:eastAsia="Times New Roman" w:cs="Times New Roman"/>
    </w:rPr>
  </w:style>
  <w:style w:type="character" w:styleId="9">
    <w:name w:val="Hyperlink"/>
    <w:basedOn w:val="6"/>
    <w:unhideWhenUsed/>
    <w:uiPriority w:val="99"/>
    <w:rPr>
      <w:rFonts w:ascii="Times New Roman" w:hAnsi="Times New Roman" w:eastAsia="Times New Roman" w:cs="Times New Roman"/>
    </w:rPr>
  </w:style>
  <w:style w:type="paragraph" w:styleId="10">
    <w:name w:val="Balloon Text"/>
    <w:basedOn w:val="1"/>
    <w:link w:val="2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Normal Indent"/>
    <w:basedOn w:val="1"/>
    <w:unhideWhenUsed/>
    <w:qFormat/>
    <w:uiPriority w:val="99"/>
    <w:pPr>
      <w:ind w:left="72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40" w:lineRule="auto"/>
    </w:pPr>
  </w:style>
  <w:style w:type="paragraph" w:styleId="13">
    <w:name w:val="header"/>
    <w:basedOn w:val="1"/>
    <w:link w:val="20"/>
    <w:unhideWhenUsed/>
    <w:qFormat/>
    <w:uiPriority w:val="99"/>
    <w:pPr>
      <w:tabs>
        <w:tab w:val="center" w:pos="4680"/>
        <w:tab w:val="right" w:pos="9360"/>
      </w:tabs>
    </w:pPr>
  </w:style>
  <w:style w:type="paragraph" w:styleId="14">
    <w:name w:val="Title"/>
    <w:basedOn w:val="1"/>
    <w:next w:val="1"/>
    <w:link w:val="26"/>
    <w:qFormat/>
    <w:uiPriority w:val="10"/>
    <w:pPr>
      <w:pBdr>
        <w:bottom w:val="single" w:color="4F81BD" w:themeColor="accent1" w:sz="8" w:space="4"/>
      </w:pBdr>
      <w:spacing w:after="300"/>
      <w:contextualSpacing/>
    </w:pPr>
  </w:style>
  <w:style w:type="paragraph" w:styleId="15">
    <w:name w:val="footer"/>
    <w:basedOn w:val="1"/>
    <w:link w:val="34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sz w:val="24"/>
      <w:szCs w:val="24"/>
      <w:lang w:val="ru-RU" w:eastAsia="ko-KR"/>
    </w:rPr>
  </w:style>
  <w:style w:type="paragraph" w:styleId="17">
    <w:name w:val="Subtitle"/>
    <w:basedOn w:val="1"/>
    <w:next w:val="1"/>
    <w:link w:val="25"/>
    <w:qFormat/>
    <w:uiPriority w:val="11"/>
    <w:pPr>
      <w:ind w:left="86"/>
    </w:pPr>
  </w:style>
  <w:style w:type="paragraph" w:styleId="18">
    <w:name w:val="HTML Preformatted"/>
    <w:basedOn w:val="1"/>
    <w:link w:val="32"/>
    <w:semiHidden/>
    <w:unhideWhenUsed/>
    <w:qFormat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table" w:styleId="19">
    <w:name w:val="Table Grid"/>
    <w:basedOn w:val="7"/>
    <w:qFormat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20">
    <w:name w:val="Верхний колонтитул Знак"/>
    <w:basedOn w:val="6"/>
    <w:link w:val="13"/>
    <w:qFormat/>
    <w:uiPriority w:val="99"/>
    <w:rPr>
      <w:rFonts w:ascii="Times New Roman" w:hAnsi="Times New Roman" w:eastAsia="Times New Roman" w:cs="Times New Roman"/>
    </w:rPr>
  </w:style>
  <w:style w:type="character" w:customStyle="1" w:styleId="21">
    <w:name w:val="Заголовок 1 Знак"/>
    <w:basedOn w:val="6"/>
    <w:link w:val="2"/>
    <w:qFormat/>
    <w:uiPriority w:val="9"/>
    <w:rPr>
      <w:rFonts w:ascii="Times New Roman" w:hAnsi="Times New Roman" w:eastAsia="Times New Roman" w:cs="Times New Roman"/>
    </w:rPr>
  </w:style>
  <w:style w:type="character" w:customStyle="1" w:styleId="22">
    <w:name w:val="Заголовок 2 Знак"/>
    <w:basedOn w:val="6"/>
    <w:link w:val="3"/>
    <w:uiPriority w:val="9"/>
    <w:rPr>
      <w:rFonts w:ascii="Times New Roman" w:hAnsi="Times New Roman" w:eastAsia="Times New Roman" w:cs="Times New Roman"/>
    </w:rPr>
  </w:style>
  <w:style w:type="character" w:customStyle="1" w:styleId="23">
    <w:name w:val="Заголовок 3 Знак"/>
    <w:basedOn w:val="6"/>
    <w:link w:val="4"/>
    <w:uiPriority w:val="9"/>
    <w:rPr>
      <w:rFonts w:ascii="Times New Roman" w:hAnsi="Times New Roman" w:eastAsia="Times New Roman" w:cs="Times New Roman"/>
    </w:rPr>
  </w:style>
  <w:style w:type="character" w:customStyle="1" w:styleId="24">
    <w:name w:val="Заголовок 4 Знак"/>
    <w:basedOn w:val="6"/>
    <w:link w:val="5"/>
    <w:uiPriority w:val="9"/>
    <w:rPr>
      <w:rFonts w:ascii="Times New Roman" w:hAnsi="Times New Roman" w:eastAsia="Times New Roman" w:cs="Times New Roman"/>
    </w:rPr>
  </w:style>
  <w:style w:type="character" w:customStyle="1" w:styleId="25">
    <w:name w:val="Подзаголовок Знак"/>
    <w:basedOn w:val="6"/>
    <w:link w:val="17"/>
    <w:qFormat/>
    <w:uiPriority w:val="11"/>
    <w:rPr>
      <w:rFonts w:ascii="Times New Roman" w:hAnsi="Times New Roman" w:eastAsia="Times New Roman" w:cs="Times New Roman"/>
    </w:rPr>
  </w:style>
  <w:style w:type="character" w:customStyle="1" w:styleId="26">
    <w:name w:val="Заголовок Знак"/>
    <w:basedOn w:val="6"/>
    <w:link w:val="14"/>
    <w:qFormat/>
    <w:uiPriority w:val="10"/>
    <w:rPr>
      <w:rFonts w:ascii="Times New Roman" w:hAnsi="Times New Roman" w:eastAsia="Times New Roman" w:cs="Times New Roman"/>
    </w:rPr>
  </w:style>
  <w:style w:type="paragraph" w:customStyle="1" w:styleId="27">
    <w:name w:val="disclaimer"/>
    <w:basedOn w:val="1"/>
    <w:qFormat/>
    <w:uiPriority w:val="0"/>
    <w:pPr>
      <w:jc w:val="center"/>
    </w:pPr>
    <w:rPr>
      <w:sz w:val="18"/>
      <w:szCs w:val="18"/>
    </w:rPr>
  </w:style>
  <w:style w:type="paragraph" w:customStyle="1" w:styleId="28">
    <w:name w:val="DocDefaults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29">
    <w:name w:val="Текст выноски Знак"/>
    <w:basedOn w:val="6"/>
    <w:link w:val="10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30">
    <w:name w:val="List Paragraph"/>
    <w:basedOn w:val="1"/>
    <w:unhideWhenUsed/>
    <w:qFormat/>
    <w:uiPriority w:val="99"/>
    <w:pPr>
      <w:ind w:left="720"/>
      <w:contextualSpacing/>
    </w:pPr>
  </w:style>
  <w:style w:type="paragraph" w:styleId="31">
    <w:name w:val="No Spacing"/>
    <w:qFormat/>
    <w:uiPriority w:val="1"/>
    <w:pPr>
      <w:spacing w:after="0" w:line="240" w:lineRule="auto"/>
    </w:pPr>
    <w:rPr>
      <w:rFonts w:ascii="Consolas" w:hAnsi="Consolas" w:eastAsia="Calibri" w:cs="Consolas"/>
      <w:sz w:val="22"/>
      <w:szCs w:val="22"/>
      <w:lang w:val="en-US" w:eastAsia="en-US" w:bidi="ar-SA"/>
    </w:rPr>
  </w:style>
  <w:style w:type="character" w:customStyle="1" w:styleId="32">
    <w:name w:val="Стандартный HTML Знак"/>
    <w:basedOn w:val="6"/>
    <w:link w:val="18"/>
    <w:semiHidden/>
    <w:qFormat/>
    <w:uiPriority w:val="99"/>
    <w:rPr>
      <w:rFonts w:ascii="Consolas" w:hAnsi="Consolas" w:eastAsia="Times New Roman" w:cs="Times New Roman"/>
      <w:sz w:val="20"/>
      <w:szCs w:val="20"/>
    </w:rPr>
  </w:style>
  <w:style w:type="character" w:customStyle="1" w:styleId="33">
    <w:name w:val="s0"/>
    <w:basedOn w:val="6"/>
    <w:qFormat/>
    <w:uiPriority w:val="0"/>
    <w:rPr>
      <w:rFonts w:hint="default" w:ascii="Times New Roman" w:hAnsi="Times New Roman" w:cs="Times New Roman"/>
      <w:color w:val="000000"/>
    </w:rPr>
  </w:style>
  <w:style w:type="character" w:customStyle="1" w:styleId="34">
    <w:name w:val="Нижний колонтитул Знак"/>
    <w:basedOn w:val="6"/>
    <w:link w:val="15"/>
    <w:qFormat/>
    <w:uiPriority w:val="99"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22C4DA-5331-4813-A96B-367DD55253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539</Words>
  <Characters>4397</Characters>
  <Lines>36</Lines>
  <Paragraphs>10</Paragraphs>
  <TotalTime>129</TotalTime>
  <ScaleCrop>false</ScaleCrop>
  <LinksUpToDate>false</LinksUpToDate>
  <CharactersWithSpaces>4965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2026-03-31T05:46:00Z</dcterms:created>
  <dc:creator>01</dc:creator>
  <cp:lastModifiedBy>АКЕРКЕ КАРИМОВА</cp:lastModifiedBy>
  <cp:lastPrinted>2026-03-31T11:06:00Z</cp:lastPrinted>
  <dcterms:modified xsi:type="dcterms:W3CDTF">2026-07-15T20:02:12Z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eyJoZGlkIjoiZTgxYThmZWU1N2QxZmRkMDViMzg4NDE4ZjUyMTg0NjciLCJ1c2VySWQiOiI4ODE0MDAyMzMzMzU5In0=</vt:lpwstr>
  </property>
  <property fmtid="{D5CDD505-2E9C-101B-9397-08002B2CF9AE}" pid="3" name="KSOProductBuildVer">
    <vt:lpwstr>1049-12.1.0.26880</vt:lpwstr>
  </property>
  <property fmtid="{D5CDD505-2E9C-101B-9397-08002B2CF9AE}" pid="4" name="ICV">
    <vt:lpwstr>D259CC3C76A64DA2A91B985B87C3C406_12</vt:lpwstr>
  </property>
</Properties>
</file>