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56F57AFD">
      <w:pPr>
        <w:pStyle w:val="style0"/>
        <w:spacing w:after="0"/>
        <w:jc w:val="left"/>
        <w:rPr/>
      </w:pPr>
      <w:bookmarkStart w:id="0" w:name="z51"/>
      <w:bookmarkStart w:id="1" w:name="_GoBack"/>
      <w:r>
        <w:rPr>
          <w:b/>
          <w:color w:val="000000"/>
        </w:rPr>
        <w:t>Сыбайлас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жемқорлық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тәуекелдерін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ішкі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талдау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нәтижелері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бойынша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анықталған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сыбайлас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жемқорлық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құқық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бұзушылықтар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жасауға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ықпал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ететін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себептер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мен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жағдайларды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жою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жөніндегі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іс-шаралар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t>жоспары</w:t>
      </w:r>
    </w:p>
    <w:bookmarkEnd w:id="0"/>
    <w:bookmarkEnd w:id="1"/>
    <w:p w14:paraId="862C44CF">
      <w:pPr>
        <w:pStyle w:val="style0"/>
        <w:spacing w:after="0"/>
        <w:jc w:val="both"/>
        <w:rPr/>
      </w:pPr>
      <w:r>
        <w:rPr>
          <w:color w:val="000000"/>
          <w:sz w:val="28"/>
        </w:rPr>
        <w:t>      __________________________________</w:t>
      </w:r>
    </w:p>
    <w:p w14:paraId="F9ECA6A7">
      <w:pPr>
        <w:pStyle w:val="style0"/>
        <w:spacing w:after="0"/>
        <w:jc w:val="both"/>
        <w:rPr/>
      </w:pPr>
      <w:r>
        <w:rPr>
          <w:color w:val="000000"/>
          <w:sz w:val="28"/>
        </w:rPr>
        <w:t>(</w:t>
      </w:r>
      <w:r>
        <w:rPr>
          <w:color w:val="000000"/>
          <w:sz w:val="28"/>
        </w:rPr>
        <w:t>талдау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объектісінің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атауы</w:t>
      </w:r>
      <w:r>
        <w:rPr>
          <w:color w:val="000000"/>
          <w:sz w:val="28"/>
        </w:rPr>
        <w:t>)</w:t>
      </w:r>
    </w:p>
    <w:tbl>
      <w:tblPr>
        <w:tblW w:w="953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1553"/>
        <w:gridCol w:w="1985"/>
        <w:gridCol w:w="1701"/>
        <w:gridCol w:w="1611"/>
        <w:gridCol w:w="2067"/>
      </w:tblGrid>
      <w:tr w14:paraId="33525540">
        <w:trPr>
          <w:trHeight w:val="30" w:hRule="atLeast"/>
          <w:tblCellSpacing w:w="0" w:type="auto"/>
        </w:trPr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CDD59">
            <w:pPr>
              <w:pStyle w:val="style0"/>
              <w:spacing w:after="20"/>
              <w:ind w:left="20"/>
              <w:jc w:val="both"/>
              <w:rPr/>
            </w:pPr>
            <w:r>
              <w:rPr>
                <w:color w:val="000000"/>
                <w:sz w:val="20"/>
              </w:rPr>
              <w:t>р/с</w:t>
            </w:r>
          </w:p>
          <w:p w14:paraId="B0D7604A">
            <w:pPr>
              <w:pStyle w:val="style0"/>
              <w:spacing w:after="20"/>
              <w:ind w:left="20"/>
              <w:jc w:val="both"/>
              <w:rPr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15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78CB8">
            <w:pPr>
              <w:pStyle w:val="style0"/>
              <w:spacing w:after="20"/>
              <w:ind w:left="20"/>
              <w:jc w:val="both"/>
              <w:rPr/>
            </w:pPr>
            <w:r>
              <w:rPr>
                <w:color w:val="000000"/>
                <w:sz w:val="20"/>
              </w:rPr>
              <w:t>Ұсыным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A54AE2B7">
            <w:pPr>
              <w:pStyle w:val="style0"/>
              <w:spacing w:after="20"/>
              <w:ind w:left="20"/>
              <w:jc w:val="both"/>
              <w:rPr/>
            </w:pPr>
            <w:r>
              <w:rPr>
                <w:color w:val="000000"/>
                <w:sz w:val="20"/>
              </w:rPr>
              <w:t>Іс-шара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92595265">
            <w:pPr>
              <w:pStyle w:val="style0"/>
              <w:spacing w:after="20"/>
              <w:ind w:left="20"/>
              <w:jc w:val="both"/>
              <w:rPr/>
            </w:pPr>
            <w:r>
              <w:rPr>
                <w:color w:val="000000"/>
                <w:sz w:val="20"/>
              </w:rPr>
              <w:t>Іс-шараны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аяқтау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нысаны</w:t>
            </w: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A4138D">
            <w:pPr>
              <w:pStyle w:val="style0"/>
              <w:spacing w:after="20"/>
              <w:ind w:left="20"/>
              <w:jc w:val="both"/>
              <w:rPr/>
            </w:pPr>
            <w:r>
              <w:rPr>
                <w:color w:val="000000"/>
                <w:sz w:val="20"/>
              </w:rPr>
              <w:t>Орындаушылар</w:t>
            </w:r>
          </w:p>
        </w:tc>
        <w:tc>
          <w:tcPr>
            <w:tcW w:w="2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AA7ED">
            <w:pPr>
              <w:pStyle w:val="style0"/>
              <w:spacing w:after="20"/>
              <w:ind w:left="20"/>
              <w:jc w:val="both"/>
              <w:rPr/>
            </w:pPr>
            <w:r>
              <w:rPr>
                <w:color w:val="000000"/>
                <w:sz w:val="20"/>
              </w:rPr>
              <w:t>Іс-шараны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орындау</w:t>
            </w:r>
            <w:r>
              <w:rPr>
                <w:color w:val="000000"/>
                <w:sz w:val="20"/>
              </w:rPr>
              <w:t xml:space="preserve"> </w:t>
            </w:r>
            <w:r>
              <w:rPr>
                <w:color w:val="000000"/>
                <w:sz w:val="20"/>
              </w:rPr>
              <w:t>мерзімі</w:t>
            </w:r>
          </w:p>
        </w:tc>
      </w:tr>
      <w:tr w14:paraId="219DD0DE">
        <w:tblPrEx/>
        <w:trPr>
          <w:trHeight w:val="30" w:hRule="atLeast"/>
          <w:tblCellSpacing w:w="0" w:type="auto"/>
        </w:trPr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B2510">
            <w:pPr>
              <w:pStyle w:val="style0"/>
              <w:spacing w:after="20"/>
              <w:ind w:left="20"/>
              <w:jc w:val="both"/>
              <w:rPr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15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1CBF9E6">
            <w:pPr>
              <w:pStyle w:val="style0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</w:rPr>
              <w:t>Қызмет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көрсету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процестерін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толық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цифрландыру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және</w:t>
            </w:r>
            <w:r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  <w:lang w:val="kk-KZ"/>
              </w:rPr>
              <w:t>е</w:t>
            </w: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өтініш</w:t>
            </w:r>
            <w:r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жүйесі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арқылы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бақылау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D662E205">
            <w:pPr>
              <w:pStyle w:val="style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Жеке және заңды тұлғалардың өтініштерін қабылдау мен өңдеудің бірыңғай платформасының «</w:t>
            </w:r>
            <w:r>
              <w:rPr>
                <w:sz w:val="24"/>
                <w:szCs w:val="24"/>
                <w:lang w:val="kk-KZ"/>
              </w:rPr>
              <w:t>е</w:t>
            </w:r>
            <w:r>
              <w:rPr>
                <w:sz w:val="24"/>
                <w:szCs w:val="24"/>
                <w:lang w:val="kk-KZ"/>
              </w:rPr>
              <w:t>-otinish» ақпараттық жүйесі арқылы  түскен жеке және заңды тұлғалардың өтініштеріне берілетін жауаптарды сапалы, уақытылы және грамматикалық дұрыс жолдануын қатаң бақылау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CEAA4B14">
            <w:pPr>
              <w:pStyle w:val="style0"/>
              <w:rPr/>
            </w:pPr>
            <w:r>
              <w:rPr>
                <w:lang w:val="kk-KZ"/>
              </w:rPr>
              <w:t>цифрландыру</w:t>
            </w:r>
            <w:r>
              <w:t xml:space="preserve">, </w:t>
            </w:r>
            <w:r>
              <w:t>есеп</w:t>
            </w:r>
            <w:r>
              <w:t xml:space="preserve"> </w:t>
            </w:r>
            <w:r>
              <w:t>беру</w:t>
            </w:r>
            <w:r>
              <w:t>.</w:t>
            </w: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A6D4ABAB">
            <w:pPr>
              <w:pStyle w:val="style0"/>
              <w:rPr>
                <w:lang w:val="kk-KZ"/>
              </w:rPr>
            </w:pPr>
            <w:r>
              <w:rPr>
                <w:lang w:val="kk-KZ"/>
              </w:rPr>
              <w:t>Әкімшілік бөлімі</w:t>
            </w:r>
          </w:p>
        </w:tc>
        <w:tc>
          <w:tcPr>
            <w:tcW w:w="2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BCA9311">
            <w:pPr>
              <w:pStyle w:val="style0"/>
              <w:rPr/>
            </w:pPr>
            <w:r>
              <w:t>Тұрақты</w:t>
            </w:r>
          </w:p>
        </w:tc>
      </w:tr>
      <w:tr w14:paraId="2F6ED4DC">
        <w:tblPrEx/>
        <w:trPr>
          <w:trHeight w:val="30" w:hRule="atLeast"/>
          <w:tblCellSpacing w:w="0" w:type="auto"/>
        </w:trPr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A415AB14">
            <w:pPr>
              <w:pStyle w:val="style0"/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15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9EF64AA">
            <w:pPr>
              <w:pStyle w:val="style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Шешім қабылдау</w:t>
            </w:r>
            <w:r>
              <w:rPr>
                <w:sz w:val="24"/>
                <w:szCs w:val="24"/>
                <w:lang w:val="kk-KZ"/>
              </w:rPr>
              <w:t xml:space="preserve"> процестерінде бейтараптық </w:t>
            </w:r>
            <w:r>
              <w:rPr>
                <w:sz w:val="24"/>
                <w:szCs w:val="24"/>
                <w:lang w:val="kk-KZ"/>
              </w:rPr>
              <w:t>мақсатты</w:t>
            </w:r>
            <w:r>
              <w:rPr>
                <w:sz w:val="24"/>
                <w:szCs w:val="24"/>
                <w:lang w:val="kk-KZ"/>
              </w:rPr>
              <w:t xml:space="preserve"> ұстану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D9A0492D">
            <w:pPr>
              <w:pStyle w:val="style67"/>
              <w:pBdr>
                <w:bottom w:val="single" w:sz="4" w:space="31" w:color="ffffff"/>
              </w:pBdr>
              <w:spacing w:after="0"/>
              <w:ind w:left="0"/>
              <w:jc w:val="both"/>
              <w:contextualSpacing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 xml:space="preserve">Қызметтік шешімдерді қабылдау кезінде ашықтық пен объективтілік қағидаттарын сақтау, Қызметтік </w:t>
            </w:r>
            <w:r>
              <w:rPr>
                <w:rFonts w:cs="Times New Roman"/>
                <w:sz w:val="24"/>
                <w:szCs w:val="24"/>
                <w:lang w:val="kk-KZ"/>
              </w:rPr>
              <w:t>өкілеттіктерді асыра пайдалану және жеке мүддеге пайдалану фактілеріне жол бермеу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A2BFD4">
            <w:pPr>
              <w:pStyle w:val="style0"/>
              <w:rPr/>
            </w:pPr>
            <w:r>
              <w:rPr>
                <w:lang w:val="kk-KZ"/>
              </w:rPr>
              <w:t>цифрландыру</w:t>
            </w:r>
            <w:r>
              <w:t xml:space="preserve">, </w:t>
            </w:r>
            <w:r>
              <w:t>есеп</w:t>
            </w:r>
            <w:r>
              <w:t xml:space="preserve"> </w:t>
            </w:r>
            <w:r>
              <w:t>беру</w:t>
            </w:r>
            <w:r>
              <w:t>.</w:t>
            </w: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C3F6AA88">
            <w:pPr>
              <w:pStyle w:val="style0"/>
              <w:rPr>
                <w:lang w:val="kk-KZ"/>
              </w:rPr>
            </w:pPr>
            <w:r>
              <w:rPr>
                <w:lang w:val="kk-KZ"/>
              </w:rPr>
              <w:t>Зияткерлік меншік құқығы бөлімі</w:t>
            </w:r>
          </w:p>
        </w:tc>
        <w:tc>
          <w:tcPr>
            <w:tcW w:w="2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FEC1001C">
            <w:pPr>
              <w:pStyle w:val="style0"/>
              <w:rPr>
                <w:lang w:val="kk-KZ"/>
              </w:rPr>
            </w:pPr>
            <w:r>
              <w:rPr>
                <w:lang w:val="kk-KZ"/>
              </w:rPr>
              <w:t>тұрақты</w:t>
            </w:r>
          </w:p>
        </w:tc>
      </w:tr>
      <w:tr w14:paraId="D4D1F786">
        <w:tblPrEx/>
        <w:trPr>
          <w:trHeight w:val="30" w:hRule="atLeast"/>
          <w:tblCellSpacing w:w="0" w:type="auto"/>
        </w:trPr>
        <w:tc>
          <w:tcPr>
            <w:tcW w:w="6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C3850BDB">
            <w:pPr>
              <w:pStyle w:val="style0"/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  <w:tc>
          <w:tcPr>
            <w:tcW w:w="15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D3E3F5B7">
            <w:pPr>
              <w:pStyle w:val="style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ҚР «Атқарушылық іс жүргізу және сот орындаушылардың мәртебесі туралы» Заңының талаптарына сәйкес іс жүргізу</w:t>
            </w:r>
          </w:p>
        </w:tc>
        <w:tc>
          <w:tcPr>
            <w:tcW w:w="19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8D33E797">
            <w:pPr>
              <w:pStyle w:val="style67"/>
              <w:pBdr>
                <w:bottom w:val="single" w:sz="4" w:space="31" w:color="ffffff"/>
              </w:pBdr>
              <w:spacing w:after="0"/>
              <w:ind w:left="0"/>
              <w:jc w:val="both"/>
              <w:contextualSpacing/>
              <w:rPr>
                <w:rFonts w:cs="Times New Roman"/>
                <w:sz w:val="24"/>
                <w:szCs w:val="24"/>
                <w:lang w:val="kk-KZ"/>
              </w:rPr>
            </w:pPr>
            <w:r>
              <w:rPr>
                <w:rFonts w:cs="Times New Roman"/>
                <w:sz w:val="24"/>
                <w:szCs w:val="24"/>
                <w:lang w:val="kk-KZ"/>
              </w:rPr>
              <w:t>Мемлекеттік сот орындаушылардың орындауындағы атқару өндірістерінің мерзімдерін қатаң сақтау</w:t>
            </w:r>
          </w:p>
        </w:tc>
        <w:tc>
          <w:tcPr>
            <w:tcW w:w="170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E65B3CA7">
            <w:pPr>
              <w:pStyle w:val="style0"/>
              <w:rPr/>
            </w:pPr>
            <w:r>
              <w:rPr>
                <w:lang w:val="kk-KZ"/>
              </w:rPr>
              <w:t>цифрландыру</w:t>
            </w:r>
            <w:r>
              <w:t xml:space="preserve">, </w:t>
            </w:r>
            <w:r>
              <w:t>есеп</w:t>
            </w:r>
            <w:r>
              <w:t xml:space="preserve"> </w:t>
            </w:r>
            <w:r>
              <w:t>беру</w:t>
            </w:r>
            <w:r>
              <w:t>.</w:t>
            </w:r>
          </w:p>
        </w:tc>
        <w:tc>
          <w:tcPr>
            <w:tcW w:w="16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F0C5421A">
            <w:pPr>
              <w:pStyle w:val="style0"/>
              <w:rPr>
                <w:lang w:val="kk-KZ"/>
              </w:rPr>
            </w:pPr>
            <w:r>
              <w:rPr>
                <w:lang w:val="kk-KZ"/>
              </w:rPr>
              <w:t>Атқарушылық құжаттарды орындау жөніндегі бөлімі-филалы;</w:t>
            </w:r>
          </w:p>
          <w:p w14:paraId="BB2F8F65">
            <w:pPr>
              <w:pStyle w:val="style0"/>
              <w:rPr>
                <w:lang w:val="kk-KZ"/>
              </w:rPr>
            </w:pPr>
            <w:r>
              <w:rPr>
                <w:lang w:val="kk-KZ"/>
              </w:rPr>
              <w:t>Жеке сот орындаушыларының ұсыныстары бойынша әкімшілік тәжірибе бөлімі</w:t>
            </w:r>
          </w:p>
        </w:tc>
        <w:tc>
          <w:tcPr>
            <w:tcW w:w="20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C816D37C">
            <w:pPr>
              <w:pStyle w:val="style0"/>
              <w:rPr>
                <w:lang w:val="kk-KZ"/>
              </w:rPr>
            </w:pPr>
            <w:r>
              <w:rPr>
                <w:lang w:val="kk-KZ"/>
              </w:rPr>
              <w:t>тұрақты</w:t>
            </w:r>
          </w:p>
        </w:tc>
      </w:tr>
    </w:tbl>
    <w:p w14:paraId="1D92C980">
      <w:pPr>
        <w:pStyle w:val="style157"/>
        <w:ind w:firstLine="567"/>
        <w:jc w:val="both"/>
        <w:rPr>
          <w:rFonts w:ascii="Times New Roman" w:cs="Times New Roman" w:hAnsi="Times New Roman"/>
          <w:sz w:val="32"/>
          <w:szCs w:val="32"/>
        </w:rPr>
      </w:pPr>
    </w:p>
    <w:sectPr>
      <w:pgSz w:w="11906" w:h="16838" w:orient="portrait"/>
      <w:pgMar w:top="709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cc"/>
    <w:family w:val="roman"/>
    <w:pitch w:val="variable"/>
    <w:sig w:usb0="E0002EFF" w:usb1="C0007843" w:usb2="00000009" w:usb3="00000000" w:csb0="000001FF" w:csb1="00000000"/>
  </w:font>
  <w:font w:name="Segoe UI">
    <w:altName w:val="Segoe UI"/>
    <w:panose1 w:val="020b0502040002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ru-RU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rFonts w:ascii="Times New Roman" w:cs="Times New Roman" w:eastAsia="Times New Roman" w:hAnsi="Times New Roman"/>
      <w:lang w:val="en-US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Segoe UI" w:cs="Segoe UI" w:eastAsia="Calibri" w:hAnsi="Segoe UI"/>
      <w:sz w:val="18"/>
      <w:szCs w:val="18"/>
      <w:lang w:val="ru-RU"/>
    </w:rPr>
  </w:style>
  <w:style w:type="character" w:customStyle="1" w:styleId="style4097">
    <w:name w:val="Текст выноски Знак"/>
    <w:basedOn w:val="style65"/>
    <w:next w:val="style4097"/>
    <w:link w:val="style153"/>
    <w:uiPriority w:val="99"/>
    <w:rPr>
      <w:rFonts w:ascii="Segoe UI" w:cs="Segoe UI" w:hAnsi="Segoe UI"/>
      <w:sz w:val="18"/>
      <w:szCs w:val="18"/>
    </w:rPr>
  </w:style>
  <w:style w:type="paragraph" w:styleId="style67">
    <w:name w:val="Body Text Indent"/>
    <w:basedOn w:val="style0"/>
    <w:next w:val="style67"/>
    <w:link w:val="style4098"/>
    <w:uiPriority w:val="99"/>
    <w:pPr>
      <w:spacing w:after="120"/>
      <w:ind w:left="283"/>
    </w:pPr>
    <w:rPr>
      <w:rFonts w:cs="宋体" w:eastAsia="宋体"/>
    </w:rPr>
  </w:style>
  <w:style w:type="character" w:customStyle="1" w:styleId="style4098">
    <w:name w:val="Основной текст с отступом Знак"/>
    <w:basedOn w:val="style65"/>
    <w:next w:val="style4098"/>
    <w:link w:val="style67"/>
    <w:uiPriority w:val="99"/>
    <w:rPr>
      <w:rFonts w:ascii="Times New Roman" w:eastAsia="宋体" w:hAnsi="Times New Roman"/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158</Words>
  <Pages>4</Pages>
  <Characters>1231</Characters>
  <Application>WPS Office</Application>
  <DocSecurity>0</DocSecurity>
  <Paragraphs>34</Paragraphs>
  <ScaleCrop>false</ScaleCrop>
  <Company>SPecialiST RePack</Company>
  <LinksUpToDate>false</LinksUpToDate>
  <CharactersWithSpaces>1369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2026-09-15T11:54:00Z</dcterms:created>
  <dc:creator>Пользователь Windows</dc:creator>
  <lastModifiedBy>SM-X216B</lastModifiedBy>
  <lastPrinted>2026-09-15T10:49:00Z</lastPrinted>
  <dcterms:modified xsi:type="dcterms:W3CDTF">2026-09-16T09:33:39Z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5b3d7759236d4508ad84323fdf836fbe_23</vt:lpwstr>
  </property>
</Properties>
</file>