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F6225">
      <w:pPr>
        <w:ind w:left="0" w:leftChars="0" w:right="-892" w:rightChars="-446" w:firstLine="801" w:firstLineChars="285"/>
        <w:jc w:val="center"/>
        <w:rPr>
          <w:rFonts w:hint="default" w:ascii="Times New Roman" w:hAnsi="Times New Roman" w:cs="Times New Roman"/>
          <w:b/>
          <w:bCs/>
          <w:sz w:val="28"/>
          <w:szCs w:val="28"/>
        </w:rPr>
      </w:pPr>
      <w:r>
        <w:rPr>
          <w:rFonts w:hint="default" w:ascii="Times New Roman" w:hAnsi="Times New Roman" w:cs="Times New Roman"/>
          <w:b/>
          <w:bCs/>
          <w:sz w:val="28"/>
          <w:szCs w:val="28"/>
        </w:rPr>
        <w:t>«Абай облысының ауыл шаруашылығы басқармасы» мемлекеттік мекемесінің қызметіндегі сыбайлас жемқорлық тәуекелдеріне жүргізілген ішкі талдау нәтижелері бойынша</w:t>
      </w:r>
    </w:p>
    <w:p w14:paraId="247C3310">
      <w:pPr>
        <w:ind w:left="0" w:leftChars="0" w:right="-892" w:rightChars="-446" w:firstLine="801" w:firstLineChars="285"/>
        <w:jc w:val="center"/>
        <w:rPr>
          <w:rFonts w:hint="default" w:ascii="Times New Roman" w:hAnsi="Times New Roman" w:cs="Times New Roman"/>
          <w:b/>
          <w:bCs/>
          <w:sz w:val="28"/>
          <w:szCs w:val="28"/>
        </w:rPr>
      </w:pPr>
    </w:p>
    <w:p w14:paraId="63D554FE">
      <w:pPr>
        <w:ind w:left="0" w:leftChars="0" w:right="-892" w:rightChars="-446" w:firstLine="801" w:firstLineChars="285"/>
        <w:jc w:val="center"/>
        <w:rPr>
          <w:rFonts w:hint="default" w:ascii="Times New Roman" w:hAnsi="Times New Roman" w:cs="Times New Roman"/>
          <w:b/>
          <w:bCs/>
          <w:sz w:val="28"/>
          <w:szCs w:val="28"/>
        </w:rPr>
      </w:pPr>
      <w:r>
        <w:rPr>
          <w:rFonts w:hint="default" w:ascii="Times New Roman" w:hAnsi="Times New Roman" w:cs="Times New Roman"/>
          <w:b/>
          <w:bCs/>
          <w:sz w:val="28"/>
          <w:szCs w:val="28"/>
          <w:lang w:val="kk-KZ"/>
        </w:rPr>
        <w:t xml:space="preserve">АНАЛИТИКАЛЫҚ </w:t>
      </w:r>
      <w:r>
        <w:rPr>
          <w:rFonts w:hint="default" w:ascii="Times New Roman" w:hAnsi="Times New Roman" w:cs="Times New Roman"/>
          <w:b/>
          <w:bCs/>
          <w:sz w:val="28"/>
          <w:szCs w:val="28"/>
        </w:rPr>
        <w:t>АНЫҚТАМА</w:t>
      </w:r>
    </w:p>
    <w:p w14:paraId="2239BC75">
      <w:pPr>
        <w:ind w:left="0" w:leftChars="0" w:right="-892" w:rightChars="-446" w:firstLine="801" w:firstLineChars="285"/>
        <w:jc w:val="center"/>
        <w:rPr>
          <w:rFonts w:hint="default" w:ascii="Times New Roman" w:hAnsi="Times New Roman" w:cs="Times New Roman"/>
          <w:b/>
          <w:bCs/>
          <w:sz w:val="28"/>
          <w:szCs w:val="28"/>
        </w:rPr>
      </w:pPr>
    </w:p>
    <w:p w14:paraId="57CFC227">
      <w:p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«Қазақстан Республикасының Сыбайлас жемқорлыққа қарсы іс-қимыл туралы» 2015 жылғы 18 қарашадағы № 410 Қазақстан Республикасы Заңының 8-бабының 5-тармағына сәйкес «Абай облысының ауыл шаруашылығы басқармасы» мемлекеттік мекемесінде (бұдан әрі – Алқа) Қазақстан Республикасы Алқасы Басшысының бұйрығымен құрылған жұмыс тобының мүшелерімен бірге Қазақстан Республикасы Мемлекеттік қызмет істері және сыбайлас жемқорлыққа қарсы іс-қимыл агенттігі Төрағасының 2016 жылғы 19 қазандағы № 12 «Сыбайлас жемқорлық тәуекелдеріне ішкі талдау жасаудың үлгілік қағидаларын бекіту туралы» бұйрығына сәйкес сыбайлас жемқорлық тәуекелдеріне ішкі талдау жүргізілді.</w:t>
      </w:r>
    </w:p>
    <w:p w14:paraId="3F54D292">
      <w:p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 xml:space="preserve">Ағымғы жылдың 14 шілдесі мен 31 шілдесі аралығында жұмыс тобымен 2026 жылғы 14 шілдедегі № </w:t>
      </w:r>
      <w:r>
        <w:rPr>
          <w:rFonts w:hint="default" w:ascii="Times New Roman" w:hAnsi="Times New Roman" w:cs="Times New Roman"/>
          <w:b w:val="0"/>
          <w:bCs w:val="0"/>
          <w:sz w:val="28"/>
          <w:szCs w:val="28"/>
          <w:lang w:val="kk-KZ"/>
        </w:rPr>
        <w:t xml:space="preserve">24,25 </w:t>
      </w:r>
      <w:r>
        <w:rPr>
          <w:rFonts w:hint="default" w:ascii="Times New Roman" w:hAnsi="Times New Roman" w:cs="Times New Roman"/>
          <w:b w:val="0"/>
          <w:bCs w:val="0"/>
          <w:sz w:val="28"/>
          <w:szCs w:val="28"/>
        </w:rPr>
        <w:t>бұйрық</w:t>
      </w:r>
      <w:r>
        <w:rPr>
          <w:rFonts w:hint="default" w:ascii="Times New Roman" w:hAnsi="Times New Roman" w:cs="Times New Roman"/>
          <w:b w:val="0"/>
          <w:bCs w:val="0"/>
          <w:sz w:val="28"/>
          <w:szCs w:val="28"/>
          <w:lang w:val="kk-KZ"/>
        </w:rPr>
        <w:t>тар</w:t>
      </w:r>
      <w:r>
        <w:rPr>
          <w:rFonts w:hint="default" w:ascii="Times New Roman" w:hAnsi="Times New Roman" w:cs="Times New Roman"/>
          <w:b w:val="0"/>
          <w:bCs w:val="0"/>
          <w:sz w:val="28"/>
          <w:szCs w:val="28"/>
        </w:rPr>
        <w:t xml:space="preserve"> негізінде құрылған сыбайлас жемқорлыққа қарсы мониторинг және сыбайлас жемқорлық тәуекелдеріне ішкі талдау жүргізілді.</w:t>
      </w:r>
    </w:p>
    <w:p w14:paraId="2F9AFB4A">
      <w:p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Талдау келесі бағыттар бойынша жүргізілді:</w:t>
      </w:r>
    </w:p>
    <w:p w14:paraId="5DA198F3">
      <w:p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w:t>
      </w:r>
      <w:r>
        <w:rPr>
          <w:rFonts w:hint="default" w:ascii="Times New Roman" w:hAnsi="Times New Roman" w:cs="Times New Roman"/>
          <w:b w:val="0"/>
          <w:bCs w:val="0"/>
          <w:sz w:val="28"/>
          <w:szCs w:val="28"/>
          <w:lang w:val="kk-KZ"/>
        </w:rPr>
        <w:t>1</w:t>
      </w:r>
      <w:r>
        <w:rPr>
          <w:rFonts w:hint="default" w:ascii="Times New Roman" w:hAnsi="Times New Roman" w:cs="Times New Roman"/>
          <w:b w:val="0"/>
          <w:bCs w:val="0"/>
          <w:sz w:val="28"/>
          <w:szCs w:val="28"/>
          <w:lang w:val="ru-RU"/>
        </w:rPr>
        <w:t xml:space="preserve">) </w:t>
      </w:r>
      <w:r>
        <w:rPr>
          <w:rFonts w:hint="default" w:ascii="Times New Roman" w:hAnsi="Times New Roman" w:cs="Times New Roman"/>
          <w:b w:val="0"/>
          <w:bCs w:val="0"/>
          <w:sz w:val="28"/>
          <w:szCs w:val="28"/>
        </w:rPr>
        <w:t>Ұйымның ұйымдастырушылық-басқарушылық қызметіндегі сыбайлас жемқорлық тәуекелдерін анықтау;</w:t>
      </w:r>
    </w:p>
    <w:p w14:paraId="259282EA">
      <w:p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w:t>
      </w:r>
      <w:r>
        <w:rPr>
          <w:rFonts w:hint="default" w:ascii="Times New Roman" w:hAnsi="Times New Roman" w:cs="Times New Roman"/>
          <w:b w:val="0"/>
          <w:bCs w:val="0"/>
          <w:sz w:val="28"/>
          <w:szCs w:val="28"/>
          <w:lang w:val="ru-RU"/>
        </w:rPr>
        <w:t xml:space="preserve">2) </w:t>
      </w:r>
      <w:r>
        <w:rPr>
          <w:rFonts w:hint="default" w:ascii="Times New Roman" w:hAnsi="Times New Roman" w:cs="Times New Roman"/>
          <w:b w:val="0"/>
          <w:bCs w:val="0"/>
          <w:sz w:val="28"/>
          <w:szCs w:val="28"/>
        </w:rPr>
        <w:t>Ұйымның қызметіне қатысты нормативтік құқықтық актілердегі (мемлекеттік қызмет саласындағы) сыбайлас жемқорлық тәуекелдерін анықтау.</w:t>
      </w:r>
    </w:p>
    <w:p w14:paraId="1A6B053F">
      <w:p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Басқарма – ауыл шаруашылығы саласындағы атқарушылық функцияларды жүзеге асыратын Қазақстан Республикасының мемлекеттік органы. Басқарма өз қызметін Қазақстан Республикасының Конституциясына, Қазақстан Республикасы Президенті мен Үкіметінің актілеріне, өзге де нормативтік құқықтық актілерге, сондай-ақ «Абай облысының ауыл шаруашылығы басқармасы» ММ мемлекеттік мекемесі туралы ережеге сәйкес жүзеге асырады.</w:t>
      </w:r>
    </w:p>
    <w:p w14:paraId="50587B03">
      <w:p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Ережеге сәйкес кеңес өз қызметін тамақ өнімдерін реттеу, іске асыру, бақылау және қауіпсіздігін қамтамасыз ету шеңберінде жүзеге асырады.</w:t>
      </w:r>
    </w:p>
    <w:p w14:paraId="0817F924">
      <w:p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Талдау дереккөзі ретінде ұйым қызметіне қатысты нормативтік құқықтық актілер, ішкі құжаттар, мемлекеттік қызметшілердің жеке істері алынды.</w:t>
      </w:r>
    </w:p>
    <w:p w14:paraId="6D1216D2">
      <w:pPr>
        <w:ind w:left="0" w:leftChars="0" w:right="-892" w:rightChars="-446" w:firstLine="801" w:firstLineChars="285"/>
        <w:jc w:val="center"/>
        <w:rPr>
          <w:rFonts w:hint="default" w:ascii="Times New Roman" w:hAnsi="Times New Roman" w:cs="Times New Roman"/>
          <w:b/>
          <w:bCs/>
          <w:sz w:val="28"/>
          <w:szCs w:val="28"/>
        </w:rPr>
      </w:pPr>
    </w:p>
    <w:p w14:paraId="637B2144">
      <w:pPr>
        <w:ind w:left="0" w:leftChars="0" w:right="-892" w:rightChars="-446" w:firstLine="801" w:firstLineChars="285"/>
        <w:jc w:val="center"/>
        <w:rPr>
          <w:rFonts w:hint="default" w:ascii="Times New Roman" w:hAnsi="Times New Roman" w:cs="Times New Roman"/>
          <w:b/>
          <w:bCs/>
          <w:sz w:val="28"/>
          <w:szCs w:val="28"/>
        </w:rPr>
      </w:pPr>
    </w:p>
    <w:p w14:paraId="292B7E82">
      <w:pPr>
        <w:ind w:left="0" w:leftChars="0" w:right="-892" w:rightChars="-446" w:firstLine="801" w:firstLineChars="285"/>
        <w:jc w:val="center"/>
        <w:rPr>
          <w:rFonts w:hint="default" w:ascii="Times New Roman" w:hAnsi="Times New Roman" w:cs="Times New Roman"/>
          <w:b/>
          <w:bCs/>
          <w:sz w:val="28"/>
          <w:szCs w:val="28"/>
        </w:rPr>
      </w:pPr>
    </w:p>
    <w:p w14:paraId="6C77A2B6">
      <w:pPr>
        <w:numPr>
          <w:ilvl w:val="0"/>
          <w:numId w:val="1"/>
        </w:numPr>
        <w:ind w:left="0" w:leftChars="0" w:right="-892" w:rightChars="-446" w:firstLine="801" w:firstLineChars="285"/>
        <w:jc w:val="center"/>
        <w:rPr>
          <w:rFonts w:hint="default" w:ascii="Times New Roman" w:hAnsi="Times New Roman" w:cs="Times New Roman"/>
          <w:b/>
          <w:bCs/>
          <w:sz w:val="28"/>
          <w:szCs w:val="28"/>
        </w:rPr>
      </w:pPr>
      <w:r>
        <w:rPr>
          <w:rFonts w:hint="default" w:ascii="Times New Roman" w:hAnsi="Times New Roman" w:cs="Times New Roman"/>
          <w:b/>
          <w:bCs/>
          <w:sz w:val="28"/>
          <w:szCs w:val="28"/>
        </w:rPr>
        <w:t>БАСҚАРМАДАҒЫ ҰЙЫМДАСТЫРУШЫЛЫҚ ШАРАЛАР МЕН СЫБАЙЛАС ЖЕМҚОРЛЫҚ ТӘУЕКЕЛДЕРІН АНЫҚТАУ</w:t>
      </w:r>
    </w:p>
    <w:p w14:paraId="2CA3CBD6">
      <w:pPr>
        <w:numPr>
          <w:numId w:val="0"/>
        </w:numPr>
        <w:ind w:left="0" w:leftChars="0" w:right="-892" w:rightChars="-446" w:firstLine="798" w:firstLineChars="285"/>
        <w:jc w:val="both"/>
        <w:rPr>
          <w:rFonts w:hint="default" w:ascii="Times New Roman" w:hAnsi="Times New Roman" w:cs="Times New Roman"/>
          <w:b w:val="0"/>
          <w:bCs w:val="0"/>
          <w:sz w:val="28"/>
          <w:szCs w:val="28"/>
        </w:rPr>
      </w:pPr>
    </w:p>
    <w:p w14:paraId="0B67D540">
      <w:pPr>
        <w:numPr>
          <w:numId w:val="0"/>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Ұйымдастырушылық-басқарушылық қызметтегі сыбайлас жемқорлық тәуекелдерін сәйкестендіру (анықтау) келесі мәселелер бойынша жүргізілді:</w:t>
      </w:r>
    </w:p>
    <w:p w14:paraId="1E9B4A52">
      <w:pPr>
        <w:numPr>
          <w:ilvl w:val="0"/>
          <w:numId w:val="2"/>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Персоналды басқару;</w:t>
      </w:r>
    </w:p>
    <w:p w14:paraId="5E57BB66">
      <w:pPr>
        <w:numPr>
          <w:ilvl w:val="0"/>
          <w:numId w:val="2"/>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Мүдделер қақтығысын шешу;</w:t>
      </w:r>
    </w:p>
    <w:p w14:paraId="54CF4177">
      <w:pPr>
        <w:numPr>
          <w:ilvl w:val="0"/>
          <w:numId w:val="2"/>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Мемлекеттік сатып алу қызметтері;</w:t>
      </w:r>
    </w:p>
    <w:p w14:paraId="237DA9CF">
      <w:pPr>
        <w:numPr>
          <w:ilvl w:val="0"/>
          <w:numId w:val="2"/>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Ұйымдастырушылық-басқарушылық қызметтен туындайтын өзге де мәселелер.</w:t>
      </w:r>
    </w:p>
    <w:p w14:paraId="26BC970F">
      <w:pPr>
        <w:numPr>
          <w:ilvl w:val="0"/>
          <w:numId w:val="3"/>
        </w:numPr>
        <w:ind w:left="0" w:leftChars="0" w:right="-892" w:rightChars="-446" w:firstLine="801" w:firstLineChars="285"/>
        <w:jc w:val="both"/>
        <w:rPr>
          <w:rFonts w:hint="default" w:ascii="Times New Roman" w:hAnsi="Times New Roman" w:cs="Times New Roman"/>
          <w:b/>
          <w:bCs/>
          <w:sz w:val="28"/>
          <w:szCs w:val="28"/>
        </w:rPr>
      </w:pPr>
      <w:r>
        <w:rPr>
          <w:rFonts w:hint="default" w:ascii="Times New Roman" w:hAnsi="Times New Roman" w:cs="Times New Roman"/>
          <w:b/>
          <w:bCs/>
          <w:sz w:val="28"/>
          <w:szCs w:val="28"/>
        </w:rPr>
        <w:t>Персоналды басқару.</w:t>
      </w:r>
    </w:p>
    <w:p w14:paraId="3E5CAF9E">
      <w:pPr>
        <w:numPr>
          <w:numId w:val="0"/>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 xml:space="preserve">   Басқарманың штаты 29 бірлікті құрайды.</w:t>
      </w:r>
    </w:p>
    <w:p w14:paraId="7E157F9C">
      <w:pPr>
        <w:numPr>
          <w:numId w:val="0"/>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 xml:space="preserve">   Кадрлардың тұрақтамауы:</w:t>
      </w:r>
    </w:p>
    <w:p w14:paraId="29E822B9">
      <w:pPr>
        <w:numPr>
          <w:numId w:val="0"/>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 xml:space="preserve">   Мемлекеттік әкімшілік лауазымдарға қабылдау және тағайындау «Қазақстан Республикасының мемлекеттік қызметі туралы» Қазақстан Республикасының Заңына, Бос немесе уақытша бос лауазымдарға орналасу қағидаларына және Қазақстан Республикасы Президентінің 2015 жылғы 29 желтоқсандағы № 152 «Мемлекеттік қызметті өткерудің кейбір мәселелері туралы» Жарлығына сәйкес бекітілген «Б» корпусының бос мемлекеттік әкімшілік лауазымдарына конкурстан тыс ауысу тәртібімен жүзеге асырылады.</w:t>
      </w:r>
    </w:p>
    <w:p w14:paraId="0FD92ABE">
      <w:pPr>
        <w:numPr>
          <w:numId w:val="0"/>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 xml:space="preserve">   Жұмысқа қабылданған және тағайындалған барлық мемлекеттік қызметшілер мемлекеттік әкімшілік лауазымдарға орналасудың біліктілік талаптарына сәйкес келеді.</w:t>
      </w:r>
    </w:p>
    <w:p w14:paraId="3D93EA3A">
      <w:pPr>
        <w:numPr>
          <w:numId w:val="0"/>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 xml:space="preserve">   Конкурстық рәсімдер Қазақстан Республикасы Мемлекеттік қызмет істері және сыбайлас жемқорлыққа қарсы іс-қимыл агенттігі төрағасының бұйрығымен бекітілген «Б» корпусының мемлекеттік әкімшілік лауазымына орналасуға конкурс өткізу қағидаларының талаптарын сақтай отырып жүргізілді, ағымдағы жылдың 1 тамызына қарай 5 жалпы конкурс өткізілді.</w:t>
      </w:r>
    </w:p>
    <w:p w14:paraId="5A866634">
      <w:pPr>
        <w:numPr>
          <w:numId w:val="0"/>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Ашықтық пен объективтілікті қамтамасыз ету мақсатында 2026 жылғы 1 сәуірден бастап конкурстық рәсімдер мемлекеттік қызметке іріктеудің жаңа тәртібі бойынша өтуде, іріктеу толықтай автоматтандырылған және «е-Қызмет» ИАЖ «eqyzmet.gov.kz» сыртқы интернет-порталында онлайн режимінде жүргізіледі. Конкурсқа қатысу үшін кандидат мемлекеттік тілді және заңнаманы білуге арналған тестілеуден, жеке қасиеттерін бағалаудан, сондай-ақ практикалық тесттен өтуі қажет.</w:t>
      </w:r>
    </w:p>
    <w:p w14:paraId="119DB05D">
      <w:pPr>
        <w:numPr>
          <w:numId w:val="0"/>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Жұмысқа жаңадан қабылданған және мемлекеттік қызметке алғаш рет кіретін қызметкерлер ұлттық қауіпсіздік органдары тарапынан арнайы тексеруден өтеді. Мемлекеттік қызметшілердің жеке істерінде ант қабылдау матні, Қазақстан Республикасы мемлекеттік қызметшілерінің әдеп нормаларын енгізетін парақтар, Қазақстан Республикасының заңдарында белгіленген шектеулерді қабылдау туралы жазбаша міндеттемелер болуы тиіс.</w:t>
      </w:r>
    </w:p>
    <w:p w14:paraId="30E13ED9">
      <w:pPr>
        <w:numPr>
          <w:numId w:val="0"/>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«Қазақстан Республикасының сыбайлас жемқорлыққа қарсы іс-қимыл туралы», «Қазақстан Республикасының мемлекеттік қызметі туралы» Заңдары, жауапты мемлекеттік лауазымды атқаратын адамдардың алған сыйлықтарын мемлекеттік мүлікті басқару жөніндегі уәкілетті органға немесе жергілікті атқарушы органға тапсыруы туралы жадынама.</w:t>
      </w:r>
    </w:p>
    <w:p w14:paraId="220CEADB">
      <w:pPr>
        <w:numPr>
          <w:numId w:val="0"/>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Жыл сайын мемлекеттік қызметшілердің, оның ішінде жаңадан қабылданған және мемлекеттік қызметке алғаш рет кіргендердің кірістері мен мүлкі туралы декларацияларды уақтылы тапсыруын қамтамасыз ету бойынша жұмыстар ұйымдастырылады. Барлық қажетті құжаттар олардың жеке істерінде бар және мемлекеттік қызметшілердің лауазымдарына қойылатын біліктілік талаптарына сәйкес келеді. Мемлекеттік қызметшілер біліктілікті арттыру семинарларына және қайта даярлау курстарына жіберіледі. 2026 жылдың бірінші жартыжылдығында 13 мемлекеттік қызметші қайта даярлаудан өтті.</w:t>
      </w:r>
    </w:p>
    <w:p w14:paraId="765A1202">
      <w:pPr>
        <w:numPr>
          <w:numId w:val="0"/>
        </w:numPr>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Тәртіптік тәжірибе: Бірінші жартыжылдықта ақпаратты бақылау саласындағы құжаттарды рәсімдеу мерзімдерін бұзғаны үшін 4 мемлекеттік қызметші ескерту түріндегі тәртіптік жауапкершілікке тартылды (2026 ж. 08.01 № 4 бұйрық). Мемлекеттік қызметтерді көрсету мерзімдерін бұзғаны және ақпаратты бақылау саласындағы құжаттарды рәсімдеу мерзімдерін бұзғаны үшін сөгіс түрінде тәртіптік жаза қолданылды (2026 ж. 04.06 № 155, 156, 157 бұйрықтар). Басқарма қызметкерлері тарапынан сыбайлас жемқорлық құқық бұзушылықтарын жасауға, сондай-ақ қылмыстық сипаттағы сыбайлас жемқорлық құқық бұзушылықтарды жасауға жол берілген жоқ.</w:t>
      </w:r>
    </w:p>
    <w:p w14:paraId="001CC0E8">
      <w:pPr>
        <w:numPr>
          <w:numId w:val="0"/>
        </w:numPr>
        <w:ind w:left="0" w:leftChars="0" w:right="-892" w:rightChars="-446" w:firstLine="801" w:firstLineChars="285"/>
        <w:jc w:val="both"/>
        <w:rPr>
          <w:rFonts w:hint="default" w:ascii="Times New Roman" w:hAnsi="Times New Roman" w:cs="Times New Roman"/>
          <w:b/>
          <w:bCs/>
          <w:sz w:val="28"/>
          <w:szCs w:val="28"/>
        </w:rPr>
      </w:pPr>
      <w:r>
        <w:rPr>
          <w:rFonts w:hint="default" w:ascii="Times New Roman" w:hAnsi="Times New Roman" w:cs="Times New Roman"/>
          <w:b/>
          <w:bCs/>
          <w:sz w:val="28"/>
          <w:szCs w:val="28"/>
        </w:rPr>
        <w:t>Сыбайлас жемқорлық тәуекелдері жоқ.</w:t>
      </w:r>
    </w:p>
    <w:p w14:paraId="045CBBA5">
      <w:pPr>
        <w:numPr>
          <w:numId w:val="0"/>
        </w:numPr>
        <w:ind w:left="0" w:leftChars="0" w:right="-892" w:rightChars="-446" w:firstLine="801" w:firstLineChars="285"/>
        <w:jc w:val="both"/>
        <w:rPr>
          <w:rFonts w:hint="default" w:ascii="Times New Roman" w:hAnsi="Times New Roman" w:cs="Times New Roman"/>
          <w:b/>
          <w:bCs/>
          <w:sz w:val="28"/>
          <w:szCs w:val="28"/>
        </w:rPr>
      </w:pPr>
    </w:p>
    <w:p w14:paraId="7DB7831F">
      <w:pPr>
        <w:numPr>
          <w:ilvl w:val="0"/>
          <w:numId w:val="3"/>
        </w:numPr>
        <w:autoSpaceDE/>
        <w:autoSpaceDN/>
        <w:ind w:left="0" w:leftChars="0" w:right="-892" w:rightChars="-446" w:firstLine="798" w:firstLineChars="285"/>
        <w:jc w:val="both"/>
        <w:rPr>
          <w:rFonts w:hint="default" w:ascii="Times New Roman" w:hAnsi="Times New Roman" w:eastAsia="sans-serif" w:cs="Times New Roman"/>
          <w:b/>
          <w:bCs/>
          <w:i w:val="0"/>
          <w:iCs w:val="0"/>
          <w:color w:val="1F1F1F"/>
          <w:spacing w:val="0"/>
          <w:sz w:val="28"/>
          <w:szCs w:val="28"/>
          <w:shd w:val="clear" w:fill="FFFFFF"/>
          <w:lang w:val="ru-RU" w:eastAsia="en-US"/>
        </w:rPr>
      </w:pPr>
      <w:r>
        <w:rPr>
          <w:rFonts w:hint="default" w:ascii="Times New Roman" w:hAnsi="Times New Roman" w:eastAsia="sans-serif" w:cs="Times New Roman"/>
          <w:b/>
          <w:bCs/>
          <w:i w:val="0"/>
          <w:iCs w:val="0"/>
          <w:color w:val="1F1F1F"/>
          <w:spacing w:val="0"/>
          <w:sz w:val="28"/>
          <w:szCs w:val="28"/>
          <w:shd w:val="clear" w:fill="FFFFFF"/>
          <w:lang w:val="ru-RU" w:eastAsia="en-US"/>
        </w:rPr>
        <w:t>Мүдделер қақтығысын шешу.</w:t>
      </w:r>
    </w:p>
    <w:p w14:paraId="1BFEDB17">
      <w:pPr>
        <w:numPr>
          <w:ilvl w:val="0"/>
          <w:numId w:val="0"/>
        </w:numPr>
        <w:autoSpaceDE/>
        <w:autoSpaceDN/>
        <w:ind w:left="0" w:leftChars="0" w:right="-892" w:rightChars="-446" w:firstLine="798" w:firstLineChars="285"/>
        <w:jc w:val="both"/>
        <w:rPr>
          <w:rFonts w:hint="default" w:ascii="Times New Roman" w:hAnsi="Times New Roman" w:eastAsia="sans-serif" w:cs="Times New Roman"/>
          <w:b w:val="0"/>
          <w:bCs w:val="0"/>
          <w:i w:val="0"/>
          <w:iCs w:val="0"/>
          <w:color w:val="1F1F1F"/>
          <w:spacing w:val="0"/>
          <w:sz w:val="28"/>
          <w:szCs w:val="28"/>
          <w:shd w:val="clear" w:fill="FFFFFF"/>
          <w:lang w:val="ru-RU" w:eastAsia="en-US"/>
        </w:rPr>
      </w:pPr>
      <w:r>
        <w:rPr>
          <w:rFonts w:hint="default" w:ascii="Times New Roman" w:hAnsi="Times New Roman" w:eastAsia="sans-serif" w:cs="Times New Roman"/>
          <w:b w:val="0"/>
          <w:bCs w:val="0"/>
          <w:i w:val="0"/>
          <w:iCs w:val="0"/>
          <w:color w:val="1F1F1F"/>
          <w:spacing w:val="0"/>
          <w:sz w:val="28"/>
          <w:szCs w:val="28"/>
          <w:shd w:val="clear" w:fill="FFFFFF"/>
          <w:lang w:val="ru-RU" w:eastAsia="en-US"/>
        </w:rPr>
        <w:t xml:space="preserve">   «Сыбайлас жемқорлыққа қарсы іс-қимыл туралы» Қазақстан Республикасы Заңының 14-бабының 1-тармағына сәйкес персоналмен жұмыс істеу кезіндегі мүдделер қақтығысы бойынша: жауапты мемлекеттік лауазымды атқаратын адамдар, мемлекеттік функцияларды орындауға уәкілеттік берілген адамдар және мемлекеттік функцияларды орындауға уәкілеттік берілген адамдарға теңестірілген қызметкерлер, Қазақстан Республикасы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кандидаттар, сондай-ақ жергілікті өзін-өзі басқарудың сайланбалы органдарының мүшелері лауазымдарда өздерінің жақын туыстарымен (ата-аналары, балалары, асырап алушылар, асырап алынғандар, ата-анасы бір және ата-анасы бөлек аға-інілері мен апа-сіңлілері, аталары, әжелері, немерелері) және (немесе) жубайымен (жолдасымен) бірге қызмет атқара алмайды, сондай-ақ туыстары иеленетін лауазымдарға тікелей бағынысты бола алмайды.</w:t>
      </w:r>
    </w:p>
    <w:p w14:paraId="357360B6">
      <w:pPr>
        <w:numPr>
          <w:ilvl w:val="0"/>
          <w:numId w:val="0"/>
        </w:numPr>
        <w:autoSpaceDE/>
        <w:autoSpaceDN/>
        <w:ind w:left="0" w:leftChars="0" w:right="-892" w:rightChars="-446" w:firstLine="798" w:firstLineChars="285"/>
        <w:jc w:val="both"/>
        <w:rPr>
          <w:rFonts w:hint="default" w:ascii="Times New Roman" w:hAnsi="Times New Roman" w:eastAsia="sans-serif" w:cs="Times New Roman"/>
          <w:b/>
          <w:bCs/>
          <w:i w:val="0"/>
          <w:iCs w:val="0"/>
          <w:color w:val="1F1F1F"/>
          <w:spacing w:val="0"/>
          <w:sz w:val="28"/>
          <w:szCs w:val="28"/>
          <w:shd w:val="clear" w:fill="FFFFFF"/>
          <w:lang w:val="ru-RU" w:eastAsia="en-US"/>
        </w:rPr>
      </w:pPr>
      <w:r>
        <w:rPr>
          <w:rFonts w:hint="default" w:ascii="Times New Roman" w:hAnsi="Times New Roman" w:eastAsia="sans-serif" w:cs="Times New Roman"/>
          <w:b/>
          <w:bCs/>
          <w:i w:val="0"/>
          <w:iCs w:val="0"/>
          <w:color w:val="1F1F1F"/>
          <w:spacing w:val="0"/>
          <w:sz w:val="28"/>
          <w:szCs w:val="28"/>
          <w:shd w:val="clear" w:fill="FFFFFF"/>
          <w:lang w:val="ru-RU" w:eastAsia="en-US"/>
        </w:rPr>
        <w:t>Мүдделер қақтығысы мен сыбайлас жемқорлық тәуекелдері жоқ.</w:t>
      </w:r>
    </w:p>
    <w:p w14:paraId="11A031FD">
      <w:pPr>
        <w:numPr>
          <w:ilvl w:val="0"/>
          <w:numId w:val="0"/>
        </w:numPr>
        <w:autoSpaceDE/>
        <w:autoSpaceDN/>
        <w:ind w:left="0" w:leftChars="0" w:right="-892" w:rightChars="-446" w:firstLine="798" w:firstLineChars="285"/>
        <w:jc w:val="both"/>
        <w:rPr>
          <w:rFonts w:hint="default" w:ascii="Times New Roman" w:hAnsi="Times New Roman" w:eastAsia="sans-serif" w:cs="Times New Roman"/>
          <w:b/>
          <w:bCs/>
          <w:i w:val="0"/>
          <w:iCs w:val="0"/>
          <w:color w:val="1F1F1F"/>
          <w:spacing w:val="0"/>
          <w:sz w:val="28"/>
          <w:szCs w:val="28"/>
          <w:shd w:val="clear" w:fill="FFFFFF"/>
          <w:lang w:val="ru-RU" w:eastAsia="en-US"/>
        </w:rPr>
      </w:pPr>
    </w:p>
    <w:p w14:paraId="3FD942A5">
      <w:pPr>
        <w:numPr>
          <w:ilvl w:val="0"/>
          <w:numId w:val="3"/>
        </w:numPr>
        <w:autoSpaceDE/>
        <w:autoSpaceDN/>
        <w:ind w:left="0" w:leftChars="0" w:right="-892" w:rightChars="-446" w:firstLine="798" w:firstLineChars="285"/>
        <w:jc w:val="both"/>
        <w:rPr>
          <w:rFonts w:hint="default" w:ascii="Times New Roman" w:hAnsi="Times New Roman" w:eastAsia="sans-serif" w:cs="Times New Roman"/>
          <w:b/>
          <w:bCs/>
          <w:i w:val="0"/>
          <w:iCs w:val="0"/>
          <w:color w:val="1F1F1F"/>
          <w:spacing w:val="0"/>
          <w:sz w:val="28"/>
          <w:szCs w:val="28"/>
          <w:shd w:val="clear" w:fill="FFFFFF"/>
          <w:lang w:val="ru-RU" w:eastAsia="en-US"/>
        </w:rPr>
      </w:pPr>
      <w:r>
        <w:rPr>
          <w:rFonts w:hint="default" w:ascii="Times New Roman" w:hAnsi="Times New Roman" w:eastAsia="sans-serif" w:cs="Times New Roman"/>
          <w:b/>
          <w:bCs/>
          <w:i w:val="0"/>
          <w:iCs w:val="0"/>
          <w:color w:val="1F1F1F"/>
          <w:spacing w:val="0"/>
          <w:sz w:val="28"/>
          <w:szCs w:val="28"/>
          <w:shd w:val="clear" w:fill="FFFFFF"/>
          <w:lang w:val="kk-KZ" w:eastAsia="en-US"/>
        </w:rPr>
        <w:t xml:space="preserve"> </w:t>
      </w:r>
      <w:r>
        <w:rPr>
          <w:rFonts w:hint="default" w:ascii="Times New Roman" w:hAnsi="Times New Roman" w:eastAsia="sans-serif" w:cs="Times New Roman"/>
          <w:b/>
          <w:bCs/>
          <w:i w:val="0"/>
          <w:iCs w:val="0"/>
          <w:color w:val="1F1F1F"/>
          <w:spacing w:val="0"/>
          <w:sz w:val="28"/>
          <w:szCs w:val="28"/>
          <w:shd w:val="clear" w:fill="FFFFFF"/>
          <w:lang w:val="ru-RU" w:eastAsia="en-US"/>
        </w:rPr>
        <w:t>Мемлекеттік сатып алуды жүргізу кезіндегі мүдделер қақтығысы:</w:t>
      </w:r>
    </w:p>
    <w:p w14:paraId="3B77C338">
      <w:pPr>
        <w:numPr>
          <w:numId w:val="0"/>
        </w:numPr>
        <w:autoSpaceDE/>
        <w:autoSpaceDN/>
        <w:ind w:left="0" w:leftChars="0" w:right="-892" w:rightChars="-446" w:firstLine="798" w:firstLineChars="285"/>
        <w:jc w:val="both"/>
        <w:rPr>
          <w:rFonts w:hint="default" w:ascii="Times New Roman" w:hAnsi="Times New Roman" w:eastAsia="sans-serif" w:cs="Times New Roman"/>
          <w:b w:val="0"/>
          <w:bCs w:val="0"/>
          <w:i w:val="0"/>
          <w:iCs w:val="0"/>
          <w:color w:val="1F1F1F"/>
          <w:spacing w:val="0"/>
          <w:sz w:val="28"/>
          <w:szCs w:val="28"/>
          <w:shd w:val="clear" w:fill="FFFFFF"/>
          <w:lang w:val="ru-RU" w:eastAsia="en-US"/>
        </w:rPr>
      </w:pPr>
      <w:r>
        <w:rPr>
          <w:rFonts w:hint="default" w:ascii="Times New Roman" w:hAnsi="Times New Roman" w:eastAsia="sans-serif" w:cs="Times New Roman"/>
          <w:b w:val="0"/>
          <w:bCs w:val="0"/>
          <w:i w:val="0"/>
          <w:iCs w:val="0"/>
          <w:color w:val="1F1F1F"/>
          <w:spacing w:val="0"/>
          <w:sz w:val="28"/>
          <w:szCs w:val="28"/>
          <w:shd w:val="clear" w:fill="FFFFFF"/>
          <w:lang w:val="ru-RU" w:eastAsia="en-US"/>
        </w:rPr>
        <w:t>Мемлекеттік сатып алу Қазақстан Республикасының 2024 жылғы 1 шілдедегі № 106-VIII ҚРЗ Заңының талаптарына және Қазақстан Республикасы Қаржы министрінің 2024 жылғы 9 қазандағы № 687 бұйрығымен бекітілген Мемлекеттік сатып алуды жүзеге асыру қағидаларына сәйкес жүзеге асырылады. Басқарманың мемлекеттік сатып алуы бекітілген жоспарға сәйкес «Мемлекеттік сатып алу» веб-порталы арқылы мемлекеттік сатып алу туралы шарттарға электрондық қол қою жолымен жүргізіледі.</w:t>
      </w:r>
    </w:p>
    <w:p w14:paraId="23B6C925">
      <w:pPr>
        <w:numPr>
          <w:numId w:val="0"/>
        </w:numPr>
        <w:autoSpaceDE/>
        <w:autoSpaceDN/>
        <w:ind w:left="0" w:leftChars="0" w:right="-892" w:rightChars="-446" w:firstLine="798" w:firstLineChars="285"/>
        <w:jc w:val="both"/>
        <w:rPr>
          <w:rFonts w:hint="default" w:ascii="Times New Roman" w:hAnsi="Times New Roman" w:eastAsia="sans-serif" w:cs="Times New Roman"/>
          <w:b w:val="0"/>
          <w:bCs w:val="0"/>
          <w:i w:val="0"/>
          <w:iCs w:val="0"/>
          <w:color w:val="1F1F1F"/>
          <w:spacing w:val="0"/>
          <w:sz w:val="28"/>
          <w:szCs w:val="28"/>
          <w:shd w:val="clear" w:fill="FFFFFF"/>
          <w:lang w:val="ru-RU" w:eastAsia="en-US"/>
        </w:rPr>
      </w:pPr>
    </w:p>
    <w:p w14:paraId="7CF2A7DA">
      <w:pPr>
        <w:numPr>
          <w:ilvl w:val="0"/>
          <w:numId w:val="3"/>
        </w:numPr>
        <w:autoSpaceDE/>
        <w:autoSpaceDN/>
        <w:ind w:left="0" w:leftChars="0" w:right="-892" w:rightChars="-446" w:firstLine="798" w:firstLineChars="285"/>
        <w:jc w:val="both"/>
        <w:rPr>
          <w:rFonts w:hint="default" w:ascii="Times New Roman" w:hAnsi="Times New Roman" w:eastAsia="sans-serif" w:cs="Times New Roman"/>
          <w:b/>
          <w:bCs/>
          <w:i w:val="0"/>
          <w:iCs w:val="0"/>
          <w:color w:val="1F1F1F"/>
          <w:spacing w:val="0"/>
          <w:sz w:val="28"/>
          <w:szCs w:val="28"/>
          <w:shd w:val="clear" w:fill="FFFFFF"/>
          <w:lang w:val="ru-RU" w:eastAsia="en-US"/>
        </w:rPr>
      </w:pPr>
      <w:r>
        <w:rPr>
          <w:rFonts w:hint="default" w:ascii="Times New Roman" w:hAnsi="Times New Roman" w:eastAsia="sans-serif" w:cs="Times New Roman"/>
          <w:b/>
          <w:bCs/>
          <w:i w:val="0"/>
          <w:iCs w:val="0"/>
          <w:color w:val="1F1F1F"/>
          <w:spacing w:val="0"/>
          <w:sz w:val="28"/>
          <w:szCs w:val="28"/>
          <w:shd w:val="clear" w:fill="FFFFFF"/>
          <w:lang w:val="ru-RU" w:eastAsia="en-US"/>
        </w:rPr>
        <w:t>Ұйымдастырушылық-басқарушылық қызметке байланысты туындайтын өзге де мәселелер.</w:t>
      </w:r>
    </w:p>
    <w:p w14:paraId="1625E93E">
      <w:pPr>
        <w:numPr>
          <w:ilvl w:val="0"/>
          <w:numId w:val="0"/>
        </w:numPr>
        <w:autoSpaceDE/>
        <w:autoSpaceDN/>
        <w:ind w:left="0" w:leftChars="0" w:right="-892" w:rightChars="-446" w:firstLine="798" w:firstLineChars="285"/>
        <w:jc w:val="both"/>
        <w:rPr>
          <w:rFonts w:hint="default" w:ascii="Times New Roman" w:hAnsi="Times New Roman" w:eastAsia="sans-serif" w:cs="Times New Roman"/>
          <w:b w:val="0"/>
          <w:bCs w:val="0"/>
          <w:i w:val="0"/>
          <w:iCs w:val="0"/>
          <w:color w:val="1F1F1F"/>
          <w:spacing w:val="0"/>
          <w:sz w:val="28"/>
          <w:szCs w:val="28"/>
          <w:shd w:val="clear" w:fill="FFFFFF"/>
          <w:lang w:val="ru-RU" w:eastAsia="en-US"/>
        </w:rPr>
      </w:pPr>
      <w:r>
        <w:rPr>
          <w:rFonts w:hint="default" w:ascii="Times New Roman" w:hAnsi="Times New Roman" w:eastAsia="sans-serif" w:cs="Times New Roman"/>
          <w:b w:val="0"/>
          <w:bCs w:val="0"/>
          <w:i w:val="0"/>
          <w:iCs w:val="0"/>
          <w:color w:val="1F1F1F"/>
          <w:spacing w:val="0"/>
          <w:sz w:val="28"/>
          <w:szCs w:val="28"/>
          <w:shd w:val="clear" w:fill="FFFFFF"/>
          <w:lang w:val="ru-RU" w:eastAsia="en-US"/>
        </w:rPr>
        <w:t xml:space="preserve">   Жеке және заңды тұлғалардың өтініштерін қарау тәртібі:</w:t>
      </w:r>
    </w:p>
    <w:p w14:paraId="17A74FFF">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eastAsia="sans-serif" w:cs="Times New Roman"/>
          <w:b w:val="0"/>
          <w:bCs w:val="0"/>
          <w:i w:val="0"/>
          <w:iCs w:val="0"/>
          <w:color w:val="1F1F1F"/>
          <w:spacing w:val="0"/>
          <w:sz w:val="28"/>
          <w:szCs w:val="28"/>
          <w:shd w:val="clear" w:fill="FFFFFF"/>
          <w:lang w:val="ru-RU" w:eastAsia="en-US"/>
        </w:rPr>
        <w:t xml:space="preserve">   2026 жылғы 1 маусымдағы жағдай бойынша 417 өтінім келіп түсті. Өтініштердің сапалы әрі уақтылы қаралуын қамтамасыз ету мақсатында ұжым тарапынан жүйелі түрде түсіндіру жұмыстары жүргізіліп тұрады. Өтінімдердің қаралуы тұрақты бақылауда. Талдау барысында өтінімдерді қарау мерзімдерін бұзу жағдайлары анықталған жоқ. 2026 жылғы 1 маусымдағы жағдай бойынша әкімшіліктегі сыбайлас жемқорлық мәселелеріне қатысты жеке және заңды тұлғалардан шағымдар түскен жоқ.</w:t>
      </w:r>
    </w:p>
    <w:p w14:paraId="5A366B4A">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p>
    <w:p w14:paraId="23A2D93D">
      <w:pPr>
        <w:numPr>
          <w:ilvl w:val="0"/>
          <w:numId w:val="1"/>
        </w:numPr>
        <w:autoSpaceDE/>
        <w:autoSpaceDN/>
        <w:ind w:left="0" w:leftChars="0" w:right="-892" w:rightChars="-446" w:firstLine="0" w:firstLineChars="0"/>
        <w:jc w:val="center"/>
        <w:rPr>
          <w:rFonts w:hint="default" w:ascii="Times New Roman" w:hAnsi="Times New Roman" w:eastAsia="sans-serif" w:cs="Times New Roman"/>
          <w:b/>
          <w:bCs/>
          <w:i w:val="0"/>
          <w:iCs w:val="0"/>
          <w:color w:val="1F1F1F"/>
          <w:spacing w:val="0"/>
          <w:sz w:val="28"/>
          <w:szCs w:val="28"/>
          <w:shd w:val="clear" w:fill="FFFFFF"/>
          <w:lang w:val="ru-RU" w:eastAsia="en-US"/>
        </w:rPr>
      </w:pPr>
      <w:r>
        <w:rPr>
          <w:rFonts w:hint="default" w:ascii="Times New Roman" w:hAnsi="Times New Roman" w:eastAsia="sans-serif" w:cs="Times New Roman"/>
          <w:b/>
          <w:bCs/>
          <w:i w:val="0"/>
          <w:iCs w:val="0"/>
          <w:color w:val="1F1F1F"/>
          <w:spacing w:val="0"/>
          <w:sz w:val="28"/>
          <w:szCs w:val="28"/>
          <w:shd w:val="clear" w:fill="FFFFFF"/>
          <w:lang w:val="ru-RU" w:eastAsia="en-US"/>
        </w:rPr>
        <w:t>БЮДЖЕТТІК КРЕДИТТЕУ, ИНВЕСТИЦИЯЛЫҚ САЛЫМДАРДЫ СУБСИДИЯЛАУ ЖӘНЕ СЫЙАҚЫ СТАВКАСЫ БӨЛІМІ ІШКІ ТАЛДАУЫНЫҢ НӘТИЖЕЛЕРІ</w:t>
      </w:r>
    </w:p>
    <w:p w14:paraId="34AE8B18">
      <w:pPr>
        <w:numPr>
          <w:ilvl w:val="0"/>
          <w:numId w:val="0"/>
        </w:numPr>
        <w:autoSpaceDE/>
        <w:autoSpaceDN/>
        <w:ind w:left="0" w:leftChars="0" w:right="-892" w:rightChars="-446" w:firstLine="798" w:firstLineChars="285"/>
        <w:jc w:val="center"/>
        <w:rPr>
          <w:rFonts w:hint="default" w:ascii="Times New Roman" w:hAnsi="Times New Roman" w:eastAsia="sans-serif" w:cs="Times New Roman"/>
          <w:b/>
          <w:bCs/>
          <w:i w:val="0"/>
          <w:iCs w:val="0"/>
          <w:color w:val="1F1F1F"/>
          <w:spacing w:val="0"/>
          <w:sz w:val="28"/>
          <w:szCs w:val="28"/>
          <w:shd w:val="clear" w:fill="FFFFFF"/>
          <w:lang w:val="ru-RU" w:eastAsia="en-US"/>
        </w:rPr>
      </w:pPr>
    </w:p>
    <w:p w14:paraId="48246686">
      <w:pPr>
        <w:numPr>
          <w:ilvl w:val="0"/>
          <w:numId w:val="0"/>
        </w:numPr>
        <w:autoSpaceDE/>
        <w:autoSpaceDN/>
        <w:ind w:left="0" w:leftChars="0" w:right="-892" w:rightChars="-446" w:firstLine="801" w:firstLineChars="285"/>
        <w:jc w:val="both"/>
        <w:rPr>
          <w:rFonts w:hint="default" w:ascii="Times New Roman" w:hAnsi="Times New Roman" w:cs="Times New Roman"/>
          <w:b/>
          <w:bCs/>
          <w:sz w:val="28"/>
          <w:szCs w:val="28"/>
          <w:lang w:val="ru-RU"/>
        </w:rPr>
      </w:pPr>
      <w:r>
        <w:rPr>
          <w:rFonts w:hint="default" w:ascii="Times New Roman" w:hAnsi="Times New Roman" w:cs="Times New Roman"/>
          <w:b/>
          <w:bCs/>
          <w:sz w:val="28"/>
          <w:szCs w:val="28"/>
          <w:lang w:val="ru-RU"/>
        </w:rPr>
        <w:t>Инвестициялық субсидиялау.</w:t>
      </w:r>
    </w:p>
    <w:p w14:paraId="516FF6AF">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Бюджеттік кредиттеу, инвестициялық салымдарды субсидиялау және сыйақы ставкасы бөлімінің қызметіне жүргізілген ішкі талдау нәтижелері бойынша жүйелі құқықтық және рәсімдік олқылық (олқылықтар) анықталды.</w:t>
      </w:r>
    </w:p>
    <w:p w14:paraId="75E6B512">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Мамандар тобының инвесторлардың объектілерін орнына барып тексеруі мен зерделеуі Қазақстан Республикасы Ауыл шаруашылығы министрінің міндетін атқарушының 2018 жылғы 23 шілдедегі № 317 бұйрығымен бекітілген «Агроөнеркәсіптік кешен субъектісі инвестициялық салымдар кезінде жұмсаған шығыстардың бір бөлігін өтеу бойынша субсидиялау қағидаларымен» реттеледі.</w:t>
      </w:r>
    </w:p>
    <w:p w14:paraId="0FAE4E63">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Қағидалардың 4-тармағы: Инвестор объектілерін орнына барып тексеру талап етілетін жағдайларды айқындайды.</w:t>
      </w:r>
    </w:p>
    <w:p w14:paraId="2C5AAAAA">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Мамандар тобы құжаттарды тексеруді, инвестордың объектісін, сатып алынған жабдықты жоба төлқұжаттарының шарттарына сәйкестігіне қарап-тексеруді фото- және бейнематериалдарды міндетті түрде қоса бере отырып жүзеге асыратынын, сондай-ақ қарап-тексеру актісін қалыптастыратынын бекітеді.</w:t>
      </w:r>
      <w:r>
        <w:rPr>
          <w:rFonts w:hint="default" w:ascii="Times New Roman" w:hAnsi="Times New Roman" w:cs="Times New Roman"/>
          <w:b w:val="0"/>
          <w:bCs w:val="0"/>
          <w:sz w:val="28"/>
          <w:szCs w:val="28"/>
          <w:lang w:val="ru-RU"/>
        </w:rPr>
        <w:t xml:space="preserve">  </w:t>
      </w:r>
    </w:p>
    <w:p w14:paraId="50E06F87">
      <w:pPr>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Қағидалардың 3-тармағы мен 2, 3-тараулары: Жұмыс органы (Ауыл шаруашылығы басқармасы), қоғамдық және салалық ұйымдар өкілдері қатарынан мамандар тобын қалыптастыру тәртібін, сондай-ақ Объектіні қарап-тексеру актісін (Қағидаларға қосымшаға сәйкес нысан бойынша) жасау мен қол қою тәртібін белгілейді.</w:t>
      </w:r>
    </w:p>
    <w:p w14:paraId="565BD394">
      <w:pPr>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Дегенмен, «GOSAGRO.KZ» жүйесін талдау барысында мамандар тобының орнына барып тексеру жүргізуі кезінде инвесторлардың объектілерін қарап-тексерудің айқын кезектілігі (регламенттелген жүйелілігі) жоқ екені анықталды. Бұл субъективті көзқарасқа, жасанды кедергілер жасауға, созбалаңға салуға немесе басқа инвесторлардың мүдделеріне нұқсан келтіре отырып, кейбір инвесторларға бірінші кезекте баруға жағдай туғызады.</w:t>
      </w:r>
    </w:p>
    <w:p w14:paraId="0420D031">
      <w:pPr>
        <w:spacing w:after="0"/>
        <w:ind w:left="0" w:leftChars="0" w:right="-892" w:rightChars="-446" w:firstLine="801" w:firstLineChars="285"/>
        <w:jc w:val="both"/>
        <w:rPr>
          <w:rFonts w:hint="default" w:ascii="Times New Roman" w:hAnsi="Times New Roman" w:cs="Times New Roman"/>
          <w:b/>
          <w:bCs/>
          <w:sz w:val="28"/>
          <w:szCs w:val="28"/>
        </w:rPr>
      </w:pPr>
      <w:r>
        <w:rPr>
          <w:rFonts w:hint="default" w:ascii="Times New Roman" w:hAnsi="Times New Roman" w:cs="Times New Roman"/>
          <w:b/>
          <w:bCs/>
          <w:sz w:val="28"/>
          <w:szCs w:val="28"/>
        </w:rPr>
        <w:t>Ұсыным:</w:t>
      </w:r>
    </w:p>
    <w:p w14:paraId="1B453EE3">
      <w:pPr>
        <w:spacing w:after="0"/>
        <w:ind w:left="0" w:leftChars="0" w:right="-892" w:rightChars="-446" w:firstLine="798" w:firstLineChars="285"/>
        <w:jc w:val="both"/>
        <w:rPr>
          <w:rFonts w:hint="default" w:ascii="Times New Roman" w:hAnsi="Times New Roman" w:cs="Times New Roman"/>
          <w:b w:val="0"/>
          <w:bCs w:val="0"/>
          <w:i/>
          <w:iCs/>
          <w:sz w:val="28"/>
          <w:szCs w:val="28"/>
        </w:rPr>
      </w:pPr>
      <w:r>
        <w:rPr>
          <w:rFonts w:hint="default" w:ascii="Times New Roman" w:hAnsi="Times New Roman" w:cs="Times New Roman"/>
          <w:b w:val="0"/>
          <w:bCs w:val="0"/>
          <w:sz w:val="28"/>
          <w:szCs w:val="28"/>
        </w:rPr>
        <w:t>Орнына барып тексеру кезінде кезектіліктің болмауына байланысты сыбайлас жемқорлық тәуекелін азайту үшін нормативтік деңгейде өтінімдерді бөлуді субсидиялаудың ақпараттық жүйесі арқылы қатаң түрде электрондық кезек тәртібімен (келіп түскен күні мен уақыты бойынша) бекіту қажет. Тексеру актілерінің өзіне жұмыс тобының мүшелері электрондық нысанда жүйелі түрде (кезектіліктің қатаң тәртібімен), қатаң регламенттелген мерзімде (қарап-тексеруге өтінім келіп түскен сәттен бастап 3 жұмыс күнінен асырмай), қол қойылған уақытты жүйеде автоматты түрде тіркеу арқылы қол қоюы тиіс, бұл субъективті көзқарасты, созбалаңға салуды және бөлек инвесторларға басымдықпен қызмет көрсету мүмкіндігін толығымен жояды.</w:t>
      </w:r>
    </w:p>
    <w:p w14:paraId="621BD70B">
      <w:pPr>
        <w:spacing w:after="0"/>
        <w:ind w:left="0" w:leftChars="0" w:right="-892" w:rightChars="-446" w:firstLine="798" w:firstLineChars="285"/>
        <w:jc w:val="both"/>
        <w:rPr>
          <w:rFonts w:hint="default" w:ascii="Times New Roman" w:hAnsi="Times New Roman" w:cs="Times New Roman"/>
          <w:i/>
          <w:iCs/>
          <w:sz w:val="28"/>
          <w:szCs w:val="28"/>
        </w:rPr>
      </w:pPr>
    </w:p>
    <w:p w14:paraId="1EE46F7E">
      <w:pPr>
        <w:numPr>
          <w:ilvl w:val="0"/>
          <w:numId w:val="1"/>
        </w:numPr>
        <w:autoSpaceDE/>
        <w:autoSpaceDN/>
        <w:ind w:left="0" w:leftChars="0" w:right="-892" w:rightChars="-446" w:firstLine="0" w:firstLineChars="0"/>
        <w:jc w:val="center"/>
        <w:rPr>
          <w:rFonts w:hint="default" w:ascii="Times New Roman" w:hAnsi="Times New Roman" w:eastAsia="sans-serif" w:cs="Times New Roman"/>
          <w:b/>
          <w:bCs/>
          <w:i w:val="0"/>
          <w:iCs w:val="0"/>
          <w:color w:val="1F1F1F"/>
          <w:spacing w:val="0"/>
          <w:sz w:val="28"/>
          <w:szCs w:val="28"/>
          <w:shd w:val="clear" w:fill="FFFFFF"/>
          <w:lang w:val="ru-RU" w:eastAsia="en-US"/>
        </w:rPr>
      </w:pPr>
      <w:r>
        <w:rPr>
          <w:rFonts w:hint="default" w:ascii="Times New Roman" w:hAnsi="Times New Roman" w:eastAsia="sans-serif" w:cs="Times New Roman"/>
          <w:b/>
          <w:bCs/>
          <w:i w:val="0"/>
          <w:iCs w:val="0"/>
          <w:color w:val="1F1F1F"/>
          <w:spacing w:val="0"/>
          <w:sz w:val="28"/>
          <w:szCs w:val="28"/>
          <w:shd w:val="clear" w:fill="FFFFFF"/>
          <w:lang w:val="ru-RU" w:eastAsia="en-US"/>
        </w:rPr>
        <w:t>МАЛ ШАРУАШЫЛЫҒЫ ӨНІМДЕРІН ДАМЫТУ, СУБСИДИЯЛАУ ЖӘНЕ ӨҢДЕУ БӨЛІМІ ІШКІ ТАЛДАУЫНЫҢ НӘТИЖЕЛЕРІ</w:t>
      </w:r>
    </w:p>
    <w:p w14:paraId="23A4FAE8">
      <w:pPr>
        <w:numPr>
          <w:ilvl w:val="0"/>
          <w:numId w:val="0"/>
        </w:numPr>
        <w:autoSpaceDE/>
        <w:autoSpaceDN/>
        <w:ind w:left="0" w:leftChars="0" w:right="-892" w:rightChars="-446" w:firstLine="798" w:firstLineChars="285"/>
        <w:jc w:val="both"/>
        <w:rPr>
          <w:rFonts w:hint="default" w:ascii="Times New Roman" w:hAnsi="Times New Roman" w:eastAsia="sans-serif" w:cs="Times New Roman"/>
          <w:b/>
          <w:bCs/>
          <w:i w:val="0"/>
          <w:iCs w:val="0"/>
          <w:color w:val="1F1F1F"/>
          <w:spacing w:val="0"/>
          <w:sz w:val="28"/>
          <w:szCs w:val="28"/>
          <w:shd w:val="clear" w:fill="FFFFFF"/>
          <w:lang w:val="ru-RU" w:eastAsia="en-US"/>
        </w:rPr>
      </w:pPr>
    </w:p>
    <w:p w14:paraId="11DFEC4D">
      <w:pPr>
        <w:spacing w:after="0" w:line="240" w:lineRule="auto"/>
        <w:ind w:left="0" w:leftChars="0" w:right="-892" w:rightChars="-446" w:firstLine="801" w:firstLineChars="285"/>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Мал шаруашылығын субсидиялау.</w:t>
      </w:r>
    </w:p>
    <w:p w14:paraId="76005DFE">
      <w:pPr>
        <w:spacing w:after="0" w:line="240" w:lineRule="auto"/>
        <w:ind w:left="0" w:leftChars="0" w:right="-892" w:rightChars="-446" w:firstLine="798" w:firstLineChars="285"/>
        <w:jc w:val="both"/>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t>Мал шаруашылығын субсидиялау саласында жыл сайын сыбайлас жемқорлық тәуекелдеріне ішкі талдау жүргізіледі. Ішкі талдаудың негізгі мақсаты – агроөнеркәсіптік кешен субъектілеріне мемлекеттік қолдау көрсету кезінде сыбайлас жемқорлық көріністерінің туындауына ықпал ететін факторлар мен жағдайларды анықтау, сондай-ақ олардың алдын алу.</w:t>
      </w:r>
    </w:p>
    <w:p w14:paraId="15B0E7B8">
      <w:pPr>
        <w:spacing w:after="0" w:line="240" w:lineRule="auto"/>
        <w:ind w:left="0" w:leftChars="0" w:right="-892" w:rightChars="-446" w:firstLine="798" w:firstLineChars="285"/>
        <w:jc w:val="both"/>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t>Субсидиялар берудің тәртібі мен шарттары ҚР АШМ 2019 жылғы 15 наурыздағы № 108 бұйрығымен бекітілген Асыл тұқымды мал шаруашылығын дамытуды, мал шаруашылығы өнімдерінің өнімділігін және сапасын арттыруды субсидиялау қағидаларымен (бұдан әрі – № 108 Қағидалар) реттеледі.</w:t>
      </w:r>
    </w:p>
    <w:p w14:paraId="1C78C60E">
      <w:pPr>
        <w:spacing w:after="0" w:line="240" w:lineRule="auto"/>
        <w:ind w:left="0" w:leftChars="0" w:right="-892" w:rightChars="-446" w:firstLine="798" w:firstLineChars="285"/>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Жүргізілген талдау нәтижелері бойынша субсидиялау нормативтерін есептеудің бірыңғай әдістемесінің жоқтығы анықталды. Бұл субсидиялар көлемін айқындау кезінде әртүрлі тәсілдерді қолдануға әкеп соғуы, сондай-ақ сыбайлас жемқорлық тәуекелдерінің туындауына алғышарттар жасауы мүмкін.</w:t>
      </w:r>
    </w:p>
    <w:p w14:paraId="14B562A0">
      <w:pPr>
        <w:spacing w:after="0" w:line="240" w:lineRule="auto"/>
        <w:ind w:left="0" w:leftChars="0" w:right="-892" w:rightChars="-446" w:firstLine="798" w:firstLineChars="285"/>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Жергілікті атқарушы органның қарауы бойынша, өңірлердің ерекшеліктері мен мамандандырылуын ескере отырып, жергілікті бюджеттен бөлінетін бюджет қаражаты есебінен ауыл шаруашылығы жануарларына арналған азық шығындарының құнын арзандату бағыты бойынша субсидиялау нормативтерін айқындау бөлiгiнде.</w:t>
      </w:r>
    </w:p>
    <w:p w14:paraId="751C3D01">
      <w:pPr>
        <w:spacing w:after="0" w:line="240" w:lineRule="auto"/>
        <w:ind w:left="0" w:leftChars="0" w:right="-892" w:rightChars="-446" w:firstLine="798" w:firstLineChars="285"/>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Атап айтқанда, субсидиялау нормативтерін есептеу кезінде объективті, экономикалық тұрғыдан негізделген және құжатпен расталған көрсеткіштерге сүйенетін бірыңғай, ашық әрі түсінікті әдістемені әзірлеу және нормативтік түрде бекіту қажет. Әдістемеде субсидиялау нормативтерін есептеу кезінде ескерілетін шығындар түрлері, олардың көлемдері, есепті кезең, қолданылатын экономикалық көрсеткіштер мен деректер көздері, сондай-ақ есептеу формуласы мен тиісті нормативтерді қайта қарау тәртібі нақты айқындалуы тиіс.</w:t>
      </w:r>
    </w:p>
    <w:p w14:paraId="1F15FB6F">
      <w:pPr>
        <w:spacing w:after="0" w:line="240" w:lineRule="auto"/>
        <w:ind w:left="0" w:leftChars="0" w:right="-892" w:rightChars="-446" w:firstLine="798" w:firstLineChars="285"/>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Аталған шараларды іске асыру субсидиялау нормативтерін айқындау және өтінімдерді қабылдау кезінде лауазымды адамдардың субъективті шешімдер қабылдау мүмкіндігін азайтуға, мемлекеттік қолдау көрсету рәсімдерінің ашықтығы мен болжамдылығын арттыруға, субсидиялардың әлеуетті алушылары үшін тең жағдайларды қамтамасыз етуге, сондай-ақ мал шаруашылығын мемлекеттік қолдау саласындағы сыбайлас жемқорлық тәуекелдерін барынша азайтуға мүмкіндік береді.</w:t>
      </w:r>
    </w:p>
    <w:p w14:paraId="2F9B08E8">
      <w:pPr>
        <w:spacing w:after="0"/>
        <w:ind w:left="0" w:leftChars="0" w:right="-892" w:rightChars="-446" w:firstLine="801" w:firstLineChars="285"/>
        <w:jc w:val="both"/>
        <w:rPr>
          <w:rFonts w:hint="default" w:ascii="Times New Roman" w:hAnsi="Times New Roman" w:cs="Times New Roman"/>
          <w:b/>
          <w:bCs/>
          <w:sz w:val="28"/>
          <w:szCs w:val="28"/>
        </w:rPr>
      </w:pPr>
      <w:r>
        <w:rPr>
          <w:rFonts w:hint="default" w:ascii="Times New Roman" w:hAnsi="Times New Roman" w:cs="Times New Roman"/>
          <w:b/>
          <w:bCs/>
          <w:sz w:val="28"/>
          <w:szCs w:val="28"/>
        </w:rPr>
        <w:t>Ұсыным:</w:t>
      </w:r>
    </w:p>
    <w:p w14:paraId="1F30A4EB">
      <w:pPr>
        <w:spacing w:after="0"/>
        <w:ind w:left="0" w:leftChars="0" w:right="-892" w:rightChars="-446" w:firstLine="798" w:firstLineChars="285"/>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Қазақстан Республикасы Ауыл шаруашылығы министрінің 2019 жылғы 15 наурыздағы № 108 бұйрығымен бекітілген Асыл тұқымды мал шаруашылығын дамытуды, мал шаруашылығы өнімдерінің өнімділігін және сапасын арттыруды субсидиялау қағидаларына сәйкес, ауыл шаруашылығы жануарларына арналған азық шығындарының құнын арзандату бағыты бойынша субсидиялау нормативтерін айқындау, сондай-ақ субсидиялар алуға өтінімдер беру мерзімдерін нақты белгілеу және оларды нормативтік тәртіппен бекіту ұсынылады.</w:t>
      </w:r>
    </w:p>
    <w:p w14:paraId="56E6710A">
      <w:pPr>
        <w:spacing w:after="0"/>
        <w:ind w:left="0" w:leftChars="0" w:right="-892" w:rightChars="-446" w:firstLine="801" w:firstLineChars="285"/>
        <w:jc w:val="both"/>
        <w:rPr>
          <w:rFonts w:hint="default" w:ascii="Times New Roman" w:hAnsi="Times New Roman" w:cs="Times New Roman"/>
          <w:b/>
          <w:bCs/>
          <w:sz w:val="28"/>
          <w:szCs w:val="28"/>
        </w:rPr>
      </w:pPr>
    </w:p>
    <w:p w14:paraId="2A9A236E">
      <w:pPr>
        <w:spacing w:after="0"/>
        <w:ind w:left="0" w:leftChars="0" w:right="-892" w:rightChars="-446" w:firstLine="801" w:firstLineChars="285"/>
        <w:jc w:val="both"/>
        <w:rPr>
          <w:rFonts w:hint="default" w:ascii="Times New Roman" w:hAnsi="Times New Roman" w:cs="Times New Roman"/>
          <w:b/>
          <w:bCs/>
          <w:sz w:val="28"/>
          <w:szCs w:val="28"/>
        </w:rPr>
      </w:pPr>
      <w:r>
        <w:rPr>
          <w:rFonts w:hint="default" w:ascii="Times New Roman" w:hAnsi="Times New Roman" w:cs="Times New Roman"/>
          <w:b/>
          <w:bCs/>
          <w:sz w:val="28"/>
          <w:szCs w:val="28"/>
        </w:rPr>
        <w:t>Өңдеуші кәсіпорындарды субсидиялау.</w:t>
      </w:r>
    </w:p>
    <w:p w14:paraId="3B135218">
      <w:pPr>
        <w:spacing w:after="0"/>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Басқарма Қазақстан Республикасы Ауыл шаруашылығы министрінің 2014 жылғы 26 қарашадағы № 3-2/615 бұйрығымен бекітілген «Өңдеуші кәсіпорындардың ауыл шаруашылығы өнімін тереңдетіп өңдеп өнім шығаруы үшін оны сатып алуға жұмсайтын шығындарын субсидиялау қағидаларына» (бұдан әрі – Қағидалар) сыбайлас жемқорлық тәуекелдерін анықтау мәніне егжей-тегжейлі талдау жүргізді, бұл айтарлықтай жүйелі тәуекелдің бар екенін көрсетеді.</w:t>
      </w:r>
    </w:p>
    <w:p w14:paraId="662A9A46">
      <w:pPr>
        <w:spacing w:after="0"/>
        <w:ind w:left="0" w:leftChars="0" w:right="-892" w:rightChars="-446" w:firstLine="798" w:firstLineChars="285"/>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Мәселен, Қағидалардың 3-тармағына сәйкес өңдеуші кәсіпорындардың кепілдік берілген сатып алу бағасы және өңдеуші кәсіпорындардың сатып алу бағасы белгіленетін ауыл шаруашылығы өнімінің тізбесіне сәйкес, оны ауыл шаруашылығы өнімін тереңдетіп өңдей отырып өндіруге сатып алуға жұмсалатын шығындары субсидиялауға жатады.</w:t>
      </w:r>
    </w:p>
    <w:p w14:paraId="1D14CD47">
      <w:pPr>
        <w:spacing w:after="0"/>
        <w:ind w:left="0" w:leftChars="0" w:right="-892" w:rightChars="-446" w:firstLine="798" w:firstLineChars="285"/>
        <w:jc w:val="both"/>
        <w:rPr>
          <w:rFonts w:hint="default" w:ascii="Times New Roman" w:hAnsi="Times New Roman" w:cs="Times New Roman"/>
          <w:sz w:val="28"/>
          <w:szCs w:val="28"/>
        </w:rPr>
      </w:pPr>
      <w:r>
        <w:rPr>
          <w:rFonts w:hint="default" w:ascii="Times New Roman" w:hAnsi="Times New Roman" w:cs="Times New Roman"/>
          <w:sz w:val="28"/>
          <w:szCs w:val="28"/>
        </w:rPr>
        <w:t>Қағидалардың 1-тарауының 6-тармағына сәйкес субсидиялар нормативін айқындау үшін облыстың, республикалық маңызы бар қалалардың, астананың әкімдігі өкілдерінің, оның ішінде басқарманың, сондай-ақ салалық қоғамдық бірлестіктердің, өңдеуші кәсіпорындардың, ауыл шаруашылығы тауарын өндірушілердің, Қазақстан Республикасы Ұлттық кәсіпкерлер палатасы өңірлік палаталарының өкілдері құрамында комиссия құрылады. Комиссия құрамы облыс, республикалық маңызы бар қалалар, астана әкімінің шешімімен айқындалады және бекітіледі.</w:t>
      </w:r>
    </w:p>
    <w:p w14:paraId="34650E87">
      <w:pPr>
        <w:spacing w:after="0"/>
        <w:ind w:left="0" w:leftChars="0" w:right="-892" w:rightChars="-446" w:firstLine="798" w:firstLineChars="285"/>
        <w:jc w:val="both"/>
        <w:rPr>
          <w:rFonts w:hint="default" w:ascii="Times New Roman" w:hAnsi="Times New Roman" w:cs="Times New Roman"/>
          <w:sz w:val="28"/>
          <w:szCs w:val="28"/>
        </w:rPr>
      </w:pPr>
      <w:r>
        <w:rPr>
          <w:rFonts w:hint="default" w:ascii="Times New Roman" w:hAnsi="Times New Roman" w:cs="Times New Roman"/>
          <w:sz w:val="28"/>
          <w:szCs w:val="28"/>
        </w:rPr>
        <w:t>Абай облысы әкімінің 2024 жылғы 17 ақпандағы № 6-ө өкімімен сары май мен қатты ірімшікке субсидиялар нормативтерін айқындау бойынша құрамында 9 адам, оның ішінде Кәсіпкерлер палатасының өкілдері, өңдеуші кәсіпорындардың басшылары және ауыл шаруашылығы басқармасы бар Комиссия құрылды.</w:t>
      </w:r>
    </w:p>
    <w:p w14:paraId="2C880A7B">
      <w:pPr>
        <w:spacing w:after="0"/>
        <w:ind w:left="0" w:leftChars="0" w:right="-892" w:rightChars="-446" w:firstLine="798" w:firstLineChars="285"/>
        <w:jc w:val="both"/>
        <w:rPr>
          <w:rFonts w:hint="default" w:ascii="Times New Roman" w:hAnsi="Times New Roman" w:cs="Times New Roman"/>
          <w:sz w:val="28"/>
          <w:szCs w:val="28"/>
        </w:rPr>
      </w:pPr>
      <w:r>
        <w:rPr>
          <w:rFonts w:hint="default" w:ascii="Times New Roman" w:hAnsi="Times New Roman" w:cs="Times New Roman"/>
          <w:sz w:val="28"/>
          <w:szCs w:val="28"/>
        </w:rPr>
        <w:t>Нормативті айқындау Қағидаларда белгіленген нормалар мен есептілікке сәйкес жүзеге асырылады. Дегенмен, Комиссия есептілік үшін қажетті кәсіпорындардың орташа нарықтық қаржылық шығындарын шығару кезінде мүдделі кәсіпорындар ұсынған ақпаратқа сүйенеді. Бұл, өз кезегінде, кәсіпорынның мүдделі тараптары тарапынан шеккен шығындарын бұрмалау (бұрмалап көрсету) фактілеріне әкеп соғуы мүмкін.</w:t>
      </w:r>
    </w:p>
    <w:p w14:paraId="15720F16">
      <w:pPr>
        <w:spacing w:after="0"/>
        <w:ind w:left="0" w:leftChars="0" w:right="-892" w:rightChars="-446" w:firstLine="801" w:firstLineChars="285"/>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rPr>
        <w:t>Ұсыным</w:t>
      </w:r>
      <w:r>
        <w:rPr>
          <w:rFonts w:hint="default" w:ascii="Times New Roman" w:hAnsi="Times New Roman" w:cs="Times New Roman"/>
          <w:b/>
          <w:bCs/>
          <w:sz w:val="28"/>
          <w:szCs w:val="28"/>
        </w:rPr>
        <w:t>:</w:t>
      </w:r>
    </w:p>
    <w:p w14:paraId="28A59B74">
      <w:pPr>
        <w:numPr>
          <w:ilvl w:val="0"/>
          <w:numId w:val="0"/>
        </w:numPr>
        <w:autoSpaceDE/>
        <w:autoSpaceDN/>
        <w:ind w:left="0" w:leftChars="0" w:right="-892" w:rightChars="-446" w:firstLine="798" w:firstLineChars="285"/>
        <w:jc w:val="both"/>
        <w:rPr>
          <w:rFonts w:hint="default" w:ascii="Times New Roman" w:hAnsi="Times New Roman" w:cs="Times New Roman"/>
          <w:b/>
          <w:bCs/>
          <w:sz w:val="28"/>
          <w:szCs w:val="28"/>
          <w:lang w:val="ru-RU"/>
        </w:rPr>
      </w:pPr>
      <w:r>
        <w:rPr>
          <w:rFonts w:hint="default" w:ascii="Times New Roman" w:hAnsi="Times New Roman" w:cs="Times New Roman"/>
          <w:sz w:val="28"/>
          <w:szCs w:val="28"/>
        </w:rPr>
        <w:t>Сыбайлас жемқорлық тәуекелдерін жою мақсатында жекелеген мүдделі кәсіпорындар ұсынған мәліметтер негізінде нормативті айқындау мүмкіндігін алып тастай отырып, орташа нарықтық шығындар туралы объективті және расталған деректер негізінде субсидиялардың бірыңғай нормативін белгілеуді қарастыру.</w:t>
      </w:r>
    </w:p>
    <w:p w14:paraId="206E0897">
      <w:pPr>
        <w:numPr>
          <w:ilvl w:val="0"/>
          <w:numId w:val="0"/>
        </w:numPr>
        <w:autoSpaceDE/>
        <w:autoSpaceDN/>
        <w:ind w:left="0" w:leftChars="0" w:right="-892" w:rightChars="-446" w:firstLine="801" w:firstLineChars="285"/>
        <w:jc w:val="both"/>
        <w:rPr>
          <w:rFonts w:hint="default" w:ascii="Times New Roman" w:hAnsi="Times New Roman" w:cs="Times New Roman"/>
          <w:b/>
          <w:bCs/>
          <w:sz w:val="28"/>
          <w:szCs w:val="28"/>
          <w:lang w:val="ru-RU"/>
        </w:rPr>
      </w:pPr>
    </w:p>
    <w:p w14:paraId="505DB11B">
      <w:pPr>
        <w:numPr>
          <w:ilvl w:val="0"/>
          <w:numId w:val="1"/>
        </w:numPr>
        <w:autoSpaceDE/>
        <w:autoSpaceDN/>
        <w:ind w:left="0" w:leftChars="0" w:right="-892" w:rightChars="-446" w:firstLine="0" w:firstLineChars="0"/>
        <w:jc w:val="center"/>
        <w:rPr>
          <w:rFonts w:hint="default" w:ascii="Times New Roman" w:hAnsi="Times New Roman" w:eastAsia="sans-serif" w:cs="Times New Roman"/>
          <w:b/>
          <w:bCs/>
          <w:i w:val="0"/>
          <w:iCs w:val="0"/>
          <w:color w:val="1F1F1F"/>
          <w:spacing w:val="0"/>
          <w:sz w:val="28"/>
          <w:szCs w:val="28"/>
          <w:shd w:val="clear" w:fill="FFFFFF"/>
          <w:lang w:val="ru-RU" w:eastAsia="en-US"/>
        </w:rPr>
      </w:pPr>
      <w:r>
        <w:rPr>
          <w:rFonts w:hint="default" w:ascii="Times New Roman" w:hAnsi="Times New Roman" w:eastAsia="sans-serif" w:cs="Times New Roman"/>
          <w:b/>
          <w:bCs/>
          <w:i w:val="0"/>
          <w:iCs w:val="0"/>
          <w:color w:val="1F1F1F"/>
          <w:spacing w:val="0"/>
          <w:sz w:val="28"/>
          <w:szCs w:val="28"/>
          <w:shd w:val="clear" w:fill="FFFFFF"/>
          <w:lang w:val="ru-RU" w:eastAsia="en-US"/>
        </w:rPr>
        <w:t>ӨСІМДІК ШАРУАШЫЛЫҒЫ ҒЫЛЫМЫ, ӨНІМДЕРІН ӨҢДЕУ, МЕХАНИКАЛАНДЫРУ, ТЕХНИКАЛЫҚ ИНСПЕКЦИЯ ЖӘНЕ АЗЫҚ-ТҮЛІК ҚАУІПСІЗДІГІН БАҚЫЛАУ БӨЛІМІНІҢ СЫБАЙЛАС ЖЕМҚОРЛЫҚ ТӘУЕКЕЛДЕРІНЕ ЖҮРГІЗІЛГЕН ІШКІ ТАЛДАУ НӘТИЖЕЛЕРІ</w:t>
      </w:r>
    </w:p>
    <w:p w14:paraId="29E9151B">
      <w:pPr>
        <w:numPr>
          <w:ilvl w:val="0"/>
          <w:numId w:val="0"/>
        </w:numPr>
        <w:autoSpaceDE/>
        <w:autoSpaceDN/>
        <w:ind w:left="0" w:leftChars="0" w:right="-892" w:rightChars="-446" w:firstLine="798" w:firstLineChars="285"/>
        <w:jc w:val="center"/>
        <w:rPr>
          <w:rFonts w:hint="default" w:ascii="Times New Roman" w:hAnsi="Times New Roman" w:eastAsia="sans-serif" w:cs="Times New Roman"/>
          <w:b/>
          <w:bCs/>
          <w:i w:val="0"/>
          <w:iCs w:val="0"/>
          <w:color w:val="1F1F1F"/>
          <w:spacing w:val="0"/>
          <w:sz w:val="28"/>
          <w:szCs w:val="28"/>
          <w:shd w:val="clear" w:fill="FFFFFF"/>
          <w:lang w:val="ru-RU" w:eastAsia="en-US"/>
        </w:rPr>
      </w:pPr>
    </w:p>
    <w:p w14:paraId="06C7E14D">
      <w:pPr>
        <w:numPr>
          <w:ilvl w:val="0"/>
          <w:numId w:val="0"/>
        </w:numPr>
        <w:autoSpaceDE/>
        <w:autoSpaceDN/>
        <w:ind w:left="0" w:leftChars="0" w:right="-892" w:rightChars="-446" w:firstLine="801" w:firstLineChars="285"/>
        <w:jc w:val="both"/>
        <w:rPr>
          <w:rFonts w:hint="default" w:ascii="Times New Roman" w:hAnsi="Times New Roman" w:cs="Times New Roman"/>
          <w:b/>
          <w:bCs/>
          <w:sz w:val="28"/>
          <w:szCs w:val="28"/>
          <w:lang w:val="ru-RU"/>
        </w:rPr>
      </w:pPr>
      <w:r>
        <w:rPr>
          <w:rFonts w:hint="default" w:ascii="Times New Roman" w:hAnsi="Times New Roman" w:cs="Times New Roman"/>
          <w:b/>
          <w:bCs/>
          <w:sz w:val="28"/>
          <w:szCs w:val="28"/>
          <w:lang w:val="ru-RU"/>
        </w:rPr>
        <w:t>Өсімдік шаруашылығын субсидиялау.</w:t>
      </w:r>
    </w:p>
    <w:p w14:paraId="156DC90D">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«Агроөнеркәсіптік кешенді және ауылдық аумақтарды дамытуды мемлекеттік реттеу туралы» ҚР 2005 жылғы 8 шілдедегі № 66-III Заңының 11-бабына сәйкес АӨК субъектілеріне мемлекеттік қолдау бюджет қаражаты есебінен субсидиялау жолымен жүзеге асырылады.</w:t>
      </w:r>
    </w:p>
    <w:p w14:paraId="7B8B60BD">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Тұқым шаруашылығын дамытуды, пестицидтердің, биоагенттердің және тыңайтқыштардың құнын субсидиялау бойынша мемлекеттік қызметтерді көрсету ҚР Ауыл шаруашылығы министрінің бұйрықтарымен бекітілген тиісті Субсидиялау қағидаларымен (соның ішінде ҚР АШМ 2020 жылғы 30 наурыздағы № 107 бұйрығы және ҚР АШМ 2020 жылғы 6 сәуірдегі № 116 бұйрығы) реттеледі. Қызметтерді көрсету Цифрлық субсидиялаудың мемлекеттік ақпараттық жүйесі («GOSAGRO.KZ» МАЖ) арқылы ішінара автоматтандырылған.</w:t>
      </w:r>
    </w:p>
    <w:p w14:paraId="31F37880">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Ішкі талдау барысында аударымды өтінім механизмін пайдалану кезінде ауыл шаруашылығы тауарын өндіруші мен өнім беруші арасында негізсіз шартқа отыру тәуекелдері анықталды. Атап айтқанда, Басқарма аударымды өтінімдерді тек жер учаскелері туралы мәліметтер негізінде ғана растайды, ал қолданыстағы жүйеде іс жүзінде жеткізілген өнім көлемін және оның шынайылығын тексеру мүмкіндігі шектеулі.</w:t>
      </w:r>
    </w:p>
    <w:p w14:paraId="7140E2B4">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Бұдан бөлек, аударымды өтінім механизмін қолдану кезінде өнімді жеткізудің жеткілікті құжаттамалық және іс жүзіндегі растамасы болмай-ақ, міндеттемелерді формальды түрде растау тәуекелі сақталады. Нәтижесінде өнім іс жүзінде жеткізілмеген немесе жеткізілген өнім көлемі асыра көрсетілген жағдайда субсидияларды негізсіз алу ықтималдығы туындайды.</w:t>
      </w:r>
    </w:p>
    <w:p w14:paraId="776B78FF">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Аударымды өтінімде көрсетілген мәліметтерді субсидияланатын өнімнің іс жүзіндегі қозғалысы мен пайдаланылуы туралы деректермен салыстыру үшін қолданыстағы механизмде жеткілікті құралдардың болмауы қосымша тәуекел факторы болып табылады. Атап айтқанда, жеткізу көлемін, өнімнің мәлімделген түрлері мен нормаларға сәйкестігін, сондай-ақ процесс қатысушылары ұсынған мәліметтердің шынайылығын автоматтандырылған тексеру толық көлемде қамтамасыз етілмейді.</w:t>
      </w:r>
    </w:p>
    <w:p w14:paraId="7064A32E">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Көрсетілген мән-жайлар сыбайлас жемқорлық тәуекелдерінің туындауына, соның ішінде ауыл шаруашылығы тауарын өндірушілер мен өнім берушілер арасында іс жүзіндегі негіздер болмаған кезде немесе нақты қажеттіліктен асатын мөлшерде субсидиялар алу мақсатында өзара келісілген әрекеттерге алғышарттар жасайды.</w:t>
      </w:r>
    </w:p>
    <w:p w14:paraId="138AC345">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Анықталған тәуекелдерді барынша азайту мақсатында жеткізілген өнімнің іс жүзіндегі көлемін растауды, ақпараттық жүйелердегі мәліметтерді салыстыруды, сондай-ақ мәлімделген және іс жүзіндегі көлемдер арасындағы сәйкессіздіктерді анықтауды көздейтін қосымша автоматтандырылған тексерулерді енгізу арқылы аударымды өтінімдер механизмін жетілдіру мәселесін қарастыру орынды деп есептеледі.</w:t>
      </w:r>
    </w:p>
    <w:p w14:paraId="2696B2BC">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Сондай-ақ өнімді жеткізудің әдеттен тыс көлемдері, бір өнім берушілердің бірнеше рет қатысуы, субсидияланатын өнім көлемінің күрт өсуі немесе қатысушылардың ықтимал үлестестігінің басқа да белгілері анықталған жағдайларда қосымша тексеру жүргізу үшін аударымды өтінімдерді тәуекелге бағдарланған іріктеу механизмін қарастыру мақсатқа сәйкес келеді.</w:t>
      </w:r>
    </w:p>
    <w:p w14:paraId="056E1433">
      <w:pPr>
        <w:numPr>
          <w:ilvl w:val="0"/>
          <w:numId w:val="0"/>
        </w:numPr>
        <w:autoSpaceDE/>
        <w:autoSpaceDN/>
        <w:ind w:left="0" w:leftChars="0" w:right="-892" w:rightChars="-446" w:firstLine="801" w:firstLineChars="285"/>
        <w:jc w:val="both"/>
        <w:rPr>
          <w:rFonts w:hint="default" w:ascii="Times New Roman" w:hAnsi="Times New Roman" w:cs="Times New Roman"/>
          <w:b/>
          <w:bCs/>
          <w:sz w:val="28"/>
          <w:szCs w:val="28"/>
          <w:lang w:val="ru-RU"/>
        </w:rPr>
      </w:pPr>
      <w:r>
        <w:rPr>
          <w:rFonts w:hint="default" w:ascii="Times New Roman" w:hAnsi="Times New Roman" w:cs="Times New Roman"/>
          <w:b/>
          <w:bCs/>
          <w:sz w:val="28"/>
          <w:szCs w:val="28"/>
        </w:rPr>
        <w:t>Ұсыным</w:t>
      </w:r>
      <w:r>
        <w:rPr>
          <w:rFonts w:hint="default" w:ascii="Times New Roman" w:hAnsi="Times New Roman" w:cs="Times New Roman"/>
          <w:b/>
          <w:bCs/>
          <w:sz w:val="28"/>
          <w:szCs w:val="28"/>
          <w:lang w:val="ru-RU"/>
        </w:rPr>
        <w:t>:</w:t>
      </w:r>
    </w:p>
    <w:p w14:paraId="4CEA381E">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Осыған байланысты Қазақстан Республикасы Ауыл шаруашылығы министрлігіне субсидиялау қағидаларын жетілдіру, бақылау механизмдерін күшейту, сондай-ақ аударымды өтінімдердің ашықтығы мен тиімділігін арттыру бойынша ұсыныстар енгізілді. Қазіргі уақытта аталған ұсыныстар бейінді министрліктің қарауында.</w:t>
      </w:r>
    </w:p>
    <w:p w14:paraId="5D4A130A">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Бұдан бөлек, ауыл шаруашылығы тауарын өндірушілер арасында мемлекеттік қызметтерді алу тәртібі мен субсидиялау механизмдері бойынша ақпараттық-түсіндіру жұмыстарын кеңейту көзделген.</w:t>
      </w:r>
    </w:p>
    <w:p w14:paraId="34D8D754">
      <w:pPr>
        <w:numPr>
          <w:ilvl w:val="0"/>
          <w:numId w:val="0"/>
        </w:numPr>
        <w:autoSpaceDE/>
        <w:autoSpaceDN/>
        <w:ind w:left="0" w:leftChars="0" w:right="-892" w:rightChars="-446" w:firstLine="798" w:firstLineChars="285"/>
        <w:jc w:val="both"/>
        <w:rPr>
          <w:rFonts w:hint="default" w:ascii="Times New Roman" w:hAnsi="Times New Roman" w:cs="Times New Roman"/>
          <w:b w:val="0"/>
          <w:bCs w:val="0"/>
          <w:sz w:val="28"/>
          <w:szCs w:val="28"/>
          <w:lang w:val="ru-RU"/>
        </w:rPr>
      </w:pPr>
    </w:p>
    <w:p w14:paraId="72167F58">
      <w:pPr>
        <w:numPr>
          <w:ilvl w:val="0"/>
          <w:numId w:val="1"/>
        </w:numPr>
        <w:autoSpaceDE/>
        <w:autoSpaceDN/>
        <w:ind w:left="0" w:leftChars="0" w:right="-892" w:rightChars="-446" w:firstLine="0" w:firstLineChars="0"/>
        <w:jc w:val="center"/>
        <w:rPr>
          <w:rFonts w:hint="default" w:ascii="Times New Roman" w:hAnsi="Times New Roman" w:cs="Times New Roman"/>
          <w:b/>
          <w:bCs/>
          <w:sz w:val="28"/>
          <w:szCs w:val="28"/>
          <w:lang w:val="ru-RU"/>
        </w:rPr>
      </w:pPr>
      <w:r>
        <w:rPr>
          <w:rFonts w:hint="default" w:ascii="Times New Roman" w:hAnsi="Times New Roman" w:eastAsia="sans-serif" w:cs="Times New Roman"/>
          <w:b/>
          <w:bCs/>
          <w:i w:val="0"/>
          <w:iCs w:val="0"/>
          <w:color w:val="1F1F1F"/>
          <w:spacing w:val="0"/>
          <w:sz w:val="28"/>
          <w:szCs w:val="28"/>
          <w:shd w:val="clear" w:fill="FFFFFF"/>
          <w:lang w:val="ru-RU" w:eastAsia="en-US"/>
        </w:rPr>
        <w:t>ӘКІМШІЛІК-ҚҰҚЫҚТЫҚ ҚАМТАМАСЫЗ ЕТУ, БУХГАЛТЕРЛІК ЕСЕП ЖӘНЕ БЮДЖЕТТІК ЖОСПАРЛАУ БӨЛІМІ ІШКІ ТАЛДАУЫНЫҢ НӘТИЖЕЛЕРІ</w:t>
      </w:r>
    </w:p>
    <w:p w14:paraId="09DF818C">
      <w:pPr>
        <w:numPr>
          <w:ilvl w:val="0"/>
          <w:numId w:val="0"/>
        </w:numPr>
        <w:autoSpaceDE/>
        <w:autoSpaceDN/>
        <w:ind w:left="0" w:leftChars="0" w:right="-892" w:rightChars="-446" w:firstLine="798" w:firstLineChars="285"/>
        <w:jc w:val="center"/>
        <w:rPr>
          <w:rFonts w:hint="default" w:ascii="Times New Roman" w:hAnsi="Times New Roman" w:eastAsia="sans-serif" w:cs="Times New Roman"/>
          <w:b/>
          <w:bCs/>
          <w:i w:val="0"/>
          <w:iCs w:val="0"/>
          <w:color w:val="1F1F1F"/>
          <w:spacing w:val="0"/>
          <w:sz w:val="28"/>
          <w:szCs w:val="28"/>
          <w:shd w:val="clear" w:fill="FFFFFF"/>
          <w:lang w:val="ru-RU" w:eastAsia="en-US"/>
        </w:rPr>
      </w:pPr>
    </w:p>
    <w:p w14:paraId="2C8A8765">
      <w:pPr>
        <w:widowControl w:val="0"/>
        <w:numPr>
          <w:ilvl w:val="0"/>
          <w:numId w:val="0"/>
        </w:numPr>
        <w:pBdr>
          <w:bottom w:val="single" w:color="FFFFFF" w:sz="4" w:space="31"/>
        </w:pBdr>
        <w:tabs>
          <w:tab w:val="left" w:pos="993"/>
          <w:tab w:val="left" w:pos="1418"/>
        </w:tabs>
        <w:spacing w:after="0"/>
        <w:ind w:left="0" w:leftChars="0" w:right="-892" w:rightChars="-446" w:firstLine="801" w:firstLineChars="285"/>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Государственные закупки</w:t>
      </w:r>
    </w:p>
    <w:p w14:paraId="7C4C3160">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t>В ходе анализа процедур государственных закупок выявлены риски, касающиеся соблюдения сроков внесения обеспечения исполнения договора.</w:t>
      </w:r>
    </w:p>
    <w:p w14:paraId="5479993F">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t>В соответствии с ч. 1 ст. 25 Закона Республики Казахстан от 1 июля 2024 года № 106-VIII «О государственных закупках» (введен в действие с 1 января 2025 года), поставщик обязан внести обеспечение исполнения договора в течение десяти рабочих дней со дня заключения договора о государственных закупках.</w:t>
      </w:r>
    </w:p>
    <w:p w14:paraId="67201E65">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t>При этом ч. 10 ст. 25 Закона прямо устанавливает: если поставщик не внес обеспечение исполнения договора в установленный срок, такой поставщик признается уклонившимся от заключения договора.</w:t>
      </w:r>
    </w:p>
    <w:p w14:paraId="09679783">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t>В соответствии с действующим законодательством поставщик обязан внести обеспечение исполнения договора в течение десяти рабочих дней со дня заключения договора. Однако в связи с функциональными особенностями веб-портала случаи нарушения указанного срока могут приводить к затягиванию процедур государственных закупок.</w:t>
      </w:r>
    </w:p>
    <w:p w14:paraId="7BAEF6D5">
      <w:pPr>
        <w:widowControl w:val="0"/>
        <w:numPr>
          <w:ilvl w:val="0"/>
          <w:numId w:val="0"/>
        </w:numPr>
        <w:pBdr>
          <w:bottom w:val="single" w:color="FFFFFF" w:sz="4" w:space="31"/>
        </w:pBdr>
        <w:tabs>
          <w:tab w:val="left" w:pos="993"/>
          <w:tab w:val="left" w:pos="1418"/>
        </w:tabs>
        <w:spacing w:after="0"/>
        <w:ind w:left="0" w:leftChars="0" w:right="-892" w:rightChars="-446" w:firstLine="801" w:firstLineChars="285"/>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Ұсыным:</w:t>
      </w:r>
    </w:p>
    <w:p w14:paraId="7B27BF4C">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t>Осыған байланысты мемлекеттік сатып алу веб-порталының функционалын жетілдіру, сондай-ақ міндеттемелер уақтылы орындалмаған жағдайда шартты автоматты түрде бұзу және өнім берушіні жосықсыз қатысушылар тізіліміне енгізу механизмін қарастыру бойынша ұсыныстар әзірленді. (Өнім беруші белгіленген мерзімде шарттың орындалуын қамтамасыз етуді енгізбеген жағдайда, шартты автоматты түрде бұзу және оны жосықсыз қатысушылар тізіліміне енгізу механизмін енгізу ұсынылады).</w:t>
      </w:r>
    </w:p>
    <w:p w14:paraId="2DBE5860">
      <w:pPr>
        <w:widowControl w:val="0"/>
        <w:numPr>
          <w:ilvl w:val="0"/>
          <w:numId w:val="0"/>
        </w:numPr>
        <w:pBdr>
          <w:bottom w:val="single" w:color="FFFFFF" w:sz="4" w:space="31"/>
        </w:pBdr>
        <w:tabs>
          <w:tab w:val="left" w:pos="993"/>
          <w:tab w:val="left" w:pos="1418"/>
        </w:tabs>
        <w:spacing w:after="0"/>
        <w:ind w:left="0" w:leftChars="0" w:right="-892" w:rightChars="-446" w:firstLine="801" w:firstLineChars="285"/>
        <w:jc w:val="both"/>
        <w:rPr>
          <w:rFonts w:hint="default" w:ascii="Times New Roman" w:hAnsi="Times New Roman" w:cs="Times New Roman"/>
          <w:b/>
          <w:bCs/>
          <w:sz w:val="28"/>
          <w:szCs w:val="28"/>
          <w:lang w:val="ru-RU"/>
        </w:rPr>
      </w:pPr>
    </w:p>
    <w:p w14:paraId="59396AD6">
      <w:pPr>
        <w:widowControl w:val="0"/>
        <w:numPr>
          <w:ilvl w:val="0"/>
          <w:numId w:val="0"/>
        </w:numPr>
        <w:pBdr>
          <w:bottom w:val="single" w:color="FFFFFF" w:sz="4" w:space="31"/>
        </w:pBdr>
        <w:tabs>
          <w:tab w:val="left" w:pos="993"/>
          <w:tab w:val="left" w:pos="1418"/>
        </w:tabs>
        <w:spacing w:after="0"/>
        <w:ind w:left="0" w:leftChars="0" w:right="-892" w:rightChars="-446" w:firstLine="801" w:firstLineChars="285"/>
        <w:jc w:val="both"/>
        <w:rPr>
          <w:rFonts w:hint="default" w:ascii="Times New Roman" w:hAnsi="Times New Roman" w:cs="Times New Roman"/>
          <w:b/>
          <w:bCs/>
          <w:sz w:val="28"/>
          <w:szCs w:val="28"/>
          <w:lang w:val="ru-RU"/>
        </w:rPr>
      </w:pPr>
      <w:r>
        <w:rPr>
          <w:rFonts w:hint="default" w:ascii="Times New Roman" w:hAnsi="Times New Roman" w:cs="Times New Roman"/>
          <w:b/>
          <w:bCs/>
          <w:sz w:val="28"/>
          <w:szCs w:val="28"/>
          <w:lang w:val="ru-RU"/>
        </w:rPr>
        <w:t>Қорытынды бөлім:</w:t>
      </w:r>
    </w:p>
    <w:p w14:paraId="414D1A20">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Басқарманың жұмыс тобы жүргізген сыбайлас жемқорлық тәуекелдеріне ішкі талдау нәтижелері бойынша 5 сыбайлас жемқорлық тәуекелі анықталып, 5 ұсыным берілді.</w:t>
      </w:r>
    </w:p>
    <w:p w14:paraId="1AF28F82">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kk-KZ"/>
        </w:rPr>
        <w:t xml:space="preserve">- </w:t>
      </w:r>
      <w:r>
        <w:rPr>
          <w:rFonts w:hint="default" w:ascii="Times New Roman" w:hAnsi="Times New Roman" w:cs="Times New Roman"/>
          <w:b w:val="0"/>
          <w:bCs w:val="0"/>
          <w:sz w:val="28"/>
          <w:szCs w:val="28"/>
          <w:lang w:val="ru-RU"/>
        </w:rPr>
        <w:t>сыбайлас жемқорлық тәуекелдерінің алдын алу мақсатында Басқарма қызметіндегі сыбайлас жемқорлық тәуекелдеріне ішкі талдау жүргізу жұмысы «Сыбайлас жемқорлыққа қарсы іс-қимыл туралы» Қазақстан Республикасының Заңына сәйкес тұрақты негізде жүргізілуі тиіс;</w:t>
      </w:r>
    </w:p>
    <w:p w14:paraId="2E6153EB">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kk-KZ"/>
        </w:rPr>
        <w:t xml:space="preserve">- </w:t>
      </w:r>
      <w:r>
        <w:rPr>
          <w:rFonts w:hint="default" w:ascii="Times New Roman" w:hAnsi="Times New Roman" w:cs="Times New Roman"/>
          <w:b w:val="0"/>
          <w:bCs w:val="0"/>
          <w:sz w:val="28"/>
          <w:szCs w:val="28"/>
          <w:lang w:val="ru-RU"/>
        </w:rPr>
        <w:t>Басқармада әкімшілік және қылмыстық жауаптылыққа әкеп соғатын фактілердің алдын алу және жолын кесу бойынша түсіндіру іс-шараларын жүргізу.</w:t>
      </w:r>
    </w:p>
    <w:p w14:paraId="5A078334">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Ұсынылған 5 ұсынымға сәйкес тиісті орталық органдарға берілген ұсынымдардың уақтылы орындалуы бақылауда болуын қамтамасыз ету қажет.</w:t>
      </w:r>
    </w:p>
    <w:p w14:paraId="3EFCE726">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2025 жылғы 8 қыркүйекте Мемлекет басшысы Қасым-Жомарт Тоқаевтың «Жасанды интеллект дәуіріндегі Қазақстан: өзекті мәселелер және оларды цифрлық трансформация арқылы шешу» атты Жыл сайынғы Қазақстан халқына Жолдауында мемлекеттік басқару жүйесіне жасанды интеллект технологияларын кеңінен енгізу, цифрлық трансформацияны жеделдету және мемлекеттік қызметтердің тиімділігі мен ашықтығын арттыру басым бағыттардың бірі ретінде айқындалды.</w:t>
      </w:r>
    </w:p>
    <w:p w14:paraId="5AFB8F00">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Осыған байланысты, ауыл шаруашылығының барлық бағыттарын субсидиялау саласында орын алып отырған жүйелі мәселелер мен тәуекелдерді жою мақсатында мемлекеттік қолдау механизмдеріне жасанды интеллект технологияларын кезең-кезеңімен және кешенді түрде енгізу ұсынылады.</w:t>
      </w:r>
    </w:p>
    <w:p w14:paraId="3D22AE6E">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Осы ұсынысты іске асыру келесі нәтижелерге қол жеткізуге мүмкіндік береді:</w:t>
      </w:r>
    </w:p>
    <w:p w14:paraId="4551D810">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kk-KZ"/>
        </w:rPr>
        <w:t>-</w:t>
      </w:r>
      <w:r>
        <w:rPr>
          <w:rFonts w:hint="default" w:ascii="Times New Roman" w:hAnsi="Times New Roman" w:cs="Times New Roman"/>
          <w:b w:val="0"/>
          <w:bCs w:val="0"/>
          <w:sz w:val="28"/>
          <w:szCs w:val="28"/>
          <w:lang w:val="ru-RU"/>
        </w:rPr>
        <w:t xml:space="preserve"> субсидиялар беру процесін толыққанды автоматтандыру;</w:t>
      </w:r>
    </w:p>
    <w:p w14:paraId="6511CC17">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 </w:t>
      </w:r>
      <w:r>
        <w:rPr>
          <w:rFonts w:hint="default" w:ascii="Times New Roman" w:hAnsi="Times New Roman" w:cs="Times New Roman"/>
          <w:b w:val="0"/>
          <w:bCs w:val="0"/>
          <w:sz w:val="28"/>
          <w:szCs w:val="28"/>
          <w:lang w:val="kk-KZ"/>
        </w:rPr>
        <w:t>-</w:t>
      </w:r>
      <w:r>
        <w:rPr>
          <w:rFonts w:hint="default" w:ascii="Times New Roman" w:hAnsi="Times New Roman" w:cs="Times New Roman"/>
          <w:b w:val="0"/>
          <w:bCs w:val="0"/>
          <w:sz w:val="28"/>
          <w:szCs w:val="28"/>
          <w:lang w:val="ru-RU"/>
        </w:rPr>
        <w:t xml:space="preserve"> өтінімдерді қарау кезінде адам факторына байланысты сыбайлас жемқорлық тәуекелдері мен субъективті шешімдерді барынша азайту;</w:t>
      </w:r>
    </w:p>
    <w:p w14:paraId="1D31240C">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kk-KZ"/>
        </w:rPr>
        <w:t>-</w:t>
      </w:r>
      <w:r>
        <w:rPr>
          <w:rFonts w:hint="default" w:ascii="Times New Roman" w:hAnsi="Times New Roman" w:cs="Times New Roman"/>
          <w:b w:val="0"/>
          <w:bCs w:val="0"/>
          <w:sz w:val="28"/>
          <w:szCs w:val="28"/>
          <w:lang w:val="ru-RU"/>
        </w:rPr>
        <w:t xml:space="preserve"> субсидиялау рәсімдерінің заңдылығын, ашықтығын, жүйелілігін және әділдігін қамтамасыз ету;</w:t>
      </w:r>
    </w:p>
    <w:p w14:paraId="352C3AA0">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kk-KZ"/>
        </w:rPr>
        <w:t>-</w:t>
      </w:r>
      <w:r>
        <w:rPr>
          <w:rFonts w:hint="default" w:ascii="Times New Roman" w:hAnsi="Times New Roman" w:cs="Times New Roman"/>
          <w:b w:val="0"/>
          <w:bCs w:val="0"/>
          <w:sz w:val="28"/>
          <w:szCs w:val="28"/>
          <w:lang w:val="ru-RU"/>
        </w:rPr>
        <w:t xml:space="preserve"> мемлекеттік қолдау шараларын көрсету мерзімдерін қысқарту және әкімшілік рәсімдерді оңтайландыру.В результате интеграции технологий искусственного интеллекта в систему электронного субсидирования заявки будут автоматически проверяться и обрабатываться без участия человека в соответствии с установленными алгоритмами и действующими нормативными требованиями. </w:t>
      </w:r>
    </w:p>
    <w:p w14:paraId="4ACB2798">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Тексеру нәтижелерінің негізінде субсидия қаражатын қазынашылық жүйесі арқылы тікелей ауыл шаруашылығы тауарын өндірушілердің шоттарына аудару механизмін іске асыру ұсынылады.</w:t>
      </w:r>
    </w:p>
    <w:p w14:paraId="0F62E611">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Бұл тәсілді электрондық субсидиялау жүйесіне интеграциялау мемлекеттік қолдау құралдарының тиімділігін арттыруға, бюджет қаражатының мақсатты әрі ашық игерілуін қамтамасыз етуге, адам факторын барынша азайтуға және субсидиялау жүйесіне деген сенімді нығайтуға мүмкіндік береді.</w:t>
      </w:r>
    </w:p>
    <w:p w14:paraId="3CFCF6B9">
      <w:pPr>
        <w:widowControl w:val="0"/>
        <w:numPr>
          <w:ilvl w:val="0"/>
          <w:numId w:val="0"/>
        </w:numPr>
        <w:pBdr>
          <w:bottom w:val="single" w:color="FFFFFF" w:sz="4" w:space="31"/>
        </w:pBdr>
        <w:tabs>
          <w:tab w:val="left" w:pos="993"/>
          <w:tab w:val="left" w:pos="1418"/>
        </w:tabs>
        <w:spacing w:after="0"/>
        <w:ind w:right="-892" w:rightChars="-446"/>
        <w:jc w:val="both"/>
        <w:rPr>
          <w:rFonts w:hint="default" w:ascii="Times New Roman" w:hAnsi="Times New Roman" w:cs="Times New Roman"/>
          <w:b w:val="0"/>
          <w:bCs w:val="0"/>
          <w:sz w:val="28"/>
          <w:szCs w:val="28"/>
          <w:lang w:val="ru-RU"/>
        </w:rPr>
      </w:pPr>
    </w:p>
    <w:tbl>
      <w:tblPr>
        <w:tblStyle w:val="4"/>
        <w:tblW w:w="91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73"/>
        <w:gridCol w:w="4526"/>
      </w:tblGrid>
      <w:tr w14:paraId="48A7E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64916CED">
            <w:pPr>
              <w:tabs>
                <w:tab w:val="left" w:pos="1350"/>
              </w:tabs>
              <w:rPr>
                <w:rFonts w:hint="default" w:ascii="Times New Roman" w:hAnsi="Times New Roman" w:cs="Times New Roman"/>
                <w:b/>
                <w:bCs/>
                <w:sz w:val="28"/>
                <w:szCs w:val="28"/>
                <w:lang w:val="kk-KZ" w:eastAsia="en-US"/>
              </w:rPr>
            </w:pPr>
            <w:r>
              <w:rPr>
                <w:rFonts w:hint="default" w:ascii="Times New Roman" w:hAnsi="Times New Roman" w:cs="Times New Roman"/>
                <w:b/>
                <w:bCs/>
                <w:sz w:val="28"/>
                <w:szCs w:val="28"/>
              </w:rPr>
              <w:t>Жұмыс тобының құрамы:</w:t>
            </w:r>
          </w:p>
        </w:tc>
        <w:tc>
          <w:tcPr>
            <w:tcW w:w="4526" w:type="dxa"/>
          </w:tcPr>
          <w:p w14:paraId="34939BE1">
            <w:pPr>
              <w:spacing w:line="276" w:lineRule="auto"/>
              <w:jc w:val="right"/>
              <w:rPr>
                <w:rFonts w:hint="default" w:ascii="Times New Roman" w:hAnsi="Times New Roman" w:cs="Times New Roman"/>
                <w:sz w:val="28"/>
                <w:szCs w:val="28"/>
              </w:rPr>
            </w:pPr>
          </w:p>
        </w:tc>
      </w:tr>
      <w:tr w14:paraId="67B2D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0FAF12DA">
            <w:pPr>
              <w:spacing w:line="276" w:lineRule="auto"/>
              <w:ind w:left="319" w:hanging="284"/>
              <w:rPr>
                <w:rFonts w:hint="default" w:ascii="Times New Roman" w:hAnsi="Times New Roman" w:cs="Times New Roman"/>
                <w:sz w:val="28"/>
                <w:szCs w:val="28"/>
              </w:rPr>
            </w:pPr>
            <w:r>
              <w:rPr>
                <w:rFonts w:hint="default" w:ascii="Times New Roman" w:hAnsi="Times New Roman" w:cs="Times New Roman"/>
                <w:b/>
                <w:bCs/>
                <w:sz w:val="28"/>
                <w:szCs w:val="28"/>
              </w:rPr>
              <w:t>Жұмыс тобының жетекшісі:</w:t>
            </w:r>
          </w:p>
        </w:tc>
        <w:tc>
          <w:tcPr>
            <w:tcW w:w="4526" w:type="dxa"/>
          </w:tcPr>
          <w:p w14:paraId="45844B1E">
            <w:pPr>
              <w:spacing w:line="276" w:lineRule="auto"/>
              <w:jc w:val="right"/>
              <w:rPr>
                <w:rFonts w:hint="default" w:ascii="Times New Roman" w:hAnsi="Times New Roman" w:cs="Times New Roman"/>
                <w:sz w:val="28"/>
                <w:szCs w:val="28"/>
              </w:rPr>
            </w:pPr>
          </w:p>
        </w:tc>
      </w:tr>
      <w:tr w14:paraId="6E2E1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0E2DE9D0">
            <w:pPr>
              <w:spacing w:line="276" w:lineRule="auto"/>
              <w:ind w:left="319" w:hanging="284"/>
              <w:rPr>
                <w:rFonts w:hint="default" w:ascii="Times New Roman" w:hAnsi="Times New Roman" w:cs="Times New Roman"/>
                <w:sz w:val="28"/>
                <w:szCs w:val="28"/>
                <w:lang w:val="kk-KZ"/>
              </w:rPr>
            </w:pPr>
            <w:r>
              <w:rPr>
                <w:rFonts w:hint="default" w:ascii="Times New Roman" w:hAnsi="Times New Roman" w:cs="Times New Roman"/>
                <w:sz w:val="28"/>
                <w:szCs w:val="28"/>
                <w:lang w:val="kk-KZ"/>
              </w:rPr>
              <w:t>Басқарма басшысы</w:t>
            </w:r>
          </w:p>
        </w:tc>
        <w:tc>
          <w:tcPr>
            <w:tcW w:w="4526" w:type="dxa"/>
          </w:tcPr>
          <w:p w14:paraId="08AC155E">
            <w:pPr>
              <w:spacing w:line="276" w:lineRule="auto"/>
              <w:jc w:val="right"/>
              <w:rPr>
                <w:rFonts w:hint="default" w:ascii="Times New Roman" w:hAnsi="Times New Roman" w:cs="Times New Roman"/>
                <w:sz w:val="28"/>
                <w:szCs w:val="28"/>
                <w:lang w:val="kk-KZ"/>
              </w:rPr>
            </w:pPr>
            <w:r>
              <w:rPr>
                <w:rFonts w:hint="default" w:ascii="Times New Roman" w:hAnsi="Times New Roman" w:cs="Times New Roman"/>
                <w:sz w:val="28"/>
                <w:szCs w:val="28"/>
                <w:lang w:val="kk-KZ"/>
              </w:rPr>
              <w:t>Е.М. Куанбаев</w:t>
            </w:r>
          </w:p>
        </w:tc>
      </w:tr>
      <w:tr w14:paraId="289D2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0D742E84">
            <w:pPr>
              <w:spacing w:line="276" w:lineRule="auto"/>
              <w:ind w:left="319" w:hanging="284"/>
              <w:rPr>
                <w:rFonts w:hint="default" w:ascii="Times New Roman" w:hAnsi="Times New Roman" w:cs="Times New Roman"/>
                <w:sz w:val="28"/>
                <w:szCs w:val="28"/>
                <w:lang w:val="kk-KZ"/>
              </w:rPr>
            </w:pPr>
          </w:p>
        </w:tc>
        <w:tc>
          <w:tcPr>
            <w:tcW w:w="4526" w:type="dxa"/>
          </w:tcPr>
          <w:p w14:paraId="3B244B5E">
            <w:pPr>
              <w:spacing w:line="276" w:lineRule="auto"/>
              <w:jc w:val="right"/>
              <w:rPr>
                <w:rFonts w:hint="default" w:ascii="Times New Roman" w:hAnsi="Times New Roman" w:cs="Times New Roman"/>
                <w:sz w:val="28"/>
                <w:szCs w:val="28"/>
                <w:lang w:val="kk-KZ"/>
              </w:rPr>
            </w:pPr>
          </w:p>
        </w:tc>
      </w:tr>
      <w:tr w14:paraId="1724F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5E09F824">
            <w:pPr>
              <w:tabs>
                <w:tab w:val="left" w:pos="1350"/>
              </w:tabs>
              <w:rPr>
                <w:rFonts w:hint="default" w:ascii="Times New Roman" w:hAnsi="Times New Roman" w:cs="Times New Roman"/>
                <w:sz w:val="28"/>
                <w:szCs w:val="28"/>
                <w:lang w:val="kk-KZ" w:eastAsia="en-US"/>
              </w:rPr>
            </w:pPr>
            <w:r>
              <w:rPr>
                <w:rFonts w:hint="default" w:ascii="Times New Roman" w:hAnsi="Times New Roman" w:cs="Times New Roman"/>
                <w:b/>
                <w:bCs/>
                <w:sz w:val="28"/>
                <w:szCs w:val="28"/>
              </w:rPr>
              <w:t>Жұмыс тобының мүшелері:</w:t>
            </w:r>
          </w:p>
        </w:tc>
        <w:tc>
          <w:tcPr>
            <w:tcW w:w="4526" w:type="dxa"/>
          </w:tcPr>
          <w:p w14:paraId="7ED7052B">
            <w:pPr>
              <w:spacing w:line="276" w:lineRule="auto"/>
              <w:jc w:val="right"/>
              <w:rPr>
                <w:rFonts w:hint="default" w:ascii="Times New Roman" w:hAnsi="Times New Roman" w:cs="Times New Roman"/>
                <w:sz w:val="28"/>
                <w:szCs w:val="28"/>
                <w:lang w:val="kk-KZ"/>
              </w:rPr>
            </w:pPr>
          </w:p>
        </w:tc>
      </w:tr>
      <w:tr w14:paraId="480D9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75424A58">
            <w:pPr>
              <w:spacing w:line="276" w:lineRule="auto"/>
              <w:ind w:left="319" w:hanging="284"/>
              <w:rPr>
                <w:rFonts w:hint="default" w:ascii="Times New Roman" w:hAnsi="Times New Roman" w:cs="Times New Roman"/>
                <w:sz w:val="28"/>
                <w:szCs w:val="28"/>
                <w:lang w:val="kk-KZ"/>
              </w:rPr>
            </w:pPr>
            <w:r>
              <w:rPr>
                <w:rFonts w:hint="default" w:ascii="Times New Roman" w:hAnsi="Times New Roman" w:cs="Times New Roman"/>
                <w:sz w:val="28"/>
                <w:szCs w:val="28"/>
                <w:lang w:val="kk-KZ"/>
              </w:rPr>
              <w:t>Б</w:t>
            </w:r>
            <w:r>
              <w:rPr>
                <w:rFonts w:hint="default" w:ascii="Times New Roman" w:hAnsi="Times New Roman" w:cs="Times New Roman"/>
                <w:sz w:val="28"/>
                <w:szCs w:val="28"/>
              </w:rPr>
              <w:t>асқарма басшысының орынбасары</w:t>
            </w:r>
          </w:p>
        </w:tc>
        <w:tc>
          <w:tcPr>
            <w:tcW w:w="4526" w:type="dxa"/>
          </w:tcPr>
          <w:p w14:paraId="2A9ECB1A">
            <w:pPr>
              <w:spacing w:line="276" w:lineRule="auto"/>
              <w:jc w:val="right"/>
              <w:rPr>
                <w:rFonts w:hint="default" w:ascii="Times New Roman" w:hAnsi="Times New Roman" w:cs="Times New Roman"/>
                <w:sz w:val="28"/>
                <w:szCs w:val="28"/>
                <w:lang w:val="kk-KZ"/>
              </w:rPr>
            </w:pPr>
            <w:r>
              <w:rPr>
                <w:rFonts w:hint="default" w:ascii="Times New Roman" w:hAnsi="Times New Roman" w:cs="Times New Roman"/>
                <w:sz w:val="28"/>
                <w:szCs w:val="28"/>
                <w:lang w:val="kk-KZ"/>
              </w:rPr>
              <w:t>Б</w:t>
            </w:r>
            <w:r>
              <w:rPr>
                <w:rFonts w:hint="default" w:ascii="Times New Roman" w:hAnsi="Times New Roman" w:cs="Times New Roman"/>
                <w:sz w:val="28"/>
                <w:szCs w:val="28"/>
              </w:rPr>
              <w:t>.</w:t>
            </w:r>
            <w:r>
              <w:rPr>
                <w:rFonts w:hint="default" w:ascii="Times New Roman" w:hAnsi="Times New Roman" w:cs="Times New Roman"/>
                <w:sz w:val="28"/>
                <w:szCs w:val="28"/>
                <w:lang w:val="kk-KZ"/>
              </w:rPr>
              <w:t>Н</w:t>
            </w:r>
            <w:r>
              <w:rPr>
                <w:rFonts w:hint="default" w:ascii="Times New Roman" w:hAnsi="Times New Roman" w:cs="Times New Roman"/>
                <w:sz w:val="28"/>
                <w:szCs w:val="28"/>
              </w:rPr>
              <w:t xml:space="preserve">. </w:t>
            </w:r>
            <w:bookmarkStart w:id="0" w:name="_GoBack"/>
            <w:bookmarkEnd w:id="0"/>
            <w:r>
              <w:rPr>
                <w:rFonts w:hint="default" w:ascii="Times New Roman" w:hAnsi="Times New Roman" w:cs="Times New Roman"/>
                <w:sz w:val="28"/>
                <w:szCs w:val="28"/>
                <w:lang w:val="kk-KZ"/>
              </w:rPr>
              <w:t>Артыкпаев</w:t>
            </w:r>
          </w:p>
        </w:tc>
      </w:tr>
      <w:tr w14:paraId="09EBA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57CB0086">
            <w:pPr>
              <w:spacing w:line="276" w:lineRule="auto"/>
              <w:ind w:left="319" w:hanging="284"/>
              <w:rPr>
                <w:rFonts w:hint="default" w:ascii="Times New Roman" w:hAnsi="Times New Roman" w:cs="Times New Roman"/>
                <w:sz w:val="28"/>
                <w:szCs w:val="28"/>
                <w:lang w:val="kk-KZ"/>
              </w:rPr>
            </w:pPr>
          </w:p>
        </w:tc>
        <w:tc>
          <w:tcPr>
            <w:tcW w:w="4526" w:type="dxa"/>
          </w:tcPr>
          <w:p w14:paraId="039D272A">
            <w:pPr>
              <w:spacing w:line="276" w:lineRule="auto"/>
              <w:jc w:val="right"/>
              <w:rPr>
                <w:rFonts w:hint="default" w:ascii="Times New Roman" w:hAnsi="Times New Roman" w:cs="Times New Roman"/>
                <w:sz w:val="28"/>
                <w:szCs w:val="28"/>
              </w:rPr>
            </w:pPr>
          </w:p>
        </w:tc>
      </w:tr>
      <w:tr w14:paraId="0873A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0A1F4D32">
            <w:pPr>
              <w:spacing w:line="276" w:lineRule="auto"/>
              <w:ind w:left="319" w:hanging="284"/>
              <w:rPr>
                <w:rFonts w:hint="default" w:ascii="Times New Roman" w:hAnsi="Times New Roman" w:cs="Times New Roman"/>
                <w:sz w:val="28"/>
                <w:szCs w:val="28"/>
              </w:rPr>
            </w:pPr>
            <w:r>
              <w:rPr>
                <w:rFonts w:hint="default" w:ascii="Times New Roman" w:hAnsi="Times New Roman" w:cs="Times New Roman"/>
                <w:sz w:val="28"/>
                <w:szCs w:val="28"/>
                <w:lang w:val="kk-KZ"/>
              </w:rPr>
              <w:t>Басқарма басшысының орынбасары</w:t>
            </w:r>
          </w:p>
        </w:tc>
        <w:tc>
          <w:tcPr>
            <w:tcW w:w="4526" w:type="dxa"/>
          </w:tcPr>
          <w:p w14:paraId="1643CAF3">
            <w:pPr>
              <w:spacing w:line="276" w:lineRule="auto"/>
              <w:jc w:val="right"/>
              <w:rPr>
                <w:rFonts w:hint="default" w:ascii="Times New Roman" w:hAnsi="Times New Roman" w:cs="Times New Roman"/>
                <w:sz w:val="28"/>
                <w:szCs w:val="28"/>
              </w:rPr>
            </w:pPr>
            <w:r>
              <w:rPr>
                <w:rFonts w:hint="default" w:ascii="Times New Roman" w:hAnsi="Times New Roman" w:cs="Times New Roman"/>
                <w:sz w:val="28"/>
                <w:szCs w:val="28"/>
              </w:rPr>
              <w:t>С.Т. Есенаманов</w:t>
            </w:r>
          </w:p>
        </w:tc>
      </w:tr>
      <w:tr w14:paraId="3E4C6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52DDBFFB">
            <w:pPr>
              <w:spacing w:line="276" w:lineRule="auto"/>
              <w:ind w:left="319" w:hanging="284"/>
              <w:rPr>
                <w:rFonts w:hint="default" w:ascii="Times New Roman" w:hAnsi="Times New Roman" w:cs="Times New Roman"/>
                <w:sz w:val="28"/>
                <w:szCs w:val="28"/>
                <w:lang w:val="kk-KZ"/>
              </w:rPr>
            </w:pPr>
          </w:p>
        </w:tc>
        <w:tc>
          <w:tcPr>
            <w:tcW w:w="4526" w:type="dxa"/>
          </w:tcPr>
          <w:p w14:paraId="4FF590D1">
            <w:pPr>
              <w:spacing w:line="276" w:lineRule="auto"/>
              <w:jc w:val="right"/>
              <w:rPr>
                <w:rFonts w:hint="default" w:ascii="Times New Roman" w:hAnsi="Times New Roman" w:cs="Times New Roman"/>
                <w:sz w:val="28"/>
                <w:szCs w:val="28"/>
              </w:rPr>
            </w:pPr>
          </w:p>
        </w:tc>
      </w:tr>
      <w:tr w14:paraId="14991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32D5976D">
            <w:pPr>
              <w:spacing w:line="276" w:lineRule="auto"/>
              <w:ind w:left="35"/>
              <w:rPr>
                <w:rFonts w:hint="default" w:ascii="Times New Roman" w:hAnsi="Times New Roman" w:cs="Times New Roman"/>
                <w:sz w:val="28"/>
                <w:szCs w:val="28"/>
              </w:rPr>
            </w:pPr>
            <w:r>
              <w:rPr>
                <w:rFonts w:hint="default" w:ascii="Times New Roman" w:hAnsi="Times New Roman" w:cs="Times New Roman"/>
                <w:sz w:val="28"/>
                <w:szCs w:val="28"/>
                <w:lang w:val="kk-KZ"/>
              </w:rPr>
              <w:t>Мал шаруашылығын дамыту, субсидиялау және қайта өңдеу бөлімінің басшысы</w:t>
            </w:r>
          </w:p>
        </w:tc>
        <w:tc>
          <w:tcPr>
            <w:tcW w:w="4526" w:type="dxa"/>
          </w:tcPr>
          <w:p w14:paraId="747F1088">
            <w:pPr>
              <w:spacing w:line="276" w:lineRule="auto"/>
              <w:jc w:val="right"/>
              <w:rPr>
                <w:rFonts w:hint="default" w:ascii="Times New Roman" w:hAnsi="Times New Roman" w:cs="Times New Roman"/>
                <w:sz w:val="28"/>
                <w:szCs w:val="28"/>
              </w:rPr>
            </w:pPr>
            <w:r>
              <w:rPr>
                <w:rFonts w:hint="default" w:ascii="Times New Roman" w:hAnsi="Times New Roman" w:cs="Times New Roman"/>
                <w:sz w:val="28"/>
                <w:szCs w:val="28"/>
                <w:lang w:val="kk-KZ"/>
              </w:rPr>
              <w:t xml:space="preserve">Қ.Д. </w:t>
            </w:r>
            <w:r>
              <w:rPr>
                <w:rFonts w:hint="default" w:ascii="Times New Roman" w:hAnsi="Times New Roman" w:cs="Times New Roman"/>
                <w:sz w:val="28"/>
                <w:szCs w:val="28"/>
              </w:rPr>
              <w:t>Дулат</w:t>
            </w:r>
          </w:p>
        </w:tc>
      </w:tr>
      <w:tr w14:paraId="25C1D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34FE81BC">
            <w:pPr>
              <w:spacing w:line="276" w:lineRule="auto"/>
              <w:ind w:left="35"/>
              <w:rPr>
                <w:rFonts w:hint="default" w:ascii="Times New Roman" w:hAnsi="Times New Roman" w:cs="Times New Roman"/>
                <w:sz w:val="28"/>
                <w:szCs w:val="28"/>
                <w:lang w:val="kk-KZ"/>
              </w:rPr>
            </w:pPr>
          </w:p>
        </w:tc>
        <w:tc>
          <w:tcPr>
            <w:tcW w:w="4526" w:type="dxa"/>
          </w:tcPr>
          <w:p w14:paraId="53F19038">
            <w:pPr>
              <w:spacing w:line="276" w:lineRule="auto"/>
              <w:jc w:val="right"/>
              <w:rPr>
                <w:rFonts w:hint="default" w:ascii="Times New Roman" w:hAnsi="Times New Roman" w:cs="Times New Roman"/>
                <w:sz w:val="28"/>
                <w:szCs w:val="28"/>
                <w:lang w:val="kk-KZ"/>
              </w:rPr>
            </w:pPr>
          </w:p>
        </w:tc>
      </w:tr>
      <w:tr w14:paraId="5F894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08DD710D">
            <w:pPr>
              <w:spacing w:line="276" w:lineRule="auto"/>
              <w:ind w:left="35"/>
              <w:rPr>
                <w:rFonts w:hint="default" w:ascii="Times New Roman" w:hAnsi="Times New Roman" w:cs="Times New Roman"/>
                <w:sz w:val="28"/>
                <w:szCs w:val="28"/>
              </w:rPr>
            </w:pPr>
            <w:r>
              <w:rPr>
                <w:rFonts w:hint="default" w:ascii="Times New Roman" w:hAnsi="Times New Roman" w:cs="Times New Roman"/>
                <w:sz w:val="28"/>
                <w:szCs w:val="28"/>
                <w:lang w:val="kk-KZ"/>
              </w:rPr>
              <w:t>Агроөнеркәсіптік кешенді экономикалық, стратегиялық талдау бөлімінің басшысы</w:t>
            </w:r>
          </w:p>
        </w:tc>
        <w:tc>
          <w:tcPr>
            <w:tcW w:w="4526" w:type="dxa"/>
          </w:tcPr>
          <w:p w14:paraId="4E45689F">
            <w:pPr>
              <w:spacing w:line="276" w:lineRule="auto"/>
              <w:jc w:val="right"/>
              <w:rPr>
                <w:rFonts w:hint="default" w:ascii="Times New Roman" w:hAnsi="Times New Roman" w:cs="Times New Roman"/>
                <w:sz w:val="28"/>
                <w:szCs w:val="28"/>
              </w:rPr>
            </w:pPr>
            <w:r>
              <w:rPr>
                <w:rFonts w:hint="default" w:ascii="Times New Roman" w:hAnsi="Times New Roman" w:cs="Times New Roman"/>
                <w:sz w:val="28"/>
                <w:szCs w:val="28"/>
                <w:lang w:val="kk-KZ"/>
              </w:rPr>
              <w:t xml:space="preserve">Е.К. </w:t>
            </w:r>
            <w:r>
              <w:rPr>
                <w:rFonts w:hint="default" w:ascii="Times New Roman" w:hAnsi="Times New Roman" w:cs="Times New Roman"/>
                <w:sz w:val="28"/>
                <w:szCs w:val="28"/>
              </w:rPr>
              <w:t xml:space="preserve">Ргаев </w:t>
            </w:r>
          </w:p>
        </w:tc>
      </w:tr>
      <w:tr w14:paraId="5FFEF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18FE6B47">
            <w:pPr>
              <w:spacing w:line="276" w:lineRule="auto"/>
              <w:ind w:left="35"/>
              <w:rPr>
                <w:rFonts w:hint="default" w:ascii="Times New Roman" w:hAnsi="Times New Roman" w:cs="Times New Roman"/>
                <w:sz w:val="28"/>
                <w:szCs w:val="28"/>
                <w:lang w:val="kk-KZ"/>
              </w:rPr>
            </w:pPr>
          </w:p>
        </w:tc>
        <w:tc>
          <w:tcPr>
            <w:tcW w:w="4526" w:type="dxa"/>
          </w:tcPr>
          <w:p w14:paraId="36F95560">
            <w:pPr>
              <w:spacing w:line="276" w:lineRule="auto"/>
              <w:jc w:val="right"/>
              <w:rPr>
                <w:rFonts w:hint="default" w:ascii="Times New Roman" w:hAnsi="Times New Roman" w:cs="Times New Roman"/>
                <w:sz w:val="28"/>
                <w:szCs w:val="28"/>
                <w:lang w:val="kk-KZ"/>
              </w:rPr>
            </w:pPr>
          </w:p>
        </w:tc>
      </w:tr>
      <w:tr w14:paraId="5C667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2BB6007D">
            <w:pPr>
              <w:spacing w:line="276" w:lineRule="auto"/>
              <w:ind w:firstLine="22"/>
              <w:rPr>
                <w:rFonts w:hint="default" w:ascii="Times New Roman" w:hAnsi="Times New Roman" w:cs="Times New Roman"/>
                <w:sz w:val="28"/>
                <w:szCs w:val="28"/>
              </w:rPr>
            </w:pPr>
            <w:r>
              <w:rPr>
                <w:rFonts w:hint="default" w:ascii="Times New Roman" w:hAnsi="Times New Roman" w:cs="Times New Roman"/>
                <w:sz w:val="28"/>
                <w:szCs w:val="28"/>
                <w:lang w:val="kk-KZ"/>
              </w:rPr>
              <w:t>Өсімдік шаруашылығы өнімдерін өндіру, қайта өңдеу, механикаландыру, техникалық инспекция және азық-түлік қауіпсіздігін бақылау бөлімінің басшысы</w:t>
            </w:r>
          </w:p>
        </w:tc>
        <w:tc>
          <w:tcPr>
            <w:tcW w:w="4526" w:type="dxa"/>
          </w:tcPr>
          <w:p w14:paraId="14CAD3D5">
            <w:pPr>
              <w:spacing w:line="276" w:lineRule="auto"/>
              <w:jc w:val="right"/>
              <w:rPr>
                <w:rFonts w:hint="default" w:ascii="Times New Roman" w:hAnsi="Times New Roman" w:cs="Times New Roman"/>
                <w:sz w:val="28"/>
                <w:szCs w:val="28"/>
              </w:rPr>
            </w:pPr>
            <w:r>
              <w:rPr>
                <w:rFonts w:hint="default" w:ascii="Times New Roman" w:hAnsi="Times New Roman" w:cs="Times New Roman"/>
                <w:sz w:val="28"/>
                <w:szCs w:val="28"/>
                <w:lang w:val="kk-KZ"/>
              </w:rPr>
              <w:t xml:space="preserve">М.С. </w:t>
            </w:r>
            <w:r>
              <w:rPr>
                <w:rFonts w:hint="default" w:ascii="Times New Roman" w:hAnsi="Times New Roman" w:cs="Times New Roman"/>
                <w:sz w:val="28"/>
                <w:szCs w:val="28"/>
              </w:rPr>
              <w:t xml:space="preserve">Сакенов </w:t>
            </w:r>
          </w:p>
        </w:tc>
      </w:tr>
      <w:tr w14:paraId="1F7F3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04C1FF6E">
            <w:pPr>
              <w:spacing w:line="276" w:lineRule="auto"/>
              <w:ind w:firstLine="22"/>
              <w:rPr>
                <w:rFonts w:hint="default" w:ascii="Times New Roman" w:hAnsi="Times New Roman" w:cs="Times New Roman"/>
                <w:sz w:val="28"/>
                <w:szCs w:val="28"/>
                <w:lang w:val="kk-KZ"/>
              </w:rPr>
            </w:pPr>
          </w:p>
        </w:tc>
        <w:tc>
          <w:tcPr>
            <w:tcW w:w="4526" w:type="dxa"/>
          </w:tcPr>
          <w:p w14:paraId="7FD578E3">
            <w:pPr>
              <w:spacing w:line="276" w:lineRule="auto"/>
              <w:jc w:val="right"/>
              <w:rPr>
                <w:rFonts w:hint="default" w:ascii="Times New Roman" w:hAnsi="Times New Roman" w:cs="Times New Roman"/>
                <w:sz w:val="28"/>
                <w:szCs w:val="28"/>
                <w:lang w:val="kk-KZ"/>
              </w:rPr>
            </w:pPr>
          </w:p>
        </w:tc>
      </w:tr>
      <w:tr w14:paraId="28085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19A2BB20">
            <w:pPr>
              <w:spacing w:line="276" w:lineRule="auto"/>
              <w:ind w:left="22" w:firstLine="13"/>
              <w:rPr>
                <w:rFonts w:hint="default" w:ascii="Times New Roman" w:hAnsi="Times New Roman" w:cs="Times New Roman"/>
                <w:sz w:val="28"/>
                <w:szCs w:val="28"/>
                <w:lang w:val="kk-KZ"/>
              </w:rPr>
            </w:pPr>
            <w:r>
              <w:rPr>
                <w:rFonts w:hint="default" w:ascii="Times New Roman" w:hAnsi="Times New Roman" w:cs="Times New Roman"/>
                <w:sz w:val="28"/>
                <w:szCs w:val="28"/>
                <w:lang w:val="kk-KZ"/>
              </w:rPr>
              <w:t>Бюджеттік несиелеу, инвестициялық салымдарды және пайыздық мөлшерлемені субсидиялау бөлімі басшысының м.а.</w:t>
            </w:r>
          </w:p>
        </w:tc>
        <w:tc>
          <w:tcPr>
            <w:tcW w:w="4526" w:type="dxa"/>
          </w:tcPr>
          <w:p w14:paraId="50E61AF6">
            <w:pPr>
              <w:spacing w:line="276" w:lineRule="auto"/>
              <w:jc w:val="right"/>
              <w:rPr>
                <w:rFonts w:hint="default" w:ascii="Times New Roman" w:hAnsi="Times New Roman" w:cs="Times New Roman"/>
                <w:sz w:val="28"/>
                <w:szCs w:val="28"/>
                <w:lang w:val="kk-KZ"/>
              </w:rPr>
            </w:pPr>
            <w:r>
              <w:rPr>
                <w:rFonts w:hint="default" w:ascii="Times New Roman" w:hAnsi="Times New Roman" w:cs="Times New Roman"/>
                <w:sz w:val="28"/>
                <w:szCs w:val="28"/>
                <w:lang w:val="kk-KZ"/>
              </w:rPr>
              <w:t xml:space="preserve">Е.Қ. </w:t>
            </w:r>
            <w:r>
              <w:rPr>
                <w:rFonts w:hint="default" w:ascii="Times New Roman" w:hAnsi="Times New Roman" w:cs="Times New Roman"/>
                <w:sz w:val="28"/>
                <w:szCs w:val="28"/>
              </w:rPr>
              <w:t>Сайлауғалиев</w:t>
            </w:r>
          </w:p>
        </w:tc>
      </w:tr>
      <w:tr w14:paraId="29752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5959B70A">
            <w:pPr>
              <w:spacing w:line="276" w:lineRule="auto"/>
              <w:ind w:left="22" w:firstLine="13"/>
              <w:rPr>
                <w:rFonts w:hint="default" w:ascii="Times New Roman" w:hAnsi="Times New Roman" w:cs="Times New Roman"/>
                <w:sz w:val="28"/>
                <w:szCs w:val="28"/>
                <w:lang w:val="kk-KZ"/>
              </w:rPr>
            </w:pPr>
          </w:p>
        </w:tc>
        <w:tc>
          <w:tcPr>
            <w:tcW w:w="4526" w:type="dxa"/>
          </w:tcPr>
          <w:p w14:paraId="7A4AF87E">
            <w:pPr>
              <w:spacing w:line="276" w:lineRule="auto"/>
              <w:jc w:val="right"/>
              <w:rPr>
                <w:rFonts w:hint="default" w:ascii="Times New Roman" w:hAnsi="Times New Roman" w:cs="Times New Roman"/>
                <w:sz w:val="28"/>
                <w:szCs w:val="28"/>
                <w:lang w:val="kk-KZ"/>
              </w:rPr>
            </w:pPr>
          </w:p>
        </w:tc>
      </w:tr>
      <w:tr w14:paraId="55622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0EF4B0B1">
            <w:pPr>
              <w:spacing w:line="276" w:lineRule="auto"/>
              <w:ind w:left="22" w:firstLine="13"/>
              <w:rPr>
                <w:rFonts w:hint="default" w:ascii="Times New Roman" w:hAnsi="Times New Roman" w:cs="Times New Roman"/>
                <w:sz w:val="28"/>
                <w:szCs w:val="28"/>
                <w:lang w:val="kk-KZ"/>
              </w:rPr>
            </w:pPr>
          </w:p>
        </w:tc>
        <w:tc>
          <w:tcPr>
            <w:tcW w:w="4526" w:type="dxa"/>
          </w:tcPr>
          <w:p w14:paraId="1D92EF3D">
            <w:pPr>
              <w:spacing w:line="276" w:lineRule="auto"/>
              <w:jc w:val="right"/>
              <w:rPr>
                <w:rFonts w:hint="default" w:ascii="Times New Roman" w:hAnsi="Times New Roman" w:cs="Times New Roman"/>
                <w:sz w:val="28"/>
                <w:szCs w:val="28"/>
                <w:lang w:val="kk-KZ"/>
              </w:rPr>
            </w:pPr>
          </w:p>
        </w:tc>
      </w:tr>
      <w:tr w14:paraId="6D2BB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tcPr>
          <w:p w14:paraId="284F20ED">
            <w:pPr>
              <w:spacing w:line="276" w:lineRule="auto"/>
              <w:ind w:left="22" w:firstLine="13"/>
              <w:rPr>
                <w:rFonts w:hint="default" w:ascii="Times New Roman" w:hAnsi="Times New Roman" w:cs="Times New Roman"/>
                <w:sz w:val="28"/>
                <w:szCs w:val="28"/>
                <w:lang w:val="kk-KZ"/>
              </w:rPr>
            </w:pPr>
          </w:p>
        </w:tc>
        <w:tc>
          <w:tcPr>
            <w:tcW w:w="4526" w:type="dxa"/>
          </w:tcPr>
          <w:p w14:paraId="24A967F6">
            <w:pPr>
              <w:spacing w:line="276" w:lineRule="auto"/>
              <w:jc w:val="right"/>
              <w:rPr>
                <w:rFonts w:hint="default" w:ascii="Times New Roman" w:hAnsi="Times New Roman" w:cs="Times New Roman"/>
                <w:sz w:val="28"/>
                <w:szCs w:val="28"/>
                <w:lang w:val="kk-KZ"/>
              </w:rPr>
            </w:pPr>
          </w:p>
        </w:tc>
      </w:tr>
      <w:tr w14:paraId="3BB7F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3" w:type="dxa"/>
            <w:shd w:val="clear" w:color="auto" w:fill="auto"/>
          </w:tcPr>
          <w:p w14:paraId="21E60063">
            <w:pPr>
              <w:spacing w:line="276" w:lineRule="auto"/>
              <w:ind w:left="35"/>
              <w:rPr>
                <w:rFonts w:hint="default" w:ascii="Times New Roman" w:hAnsi="Times New Roman" w:cs="Times New Roman"/>
                <w:sz w:val="28"/>
                <w:szCs w:val="28"/>
                <w:lang w:val="kk-KZ"/>
              </w:rPr>
            </w:pPr>
            <w:r>
              <w:rPr>
                <w:rFonts w:hint="default" w:ascii="Times New Roman" w:hAnsi="Times New Roman" w:cs="Times New Roman"/>
                <w:sz w:val="28"/>
                <w:szCs w:val="28"/>
                <w:lang w:val="kk-KZ"/>
              </w:rPr>
              <w:t>Ә</w:t>
            </w:r>
            <w:r>
              <w:rPr>
                <w:rFonts w:hint="default" w:ascii="Times New Roman" w:hAnsi="Times New Roman" w:cs="Times New Roman"/>
                <w:sz w:val="28"/>
                <w:szCs w:val="28"/>
              </w:rPr>
              <w:t>кімшілік-құқықтық қамтамасыз ету, бухгалтерлік есеп және бюджеттік жоспарлау бөлім басшысының м.а.</w:t>
            </w:r>
          </w:p>
        </w:tc>
        <w:tc>
          <w:tcPr>
            <w:tcW w:w="4526" w:type="dxa"/>
            <w:shd w:val="clear" w:color="auto" w:fill="auto"/>
          </w:tcPr>
          <w:p w14:paraId="46738C76">
            <w:pPr>
              <w:spacing w:line="276" w:lineRule="auto"/>
              <w:jc w:val="right"/>
              <w:rPr>
                <w:rFonts w:hint="default" w:ascii="Times New Roman" w:hAnsi="Times New Roman" w:cs="Times New Roman"/>
                <w:sz w:val="28"/>
                <w:szCs w:val="28"/>
                <w:lang w:val="kk-KZ"/>
              </w:rPr>
            </w:pPr>
            <w:r>
              <w:rPr>
                <w:rFonts w:hint="default" w:ascii="Times New Roman" w:hAnsi="Times New Roman" w:cs="Times New Roman"/>
                <w:sz w:val="28"/>
                <w:szCs w:val="28"/>
                <w:lang w:val="kk-KZ"/>
              </w:rPr>
              <w:t xml:space="preserve">С.Қ. </w:t>
            </w:r>
            <w:r>
              <w:rPr>
                <w:rFonts w:hint="default" w:ascii="Times New Roman" w:hAnsi="Times New Roman" w:cs="Times New Roman"/>
                <w:sz w:val="28"/>
                <w:szCs w:val="28"/>
              </w:rPr>
              <w:t xml:space="preserve">Тансықожинов </w:t>
            </w:r>
            <w:r>
              <w:rPr>
                <w:rFonts w:hint="default" w:ascii="Times New Roman" w:hAnsi="Times New Roman" w:cs="Times New Roman"/>
                <w:sz w:val="28"/>
                <w:szCs w:val="28"/>
                <w:lang w:val="kk-KZ"/>
              </w:rPr>
              <w:t xml:space="preserve"> </w:t>
            </w:r>
          </w:p>
        </w:tc>
      </w:tr>
    </w:tbl>
    <w:p w14:paraId="4A8E5EE1">
      <w:pPr>
        <w:widowControl w:val="0"/>
        <w:numPr>
          <w:ilvl w:val="0"/>
          <w:numId w:val="0"/>
        </w:numPr>
        <w:pBdr>
          <w:bottom w:val="single" w:color="FFFFFF" w:sz="4" w:space="31"/>
        </w:pBdr>
        <w:tabs>
          <w:tab w:val="left" w:pos="993"/>
          <w:tab w:val="left" w:pos="1418"/>
        </w:tabs>
        <w:spacing w:after="0"/>
        <w:ind w:left="0" w:leftChars="0" w:right="-892" w:rightChars="-446" w:firstLine="798" w:firstLineChars="285"/>
        <w:jc w:val="both"/>
        <w:rPr>
          <w:rFonts w:hint="default" w:ascii="Times New Roman" w:hAnsi="Times New Roman" w:cs="Times New Roman"/>
          <w:b w:val="0"/>
          <w:bCs w:val="0"/>
          <w:sz w:val="28"/>
          <w:szCs w:val="28"/>
          <w:lang w:val="ru-RU"/>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2F1B89"/>
    <w:multiLevelType w:val="singleLevel"/>
    <w:tmpl w:val="E42F1B89"/>
    <w:lvl w:ilvl="0" w:tentative="0">
      <w:start w:val="1"/>
      <w:numFmt w:val="decimal"/>
      <w:suff w:val="space"/>
      <w:lvlText w:val="%1)"/>
      <w:lvlJc w:val="left"/>
    </w:lvl>
  </w:abstractNum>
  <w:abstractNum w:abstractNumId="1">
    <w:nsid w:val="F89DB543"/>
    <w:multiLevelType w:val="singleLevel"/>
    <w:tmpl w:val="F89DB543"/>
    <w:lvl w:ilvl="0" w:tentative="0">
      <w:start w:val="1"/>
      <w:numFmt w:val="decimal"/>
      <w:suff w:val="space"/>
      <w:lvlText w:val="%1)"/>
      <w:lvlJc w:val="left"/>
    </w:lvl>
  </w:abstractNum>
  <w:abstractNum w:abstractNumId="2">
    <w:nsid w:val="67F6A0B7"/>
    <w:multiLevelType w:val="singleLevel"/>
    <w:tmpl w:val="67F6A0B7"/>
    <w:lvl w:ilvl="0" w:tentative="0">
      <w:start w:val="1"/>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CF4087"/>
    <w:rsid w:val="1ACF4087"/>
    <w:rsid w:val="644751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rPr>
      <w:rFonts w:ascii="Times New Roman" w:hAnsi="Times New Roman" w:eastAsia="Times New Roman"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3</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2026-08-11T10:33:00Z</dcterms:created>
  <dc:creator>Санжар Тансықожинов</dc:creator>
  <cp:lastModifiedBy>Санжар Тансықожинов</cp:lastModifiedBy>
  <cp:lastPrinted>2026-08-11T11:43:04Z</cp:lastPrinted>
  <dcterms:modified xsi:type="dcterms:W3CDTF">2026-08-11T12:10:15Z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86A7AB9577C342CF88F007377D0980E4_11</vt:lpwstr>
  </property>
  <property fmtid="{D5CDD505-2E9C-101B-9397-08002B2CF9AE}" pid="4" name="KSOTemplateDocerSaveRecord">
    <vt:lpwstr>eyJoZGlkIjoiYzc2Yjg1MGZhNDk1YWJjOGYyYzM1ZTU5YjUwYmI1NGUiLCJ1c2VySWQiOiI1MzYwMTIyMjQ4OTk3In0=</vt:lpwstr>
  </property>
</Properties>
</file>