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99E06" w14:textId="77777777" w:rsidR="00EA2A70" w:rsidRPr="00EA2A70" w:rsidRDefault="00EA2A70" w:rsidP="00EA2A70">
      <w:pPr>
        <w:spacing w:after="0" w:line="240" w:lineRule="auto"/>
        <w:jc w:val="center"/>
        <w:rPr>
          <w:rFonts w:ascii="Times New Roman" w:hAnsi="Times New Roman"/>
          <w:b/>
          <w:color w:val="000000" w:themeColor="text1"/>
          <w:sz w:val="28"/>
          <w:szCs w:val="28"/>
        </w:rPr>
      </w:pPr>
      <w:bookmarkStart w:id="0" w:name="_GoBack"/>
      <w:bookmarkEnd w:id="0"/>
      <w:r w:rsidRPr="00EA2A70">
        <w:rPr>
          <w:rFonts w:ascii="Times New Roman" w:hAnsi="Times New Roman"/>
          <w:b/>
          <w:color w:val="000000" w:themeColor="text1"/>
          <w:sz w:val="28"/>
          <w:szCs w:val="28"/>
        </w:rPr>
        <w:t xml:space="preserve">2025 жылдың қорытындысы бойынша </w:t>
      </w:r>
    </w:p>
    <w:p w14:paraId="30A00846" w14:textId="77777777" w:rsidR="00EA2A70" w:rsidRPr="00EA2A70" w:rsidRDefault="00EA2A70" w:rsidP="00EA2A70">
      <w:pPr>
        <w:spacing w:after="0" w:line="240" w:lineRule="auto"/>
        <w:jc w:val="center"/>
        <w:rPr>
          <w:rFonts w:ascii="Times New Roman" w:hAnsi="Times New Roman"/>
          <w:b/>
          <w:color w:val="000000" w:themeColor="text1"/>
          <w:sz w:val="28"/>
          <w:szCs w:val="28"/>
        </w:rPr>
      </w:pPr>
      <w:r w:rsidRPr="00EA2A70">
        <w:rPr>
          <w:rFonts w:ascii="Times New Roman" w:hAnsi="Times New Roman"/>
          <w:b/>
          <w:color w:val="000000" w:themeColor="text1"/>
          <w:sz w:val="28"/>
          <w:szCs w:val="28"/>
        </w:rPr>
        <w:t>Қазақстанның</w:t>
      </w:r>
      <w:r w:rsidRPr="00EA2A70">
        <w:rPr>
          <w:rFonts w:ascii="Times New Roman" w:hAnsi="Times New Roman"/>
          <w:b/>
          <w:color w:val="000000" w:themeColor="text1"/>
          <w:sz w:val="28"/>
          <w:szCs w:val="28"/>
          <w:lang w:val="kk-KZ"/>
        </w:rPr>
        <w:t xml:space="preserve"> </w:t>
      </w:r>
      <w:r w:rsidRPr="00EA2A70">
        <w:rPr>
          <w:rFonts w:ascii="Times New Roman" w:hAnsi="Times New Roman"/>
          <w:b/>
          <w:color w:val="000000" w:themeColor="text1"/>
          <w:sz w:val="28"/>
          <w:szCs w:val="28"/>
        </w:rPr>
        <w:t xml:space="preserve">демографиялық </w:t>
      </w:r>
      <w:r w:rsidRPr="00EA2A70">
        <w:rPr>
          <w:rFonts w:ascii="Times New Roman" w:hAnsi="Times New Roman"/>
          <w:b/>
          <w:color w:val="000000" w:themeColor="text1"/>
          <w:sz w:val="28"/>
          <w:szCs w:val="28"/>
          <w:lang w:val="kk-KZ"/>
        </w:rPr>
        <w:t xml:space="preserve">сипаттамасы </w:t>
      </w:r>
      <w:r w:rsidRPr="00EA2A70">
        <w:rPr>
          <w:rFonts w:ascii="Times New Roman" w:hAnsi="Times New Roman"/>
          <w:b/>
          <w:color w:val="000000" w:themeColor="text1"/>
          <w:sz w:val="28"/>
          <w:szCs w:val="28"/>
        </w:rPr>
        <w:t>және болашаққа болжамдар</w:t>
      </w:r>
    </w:p>
    <w:p w14:paraId="066A32D6" w14:textId="77777777" w:rsidR="00EA2A70" w:rsidRPr="00EA2A70" w:rsidRDefault="00EA2A70" w:rsidP="00EA2A70">
      <w:pPr>
        <w:spacing w:after="0" w:line="240" w:lineRule="auto"/>
        <w:jc w:val="both"/>
        <w:rPr>
          <w:rFonts w:ascii="Times New Roman" w:hAnsi="Times New Roman"/>
          <w:color w:val="000000" w:themeColor="text1"/>
          <w:sz w:val="28"/>
          <w:szCs w:val="28"/>
        </w:rPr>
      </w:pPr>
    </w:p>
    <w:p w14:paraId="332CE13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2026 жылғы 1 қаңтардағы жағдай бойынша Қазақстан халқының саны шамамен </w:t>
      </w:r>
      <w:r w:rsidRPr="00EA2A70">
        <w:rPr>
          <w:rFonts w:ascii="Times New Roman" w:hAnsi="Times New Roman"/>
          <w:b/>
          <w:color w:val="000000" w:themeColor="text1"/>
          <w:sz w:val="24"/>
          <w:szCs w:val="24"/>
        </w:rPr>
        <w:t>20,5 млн адам</w:t>
      </w:r>
      <w:r w:rsidRPr="00EA2A70">
        <w:rPr>
          <w:rFonts w:ascii="Times New Roman" w:hAnsi="Times New Roman"/>
          <w:color w:val="000000" w:themeColor="text1"/>
          <w:sz w:val="24"/>
          <w:szCs w:val="24"/>
          <w:lang w:val="kk-KZ"/>
        </w:rPr>
        <w:t>ға жетті</w:t>
      </w:r>
      <w:r w:rsidRPr="00EA2A70">
        <w:rPr>
          <w:rFonts w:ascii="Times New Roman" w:hAnsi="Times New Roman"/>
          <w:color w:val="000000" w:themeColor="text1"/>
          <w:sz w:val="24"/>
          <w:szCs w:val="24"/>
        </w:rPr>
        <w:t>. Оның ішінде 25 жасқа дейінгі азаматтар – 8,79 млн адам (42,9%), 25 жастан 65 жасқа дейінгілер – 9,73 млн адам (47,5%), 65 жастан асқандар – 1,98 млн адам (9,6%)</w:t>
      </w:r>
      <w:r w:rsidRPr="00EA2A70">
        <w:rPr>
          <w:rFonts w:ascii="Times New Roman" w:hAnsi="Times New Roman"/>
          <w:color w:val="000000" w:themeColor="text1"/>
          <w:sz w:val="24"/>
          <w:szCs w:val="24"/>
          <w:vertAlign w:val="superscript"/>
        </w:rPr>
        <w:footnoteReference w:id="1"/>
      </w:r>
      <w:r w:rsidRPr="00EA2A70">
        <w:rPr>
          <w:rFonts w:ascii="Times New Roman" w:hAnsi="Times New Roman"/>
          <w:color w:val="000000" w:themeColor="text1"/>
          <w:sz w:val="24"/>
          <w:szCs w:val="24"/>
        </w:rPr>
        <w:t xml:space="preserve">. Демографиялық болжамдарға сәйкес, 2050 жылға қарай халық саны </w:t>
      </w:r>
      <w:r w:rsidRPr="00EA2A70">
        <w:rPr>
          <w:rFonts w:ascii="Times New Roman" w:hAnsi="Times New Roman"/>
          <w:b/>
          <w:color w:val="000000" w:themeColor="text1"/>
          <w:sz w:val="24"/>
          <w:szCs w:val="24"/>
        </w:rPr>
        <w:t>26,5 млн адамға</w:t>
      </w:r>
      <w:r w:rsidRPr="00EA2A70">
        <w:rPr>
          <w:rFonts w:ascii="Times New Roman" w:hAnsi="Times New Roman"/>
          <w:color w:val="000000" w:themeColor="text1"/>
          <w:sz w:val="24"/>
          <w:szCs w:val="24"/>
        </w:rPr>
        <w:t xml:space="preserve"> дейін өседі.</w:t>
      </w:r>
    </w:p>
    <w:p w14:paraId="5BC8813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Қазақстан халқы санының өсуімен қатар оның </w:t>
      </w:r>
      <w:r w:rsidRPr="00EA2A70">
        <w:rPr>
          <w:rFonts w:ascii="Times New Roman" w:hAnsi="Times New Roman"/>
          <w:b/>
          <w:color w:val="000000" w:themeColor="text1"/>
          <w:sz w:val="24"/>
          <w:szCs w:val="24"/>
        </w:rPr>
        <w:t>жас құрылымы</w:t>
      </w:r>
      <w:r w:rsidRPr="00EA2A70">
        <w:rPr>
          <w:rFonts w:ascii="Times New Roman" w:hAnsi="Times New Roman"/>
          <w:color w:val="000000" w:themeColor="text1"/>
          <w:sz w:val="24"/>
          <w:szCs w:val="24"/>
        </w:rPr>
        <w:t xml:space="preserve"> да өзгеруде: өмір сүру ұзақтығы артып, туу деңгейі төмендеп, егде жастағы азаматтардың үлесі өсуде, сондай-ақ еңбекке қабілетті халық санының зейнеткерлер санына арақатынасы қысқаруда. Бұл өзгерістер елдің әлеуметтік-экономикалық жүйесіне, оның ішінде зейнетақы жүйесіне елеулі ықпал етуде.</w:t>
      </w:r>
    </w:p>
    <w:p w14:paraId="36115E4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b/>
          <w:color w:val="000000" w:themeColor="text1"/>
          <w:sz w:val="24"/>
          <w:szCs w:val="24"/>
        </w:rPr>
        <w:t>Демография мен еңбек нарығындағы жаһандық үрдістерді</w:t>
      </w:r>
      <w:r w:rsidRPr="00EA2A70">
        <w:rPr>
          <w:rFonts w:ascii="Times New Roman" w:hAnsi="Times New Roman"/>
          <w:color w:val="000000" w:themeColor="text1"/>
          <w:sz w:val="24"/>
          <w:szCs w:val="24"/>
        </w:rPr>
        <w:t xml:space="preserve"> ескере отырып, Мемлекет басшысы өз Жолдауында </w:t>
      </w:r>
      <w:r w:rsidRPr="00EA2A70">
        <w:rPr>
          <w:rFonts w:ascii="Times New Roman" w:hAnsi="Times New Roman"/>
          <w:i/>
          <w:color w:val="000000" w:themeColor="text1"/>
          <w:sz w:val="24"/>
          <w:szCs w:val="24"/>
        </w:rPr>
        <w:t>«зейнетақы жүйесінің қаржылық тұрақтылығын нығайту, ұзақ мерзімді теңгерімді және зейнетақылардың лайықты деңгейін қамтамасыз ету жөнінде шаралар қабылдау»</w:t>
      </w:r>
      <w:r w:rsidRPr="00EA2A70">
        <w:rPr>
          <w:rFonts w:ascii="Times New Roman" w:hAnsi="Times New Roman"/>
          <w:color w:val="000000" w:themeColor="text1"/>
          <w:sz w:val="24"/>
          <w:szCs w:val="24"/>
        </w:rPr>
        <w:t xml:space="preserve"> міндетін қойды.</w:t>
      </w:r>
    </w:p>
    <w:p w14:paraId="535B11C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67C5D16A"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Өмір сүру ұзақтығы және егде жастағы адамдардың үлесі</w:t>
      </w:r>
    </w:p>
    <w:p w14:paraId="2AFFAC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К</w:t>
      </w:r>
      <w:r w:rsidRPr="00EA2A70">
        <w:rPr>
          <w:rFonts w:ascii="Times New Roman" w:hAnsi="Times New Roman"/>
          <w:color w:val="000000" w:themeColor="text1"/>
          <w:sz w:val="24"/>
          <w:szCs w:val="24"/>
        </w:rPr>
        <w:t>үтілетін өмір сүру ұзақтығы (КӨСҰ)</w:t>
      </w:r>
      <w:r w:rsidRPr="00EA2A70">
        <w:rPr>
          <w:rFonts w:ascii="Times New Roman" w:hAnsi="Times New Roman"/>
          <w:color w:val="000000" w:themeColor="text1"/>
          <w:sz w:val="24"/>
          <w:szCs w:val="24"/>
          <w:vertAlign w:val="superscript"/>
        </w:rPr>
        <w:footnoteReference w:id="2"/>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2020</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2021 жылдары COVID-19 </w:t>
      </w:r>
      <w:r w:rsidRPr="00EA2A70">
        <w:rPr>
          <w:rFonts w:ascii="Times New Roman" w:hAnsi="Times New Roman"/>
          <w:color w:val="000000" w:themeColor="text1"/>
          <w:sz w:val="24"/>
          <w:szCs w:val="24"/>
          <w:lang w:val="kk-KZ"/>
        </w:rPr>
        <w:t>індетіне</w:t>
      </w:r>
      <w:r w:rsidRPr="00EA2A70">
        <w:rPr>
          <w:rFonts w:ascii="Times New Roman" w:hAnsi="Times New Roman"/>
          <w:color w:val="000000" w:themeColor="text1"/>
          <w:sz w:val="24"/>
          <w:szCs w:val="24"/>
        </w:rPr>
        <w:t xml:space="preserve"> байланысты төмендеген 2021 жылғы 70,23 жастан 2025 жылы </w:t>
      </w:r>
      <w:r w:rsidRPr="00EA2A70">
        <w:rPr>
          <w:rFonts w:ascii="Times New Roman" w:hAnsi="Times New Roman"/>
          <w:b/>
          <w:color w:val="000000" w:themeColor="text1"/>
          <w:sz w:val="24"/>
          <w:szCs w:val="24"/>
        </w:rPr>
        <w:t>75,97 жасқа</w:t>
      </w:r>
      <w:r w:rsidRPr="00EA2A70">
        <w:rPr>
          <w:rFonts w:ascii="Times New Roman" w:hAnsi="Times New Roman"/>
          <w:color w:val="000000" w:themeColor="text1"/>
          <w:sz w:val="24"/>
          <w:szCs w:val="24"/>
        </w:rPr>
        <w:t xml:space="preserve"> дейін өсті.</w:t>
      </w:r>
    </w:p>
    <w:p w14:paraId="2D8387D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Осындай үрдіс жаһандық деңгейде де байқалады: Дүниежүзілік денсаулық сақтау ұйымының (ДДҰ) бағалауынша, </w:t>
      </w:r>
      <w:r w:rsidRPr="00EA2A70">
        <w:rPr>
          <w:rFonts w:ascii="Times New Roman" w:hAnsi="Times New Roman"/>
          <w:color w:val="000000" w:themeColor="text1"/>
          <w:sz w:val="24"/>
          <w:szCs w:val="24"/>
          <w:lang w:val="kk-KZ"/>
        </w:rPr>
        <w:t>індет кезінде</w:t>
      </w:r>
      <w:r w:rsidRPr="00EA2A70">
        <w:rPr>
          <w:rFonts w:ascii="Times New Roman" w:hAnsi="Times New Roman"/>
          <w:color w:val="000000" w:themeColor="text1"/>
          <w:sz w:val="24"/>
          <w:szCs w:val="24"/>
        </w:rPr>
        <w:t xml:space="preserve"> 71,4 жасқа дейін төмендеген әлемдегі орташа күтілетін өмір сүру ұзақтығы 2025 жылға қарай </w:t>
      </w:r>
      <w:r w:rsidRPr="00EA2A70">
        <w:rPr>
          <w:rFonts w:ascii="Times New Roman" w:hAnsi="Times New Roman"/>
          <w:color w:val="000000" w:themeColor="text1"/>
          <w:sz w:val="24"/>
          <w:szCs w:val="24"/>
          <w:lang w:val="kk-KZ"/>
        </w:rPr>
        <w:t>індетке</w:t>
      </w:r>
      <w:r w:rsidRPr="00EA2A70">
        <w:rPr>
          <w:rFonts w:ascii="Times New Roman" w:hAnsi="Times New Roman"/>
          <w:color w:val="000000" w:themeColor="text1"/>
          <w:sz w:val="24"/>
          <w:szCs w:val="24"/>
        </w:rPr>
        <w:t xml:space="preserve"> дейінгі деңгейіне қайта оралып, орта есеппен </w:t>
      </w:r>
      <w:r w:rsidRPr="00EA2A70">
        <w:rPr>
          <w:rFonts w:ascii="Times New Roman" w:hAnsi="Times New Roman"/>
          <w:b/>
          <w:color w:val="000000" w:themeColor="text1"/>
          <w:sz w:val="24"/>
          <w:szCs w:val="24"/>
        </w:rPr>
        <w:t>73,8 жас</w:t>
      </w:r>
      <w:r w:rsidRPr="00EA2A70">
        <w:rPr>
          <w:rFonts w:ascii="Times New Roman" w:hAnsi="Times New Roman"/>
          <w:b/>
          <w:color w:val="000000" w:themeColor="text1"/>
          <w:sz w:val="24"/>
          <w:szCs w:val="24"/>
          <w:lang w:val="kk-KZ"/>
        </w:rPr>
        <w:t>қа</w:t>
      </w:r>
      <w:r w:rsidRPr="00EA2A70">
        <w:rPr>
          <w:rFonts w:ascii="Times New Roman" w:hAnsi="Times New Roman"/>
          <w:color w:val="000000" w:themeColor="text1"/>
          <w:sz w:val="24"/>
          <w:szCs w:val="24"/>
          <w:lang w:val="kk-KZ"/>
        </w:rPr>
        <w:t xml:space="preserve"> жетті</w:t>
      </w:r>
      <w:r w:rsidRPr="00EA2A70">
        <w:rPr>
          <w:rFonts w:ascii="Times New Roman" w:hAnsi="Times New Roman"/>
          <w:color w:val="000000" w:themeColor="text1"/>
          <w:sz w:val="24"/>
          <w:szCs w:val="24"/>
        </w:rPr>
        <w:t>.</w:t>
      </w:r>
    </w:p>
    <w:p w14:paraId="29FEC4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Осылайша, Қазақстан күтілетін өмір сүру ұзақтығы көрсеткішінің өсуі бойынша </w:t>
      </w:r>
      <w:r w:rsidRPr="00EA2A70">
        <w:rPr>
          <w:rFonts w:ascii="Times New Roman" w:hAnsi="Times New Roman"/>
          <w:b/>
          <w:color w:val="000000" w:themeColor="text1"/>
          <w:sz w:val="24"/>
          <w:szCs w:val="24"/>
        </w:rPr>
        <w:t xml:space="preserve">әлемдік </w:t>
      </w:r>
      <w:r w:rsidRPr="00EA2A70">
        <w:rPr>
          <w:rFonts w:ascii="Times New Roman" w:hAnsi="Times New Roman"/>
          <w:b/>
          <w:color w:val="000000" w:themeColor="text1"/>
          <w:sz w:val="24"/>
          <w:szCs w:val="24"/>
          <w:lang w:val="kk-KZ"/>
        </w:rPr>
        <w:t>көшпен</w:t>
      </w:r>
      <w:r w:rsidRPr="00EA2A70">
        <w:rPr>
          <w:rFonts w:ascii="Times New Roman" w:hAnsi="Times New Roman"/>
          <w:color w:val="000000" w:themeColor="text1"/>
          <w:sz w:val="24"/>
          <w:szCs w:val="24"/>
          <w:lang w:val="kk-KZ"/>
        </w:rPr>
        <w:t xml:space="preserve"> бірге жылжып</w:t>
      </w:r>
      <w:r w:rsidRPr="00EA2A70">
        <w:rPr>
          <w:rFonts w:ascii="Times New Roman" w:hAnsi="Times New Roman"/>
          <w:color w:val="000000" w:themeColor="text1"/>
          <w:sz w:val="24"/>
          <w:szCs w:val="24"/>
        </w:rPr>
        <w:t xml:space="preserve"> келеді (кестені қараңыз):</w:t>
      </w:r>
    </w:p>
    <w:p w14:paraId="2DC09A7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EA2A70" w:rsidRPr="00EA2A70" w14:paraId="233A4FDB" w14:textId="77777777" w:rsidTr="00152F31">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50F2061E" w14:textId="77777777" w:rsidR="00EA2A70" w:rsidRPr="00EA2A70" w:rsidRDefault="00EA2A70" w:rsidP="00EA2A70">
            <w:pPr>
              <w:spacing w:after="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01" w:type="dxa"/>
            <w:tcBorders>
              <w:top w:val="single" w:sz="2" w:space="0" w:color="auto"/>
              <w:left w:val="single" w:sz="2" w:space="0" w:color="auto"/>
              <w:bottom w:val="single" w:sz="2" w:space="0" w:color="auto"/>
              <w:right w:val="single" w:sz="2" w:space="0" w:color="auto"/>
            </w:tcBorders>
            <w:vAlign w:val="center"/>
            <w:hideMark/>
          </w:tcPr>
          <w:p w14:paraId="6FE18CA7"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3ADDE81E"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6E1E8DB4"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252F252F"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1CB23A0B"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7C6973C9"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748BE445"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35C12DD1"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4F07836A"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496733"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11090CBC"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2025</w:t>
            </w:r>
          </w:p>
        </w:tc>
      </w:tr>
      <w:tr w:rsidR="00EA2A70" w:rsidRPr="00EA2A70" w14:paraId="4FADF099" w14:textId="77777777" w:rsidTr="00152F31">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0F1649F2"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Бүкіл халық</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651F840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05190CD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2D0D3C3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6FCCB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1CAAE7F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6392361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7B32DDA2"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696D8DA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2AE03EF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77DCA13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66225F4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75,97</w:t>
            </w:r>
          </w:p>
        </w:tc>
      </w:tr>
      <w:tr w:rsidR="00EA2A70" w:rsidRPr="00EA2A70" w14:paraId="4B10D56F" w14:textId="77777777" w:rsidTr="00152F31">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5EF3F433"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Ерлер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4FEC21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30CCC36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3A6FF7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7489950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5D261703"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194DAB3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53AEA171"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6D744FE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222B3C2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6FB02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54EAB43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72,91</w:t>
            </w:r>
          </w:p>
        </w:tc>
      </w:tr>
      <w:tr w:rsidR="00EA2A70" w:rsidRPr="00EA2A70" w14:paraId="3797C392" w14:textId="77777777" w:rsidTr="00152F31">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5FD8DE49"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Әйелдер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1DD483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7CD86935"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154910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2F09629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1618585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3F026D8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B31B9E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1DB59A2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5AE8803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48BD65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23A9791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79,8</w:t>
            </w:r>
          </w:p>
        </w:tc>
      </w:tr>
    </w:tbl>
    <w:p w14:paraId="54368BC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4B9E60E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Бұл ретте егде жастағы халық үлесінің айтарлықтай өсуі болжанады. БЖЗҚ мен </w:t>
      </w:r>
      <w:r w:rsidRPr="00EA2A70">
        <w:rPr>
          <w:rFonts w:ascii="Times New Roman" w:hAnsi="Times New Roman"/>
          <w:color w:val="000000" w:themeColor="text1"/>
          <w:sz w:val="24"/>
          <w:szCs w:val="24"/>
          <w:lang w:val="kk-KZ"/>
        </w:rPr>
        <w:t>Біріккен Ұлттар Ұйымының (</w:t>
      </w:r>
      <w:r w:rsidRPr="00EA2A70">
        <w:rPr>
          <w:rFonts w:ascii="Times New Roman" w:hAnsi="Times New Roman"/>
          <w:color w:val="000000" w:themeColor="text1"/>
          <w:sz w:val="24"/>
          <w:szCs w:val="24"/>
        </w:rPr>
        <w:t>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болжамдарына сәйкес</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2050 жылға қарай </w:t>
      </w:r>
      <w:r w:rsidRPr="00EA2A70">
        <w:rPr>
          <w:rFonts w:ascii="Times New Roman" w:hAnsi="Times New Roman"/>
          <w:b/>
          <w:color w:val="000000" w:themeColor="text1"/>
          <w:sz w:val="24"/>
          <w:szCs w:val="24"/>
        </w:rPr>
        <w:t>60 және одан жоғары жастағы</w:t>
      </w:r>
      <w:r w:rsidRPr="00EA2A70">
        <w:rPr>
          <w:rFonts w:ascii="Times New Roman" w:hAnsi="Times New Roman"/>
          <w:color w:val="000000" w:themeColor="text1"/>
          <w:sz w:val="24"/>
          <w:szCs w:val="24"/>
        </w:rPr>
        <w:t xml:space="preserve"> азаматтардың үлесі Қазақстандағы халықтың жалпы көлемінің </w:t>
      </w:r>
      <w:r w:rsidRPr="00EA2A70">
        <w:rPr>
          <w:rFonts w:ascii="Times New Roman" w:hAnsi="Times New Roman"/>
          <w:b/>
          <w:color w:val="000000" w:themeColor="text1"/>
          <w:sz w:val="24"/>
          <w:szCs w:val="24"/>
        </w:rPr>
        <w:t>18,8% - на</w:t>
      </w:r>
      <w:r w:rsidRPr="00EA2A70">
        <w:rPr>
          <w:rFonts w:ascii="Times New Roman" w:hAnsi="Times New Roman"/>
          <w:color w:val="000000" w:themeColor="text1"/>
          <w:sz w:val="24"/>
          <w:szCs w:val="24"/>
        </w:rPr>
        <w:t xml:space="preserve"> жетеді, бұл халықаралық жіктеу бойынша "демографиялық кәріліктің өте жоғары деңгейі"</w:t>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көрсеткішіне сәйкес келеді. Басқаша айтқанда, ғасырдың ортасына қарай орта есеппен әрбір алтыншы қазақстандық 60 жастан асқан болады.</w:t>
      </w:r>
    </w:p>
    <w:p w14:paraId="15F7B26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A837C9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014EC98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469512E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60024AB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2F8E88E"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31FE718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1B8D47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r w:rsidRPr="00EA2A70">
        <w:rPr>
          <w:rFonts w:ascii="Times New Roman" w:hAnsi="Times New Roman"/>
          <w:b/>
          <w:i/>
          <w:color w:val="000000" w:themeColor="text1"/>
          <w:sz w:val="24"/>
          <w:szCs w:val="24"/>
        </w:rPr>
        <w:lastRenderedPageBreak/>
        <w:t>Халықтың жалпы көлеміндегі 60</w:t>
      </w:r>
      <w:r w:rsidRPr="00EA2A70">
        <w:rPr>
          <w:rFonts w:ascii="Times New Roman" w:hAnsi="Times New Roman"/>
          <w:b/>
          <w:i/>
          <w:color w:val="000000" w:themeColor="text1"/>
          <w:sz w:val="24"/>
          <w:szCs w:val="24"/>
          <w:lang w:val="kk-KZ"/>
        </w:rPr>
        <w:t xml:space="preserve"> және одан үлкен жастағы</w:t>
      </w:r>
      <w:r w:rsidRPr="00EA2A70">
        <w:rPr>
          <w:rFonts w:ascii="Times New Roman" w:hAnsi="Times New Roman"/>
          <w:b/>
          <w:i/>
          <w:color w:val="000000" w:themeColor="text1"/>
          <w:sz w:val="24"/>
          <w:szCs w:val="24"/>
        </w:rPr>
        <w:t xml:space="preserve"> </w:t>
      </w:r>
    </w:p>
    <w:p w14:paraId="3ABAD3EF"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r w:rsidRPr="00EA2A70">
        <w:rPr>
          <w:rFonts w:ascii="Times New Roman" w:hAnsi="Times New Roman"/>
          <w:b/>
          <w:i/>
          <w:color w:val="000000" w:themeColor="text1"/>
          <w:sz w:val="24"/>
          <w:szCs w:val="24"/>
        </w:rPr>
        <w:t>адамдардың үлес</w:t>
      </w:r>
      <w:r w:rsidRPr="00EA2A70">
        <w:rPr>
          <w:rFonts w:ascii="Times New Roman" w:hAnsi="Times New Roman"/>
          <w:b/>
          <w:i/>
          <w:color w:val="000000" w:themeColor="text1"/>
          <w:sz w:val="24"/>
          <w:szCs w:val="24"/>
          <w:lang w:val="kk-KZ"/>
        </w:rPr>
        <w:t xml:space="preserve"> дерегі</w:t>
      </w:r>
      <w:r w:rsidRPr="00EA2A70">
        <w:rPr>
          <w:rFonts w:ascii="Times New Roman" w:hAnsi="Times New Roman"/>
          <w:b/>
          <w:i/>
          <w:color w:val="000000" w:themeColor="text1"/>
          <w:sz w:val="24"/>
          <w:szCs w:val="24"/>
        </w:rPr>
        <w:t xml:space="preserve"> мен болжамы</w:t>
      </w:r>
    </w:p>
    <w:p w14:paraId="2C614C58" w14:textId="77777777" w:rsidR="00EA2A70" w:rsidRPr="00EA2A70" w:rsidRDefault="00EA2A70" w:rsidP="00EA2A70">
      <w:pPr>
        <w:spacing w:after="0" w:line="240" w:lineRule="auto"/>
        <w:ind w:firstLine="709"/>
        <w:jc w:val="center"/>
        <w:rPr>
          <w:rFonts w:ascii="Times New Roman" w:hAnsi="Times New Roman"/>
          <w:color w:val="000000" w:themeColor="text1"/>
          <w:sz w:val="24"/>
          <w:szCs w:val="24"/>
        </w:rPr>
      </w:pPr>
      <w:r w:rsidRPr="00EA2A70">
        <w:rPr>
          <w:rFonts w:ascii="Times New Roman" w:hAnsi="Times New Roman"/>
          <w:noProof/>
          <w:color w:val="000000" w:themeColor="text1"/>
          <w:sz w:val="24"/>
          <w:szCs w:val="24"/>
          <w:lang w:eastAsia="ru-RU"/>
        </w:rPr>
        <w:drawing>
          <wp:inline distT="0" distB="0" distL="0" distR="0" wp14:anchorId="44A46A8B" wp14:editId="729831AE">
            <wp:extent cx="5961380" cy="2059388"/>
            <wp:effectExtent l="0" t="0" r="1270" b="1714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BAA19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31D6CF1D"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Туудың жиынтық коэффициенті</w:t>
      </w:r>
    </w:p>
    <w:p w14:paraId="18D4658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Халықтың құрылымына айтарлықтай әсер ететін көрсеткіштердің бірі – </w:t>
      </w:r>
      <w:r w:rsidRPr="00EA2A70">
        <w:rPr>
          <w:rFonts w:ascii="Times New Roman" w:hAnsi="Times New Roman"/>
          <w:b/>
          <w:color w:val="000000" w:themeColor="text1"/>
          <w:sz w:val="24"/>
          <w:szCs w:val="24"/>
        </w:rPr>
        <w:t>туудың жиынтық коэффициенті (ТЖК)</w:t>
      </w:r>
      <w:r w:rsidRPr="00EA2A70">
        <w:rPr>
          <w:rFonts w:ascii="Times New Roman" w:hAnsi="Times New Roman"/>
          <w:color w:val="000000" w:themeColor="text1"/>
          <w:sz w:val="24"/>
          <w:szCs w:val="24"/>
        </w:rPr>
        <w:t>. Ол бір әйелдің бүкіл репродуктивтік кезеңі ішінде (яғни шамамен 15 жастан 50 жасқа дейін) орта есеппен қанша бала туатынын көрсетеді.</w:t>
      </w:r>
    </w:p>
    <w:p w14:paraId="2747A54A" w14:textId="254FAB26"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2020–2021 жылдар</w:t>
      </w:r>
      <w:r w:rsidRPr="00EA2A70">
        <w:rPr>
          <w:rFonts w:ascii="Times New Roman" w:hAnsi="Times New Roman"/>
          <w:color w:val="000000" w:themeColor="text1"/>
          <w:sz w:val="24"/>
          <w:szCs w:val="24"/>
          <w:lang w:val="kk-KZ"/>
        </w:rPr>
        <w:t>дағы</w:t>
      </w:r>
      <w:r w:rsidRPr="00EA2A70">
        <w:rPr>
          <w:rFonts w:ascii="Times New Roman" w:hAnsi="Times New Roman"/>
          <w:color w:val="000000" w:themeColor="text1"/>
          <w:sz w:val="24"/>
          <w:szCs w:val="24"/>
        </w:rPr>
        <w:t xml:space="preserve"> ТЖК-нің қалыпты өсуі</w:t>
      </w:r>
      <w:r w:rsidRPr="00EA2A70">
        <w:rPr>
          <w:rFonts w:ascii="Times New Roman" w:hAnsi="Times New Roman"/>
          <w:color w:val="000000" w:themeColor="text1"/>
          <w:sz w:val="24"/>
          <w:szCs w:val="24"/>
          <w:lang w:val="kk-KZ"/>
        </w:rPr>
        <w:t xml:space="preserve">нен </w:t>
      </w:r>
      <w:r w:rsidRPr="00EA2A70">
        <w:rPr>
          <w:rFonts w:ascii="Times New Roman" w:hAnsi="Times New Roman"/>
          <w:color w:val="000000" w:themeColor="text1"/>
          <w:sz w:val="24"/>
          <w:szCs w:val="24"/>
        </w:rPr>
        <w:t xml:space="preserve">кейін, оның тұрақты төмендеу үрдісі </w:t>
      </w:r>
      <w:r w:rsidRPr="00EA2A70">
        <w:rPr>
          <w:rFonts w:ascii="Times New Roman" w:hAnsi="Times New Roman"/>
          <w:color w:val="000000" w:themeColor="text1"/>
          <w:sz w:val="24"/>
          <w:szCs w:val="24"/>
          <w:lang w:val="kk-KZ"/>
        </w:rPr>
        <w:t>байқалды</w:t>
      </w:r>
      <w:r w:rsidRPr="00EA2A70">
        <w:rPr>
          <w:rFonts w:ascii="Times New Roman" w:hAnsi="Times New Roman"/>
          <w:color w:val="000000" w:themeColor="text1"/>
          <w:sz w:val="24"/>
          <w:szCs w:val="24"/>
        </w:rPr>
        <w:t xml:space="preserve">: 2021 жылғы 3,32-ден 2022 жылы 3,06-ға дейін, ал </w:t>
      </w:r>
      <w:r w:rsidRPr="00EA2A70">
        <w:rPr>
          <w:rFonts w:ascii="Times New Roman" w:hAnsi="Times New Roman"/>
          <w:b/>
          <w:color w:val="000000" w:themeColor="text1"/>
          <w:sz w:val="24"/>
          <w:szCs w:val="24"/>
        </w:rPr>
        <w:t>2025 жылы</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2,57-ге</w:t>
      </w:r>
      <w:r w:rsidRPr="00EA2A70">
        <w:rPr>
          <w:rFonts w:ascii="Times New Roman" w:hAnsi="Times New Roman"/>
          <w:color w:val="000000" w:themeColor="text1"/>
          <w:sz w:val="24"/>
          <w:szCs w:val="24"/>
        </w:rPr>
        <w:t xml:space="preserve"> дейін төмендеді. БҰҰ-ның ұзақ мерзімді болжамына сәйкес, </w:t>
      </w:r>
      <w:r w:rsidRPr="00EA2A70">
        <w:rPr>
          <w:rFonts w:ascii="Times New Roman" w:hAnsi="Times New Roman"/>
          <w:b/>
          <w:color w:val="000000" w:themeColor="text1"/>
          <w:sz w:val="24"/>
          <w:szCs w:val="24"/>
        </w:rPr>
        <w:t>2050 жылға қарай</w:t>
      </w:r>
      <w:r w:rsidRPr="00EA2A70">
        <w:rPr>
          <w:rFonts w:ascii="Times New Roman" w:hAnsi="Times New Roman"/>
          <w:color w:val="000000" w:themeColor="text1"/>
          <w:sz w:val="24"/>
          <w:szCs w:val="24"/>
        </w:rPr>
        <w:t xml:space="preserve"> Қазақстандағы ТЖК-нің бір әйелге шаққанда </w:t>
      </w:r>
      <w:r w:rsidRPr="00EA2A70">
        <w:rPr>
          <w:rFonts w:ascii="Times New Roman" w:hAnsi="Times New Roman"/>
          <w:b/>
          <w:color w:val="000000" w:themeColor="text1"/>
          <w:sz w:val="24"/>
          <w:szCs w:val="24"/>
        </w:rPr>
        <w:t>2,39</w:t>
      </w:r>
      <w:r w:rsidRPr="00EA2A70">
        <w:rPr>
          <w:rFonts w:ascii="Times New Roman" w:hAnsi="Times New Roman"/>
          <w:color w:val="000000" w:themeColor="text1"/>
          <w:sz w:val="24"/>
          <w:szCs w:val="24"/>
        </w:rPr>
        <w:t xml:space="preserve"> бала деңгейіне дейін төменде</w:t>
      </w:r>
      <w:r w:rsidRPr="00EA2A70">
        <w:rPr>
          <w:rFonts w:ascii="Times New Roman" w:hAnsi="Times New Roman"/>
          <w:color w:val="000000" w:themeColor="text1"/>
          <w:sz w:val="24"/>
          <w:szCs w:val="24"/>
          <w:lang w:val="kk-KZ"/>
        </w:rPr>
        <w:t>йді</w:t>
      </w:r>
      <w:r w:rsidRPr="00EA2A70">
        <w:rPr>
          <w:rFonts w:ascii="Times New Roman" w:hAnsi="Times New Roman"/>
          <w:color w:val="000000" w:themeColor="text1"/>
          <w:sz w:val="24"/>
          <w:szCs w:val="24"/>
        </w:rPr>
        <w:t>.</w:t>
      </w:r>
    </w:p>
    <w:p w14:paraId="7C6591B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p w14:paraId="6B04FCE0" w14:textId="53687D31" w:rsidR="006A0AA5"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Қазақстандағы 2015–2025 жылдар аралығындағы ТЖК-нің нақты мәндері төмендегі кестеде көрсетілген:</w:t>
      </w:r>
    </w:p>
    <w:p w14:paraId="6A979518"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EA2A70" w:rsidRPr="00EA2A70" w14:paraId="6889F5E4" w14:textId="77777777" w:rsidTr="00152F31">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563ED6E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44" w:type="dxa"/>
            <w:tcBorders>
              <w:top w:val="single" w:sz="4" w:space="0" w:color="auto"/>
              <w:left w:val="nil"/>
              <w:bottom w:val="single" w:sz="4" w:space="0" w:color="auto"/>
              <w:right w:val="single" w:sz="4" w:space="0" w:color="auto"/>
            </w:tcBorders>
            <w:noWrap/>
            <w:hideMark/>
          </w:tcPr>
          <w:p w14:paraId="43C660D0"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2C7CEBB2"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4F6AE73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5335748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44C57FA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67BEB3C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1A03ED8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23BB2C4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5E9E856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02705939"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2B1B97E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C9F5B99"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2025</w:t>
            </w:r>
          </w:p>
        </w:tc>
      </w:tr>
      <w:tr w:rsidR="00EA2A70" w:rsidRPr="00EA2A70" w14:paraId="612AC455" w14:textId="77777777" w:rsidTr="00152F31">
        <w:trPr>
          <w:trHeight w:val="415"/>
        </w:trPr>
        <w:tc>
          <w:tcPr>
            <w:tcW w:w="1424" w:type="dxa"/>
            <w:tcBorders>
              <w:top w:val="nil"/>
              <w:left w:val="single" w:sz="4" w:space="0" w:color="auto"/>
              <w:bottom w:val="single" w:sz="4" w:space="0" w:color="auto"/>
              <w:right w:val="single" w:sz="4" w:space="0" w:color="auto"/>
            </w:tcBorders>
            <w:noWrap/>
            <w:hideMark/>
          </w:tcPr>
          <w:p w14:paraId="0FAB089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ТЖК</w:t>
            </w:r>
          </w:p>
        </w:tc>
        <w:tc>
          <w:tcPr>
            <w:tcW w:w="744" w:type="dxa"/>
            <w:tcBorders>
              <w:top w:val="nil"/>
              <w:left w:val="nil"/>
              <w:bottom w:val="single" w:sz="4" w:space="0" w:color="auto"/>
              <w:right w:val="single" w:sz="4" w:space="0" w:color="auto"/>
            </w:tcBorders>
            <w:noWrap/>
            <w:hideMark/>
          </w:tcPr>
          <w:p w14:paraId="2F755DC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449A60DF"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718327D8"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4F9C8BB2"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43A7F9D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1E278BB6"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6E279537"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7F943F7C"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75547673"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4451041A"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731729B1"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5AA759BE"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2,57</w:t>
            </w:r>
          </w:p>
        </w:tc>
      </w:tr>
    </w:tbl>
    <w:p w14:paraId="3ACD773C" w14:textId="77777777" w:rsidR="006A0AA5" w:rsidRDefault="006A0AA5" w:rsidP="00EA2A70">
      <w:pPr>
        <w:spacing w:after="0" w:line="240" w:lineRule="auto"/>
        <w:ind w:firstLine="709"/>
        <w:jc w:val="both"/>
        <w:rPr>
          <w:rFonts w:ascii="Times New Roman" w:hAnsi="Times New Roman"/>
          <w:color w:val="000000" w:themeColor="text1"/>
          <w:sz w:val="24"/>
          <w:szCs w:val="24"/>
        </w:rPr>
      </w:pPr>
    </w:p>
    <w:p w14:paraId="40BAE9D0" w14:textId="281EA5DA"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Туу деңгейінің төмендеуі – әлемдік деңгейде байқалып отырған үрдіс. Бұл өмір сүру ұзақтығының артуымен қатар жүріп, еңбекке қабілетті жастағы халық үлесінің қысқаруына алып келеді. Соның салдарынан экономикалық белсенді халыққа түсетін демографиялық жүктеме артады.</w:t>
      </w:r>
    </w:p>
    <w:p w14:paraId="5DA8B0D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2B9537F8"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Көші-қон сальдосы</w:t>
      </w:r>
      <w:r w:rsidRPr="00EA2A70">
        <w:rPr>
          <w:rFonts w:ascii="Times New Roman" w:hAnsi="Times New Roman"/>
          <w:b/>
          <w:color w:val="000000" w:themeColor="text1"/>
          <w:sz w:val="24"/>
          <w:szCs w:val="24"/>
          <w:vertAlign w:val="superscript"/>
        </w:rPr>
        <w:footnoteReference w:id="3"/>
      </w:r>
    </w:p>
    <w:p w14:paraId="1690F5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Қазақстандағы БҰҰ-ның Халықтың қоныстануы саласындағы қорының (UNFPA) өкілдігі «Қазақстан Республикасындағы халықтың ахуалын талдау» атты есебінде </w:t>
      </w:r>
      <w:r w:rsidRPr="00EA2A70">
        <w:rPr>
          <w:rFonts w:ascii="Times New Roman" w:hAnsi="Times New Roman"/>
          <w:b/>
          <w:color w:val="000000" w:themeColor="text1"/>
          <w:sz w:val="24"/>
          <w:szCs w:val="24"/>
        </w:rPr>
        <w:t>2050 жылға қарай</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көші-қон сальдосының біртіндеп нөлдік деңгейге</w:t>
      </w:r>
      <w:r w:rsidRPr="00EA2A70">
        <w:rPr>
          <w:rFonts w:ascii="Times New Roman" w:hAnsi="Times New Roman"/>
          <w:color w:val="000000" w:themeColor="text1"/>
          <w:sz w:val="24"/>
          <w:szCs w:val="24"/>
        </w:rPr>
        <w:t xml:space="preserve"> (1000 адамға шаққанда 0) жететінін болжайды. Бұл болжам республиканың еңбек күшіне деген жоғары сұраныспен қатар жүретін экономикалық дамуына, этникалық эмиграция әлеуетінің біртіндеп сарқылуына, сондай-ақ Қазақстанның оңтүстігіндегі елдер халқының жылдам өсуіне негізделген.</w:t>
      </w:r>
    </w:p>
    <w:p w14:paraId="5220F90D" w14:textId="18FD7AE0"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Төменде 2021–2025 жылдар аралығындағы иммигранттар мен эмигранттар саны келтірілген:</w:t>
      </w:r>
    </w:p>
    <w:p w14:paraId="4F5FB28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EA2A70" w:rsidRPr="00EA2A70" w14:paraId="59FBBA7B" w14:textId="77777777" w:rsidTr="00152F31">
        <w:trPr>
          <w:trHeight w:val="307"/>
        </w:trPr>
        <w:tc>
          <w:tcPr>
            <w:tcW w:w="4536" w:type="dxa"/>
            <w:tcBorders>
              <w:top w:val="single" w:sz="4" w:space="0" w:color="auto"/>
              <w:left w:val="single" w:sz="4" w:space="0" w:color="auto"/>
              <w:bottom w:val="single" w:sz="4" w:space="0" w:color="auto"/>
              <w:right w:val="single" w:sz="4" w:space="0" w:color="auto"/>
            </w:tcBorders>
            <w:hideMark/>
          </w:tcPr>
          <w:p w14:paraId="55FF378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01D451"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503AE996"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7F20083D"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0AE909D2"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292A61EE"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2 025</w:t>
            </w:r>
          </w:p>
        </w:tc>
      </w:tr>
      <w:tr w:rsidR="00EA2A70" w:rsidRPr="00EA2A70" w14:paraId="392B53B8" w14:textId="77777777" w:rsidTr="00152F31">
        <w:trPr>
          <w:trHeight w:val="257"/>
        </w:trPr>
        <w:tc>
          <w:tcPr>
            <w:tcW w:w="4536" w:type="dxa"/>
            <w:tcBorders>
              <w:top w:val="nil"/>
              <w:left w:val="single" w:sz="4" w:space="0" w:color="auto"/>
              <w:bottom w:val="single" w:sz="4" w:space="0" w:color="auto"/>
              <w:right w:val="single" w:sz="4" w:space="0" w:color="auto"/>
            </w:tcBorders>
            <w:hideMark/>
          </w:tcPr>
          <w:p w14:paraId="292DE46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lastRenderedPageBreak/>
              <w:t>Келді</w:t>
            </w:r>
          </w:p>
        </w:tc>
        <w:tc>
          <w:tcPr>
            <w:tcW w:w="1134" w:type="dxa"/>
            <w:tcBorders>
              <w:top w:val="nil"/>
              <w:left w:val="single" w:sz="4" w:space="0" w:color="auto"/>
              <w:bottom w:val="single" w:sz="4" w:space="0" w:color="auto"/>
              <w:right w:val="single" w:sz="4" w:space="0" w:color="auto"/>
            </w:tcBorders>
            <w:noWrap/>
            <w:vAlign w:val="center"/>
            <w:hideMark/>
          </w:tcPr>
          <w:p w14:paraId="60A0874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0972A7A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0E968AF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405EACCE"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0B182AB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23 761</w:t>
            </w:r>
          </w:p>
        </w:tc>
      </w:tr>
      <w:tr w:rsidR="00EA2A70" w:rsidRPr="00EA2A70" w14:paraId="6F977A1C" w14:textId="77777777" w:rsidTr="00152F31">
        <w:trPr>
          <w:trHeight w:val="309"/>
        </w:trPr>
        <w:tc>
          <w:tcPr>
            <w:tcW w:w="4536" w:type="dxa"/>
            <w:tcBorders>
              <w:top w:val="nil"/>
              <w:left w:val="single" w:sz="4" w:space="0" w:color="auto"/>
              <w:bottom w:val="single" w:sz="4" w:space="0" w:color="auto"/>
              <w:right w:val="single" w:sz="4" w:space="0" w:color="auto"/>
            </w:tcBorders>
            <w:hideMark/>
          </w:tcPr>
          <w:p w14:paraId="4E379E3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Кетті</w:t>
            </w:r>
          </w:p>
        </w:tc>
        <w:tc>
          <w:tcPr>
            <w:tcW w:w="1134" w:type="dxa"/>
            <w:tcBorders>
              <w:top w:val="nil"/>
              <w:left w:val="single" w:sz="4" w:space="0" w:color="auto"/>
              <w:bottom w:val="single" w:sz="4" w:space="0" w:color="auto"/>
              <w:right w:val="single" w:sz="4" w:space="0" w:color="auto"/>
            </w:tcBorders>
            <w:noWrap/>
            <w:vAlign w:val="center"/>
            <w:hideMark/>
          </w:tcPr>
          <w:p w14:paraId="46BEC00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1ED906D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06E9029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3415E899"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47890BD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7 608</w:t>
            </w:r>
          </w:p>
        </w:tc>
      </w:tr>
      <w:tr w:rsidR="00EA2A70" w:rsidRPr="00EA2A70" w14:paraId="37C7CF76" w14:textId="77777777" w:rsidTr="00152F31">
        <w:trPr>
          <w:trHeight w:val="476"/>
        </w:trPr>
        <w:tc>
          <w:tcPr>
            <w:tcW w:w="4536" w:type="dxa"/>
            <w:tcBorders>
              <w:top w:val="nil"/>
              <w:left w:val="single" w:sz="4" w:space="0" w:color="auto"/>
              <w:bottom w:val="single" w:sz="4" w:space="0" w:color="auto"/>
              <w:right w:val="single" w:sz="4" w:space="0" w:color="auto"/>
            </w:tcBorders>
            <w:hideMark/>
          </w:tcPr>
          <w:p w14:paraId="213489EC"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val="kk-KZ" w:eastAsia="ru-RU"/>
              </w:rPr>
              <w:t>Көші-қон с</w:t>
            </w:r>
            <w:r w:rsidRPr="00EA2A70">
              <w:rPr>
                <w:rFonts w:ascii="Times New Roman" w:eastAsia="Times New Roman" w:hAnsi="Times New Roman"/>
                <w:b/>
                <w:color w:val="000000" w:themeColor="text1"/>
                <w:sz w:val="20"/>
                <w:szCs w:val="20"/>
                <w:lang w:eastAsia="ru-RU"/>
              </w:rPr>
              <w:t>альдо</w:t>
            </w:r>
            <w:r w:rsidRPr="00EA2A70">
              <w:rPr>
                <w:rFonts w:ascii="Times New Roman" w:eastAsia="Times New Roman" w:hAnsi="Times New Roman"/>
                <w:b/>
                <w:color w:val="000000" w:themeColor="text1"/>
                <w:sz w:val="20"/>
                <w:szCs w:val="20"/>
                <w:lang w:val="kk-KZ" w:eastAsia="ru-RU"/>
              </w:rPr>
              <w:t>сы</w:t>
            </w:r>
          </w:p>
        </w:tc>
        <w:tc>
          <w:tcPr>
            <w:tcW w:w="1134" w:type="dxa"/>
            <w:tcBorders>
              <w:top w:val="nil"/>
              <w:left w:val="single" w:sz="4" w:space="0" w:color="auto"/>
              <w:bottom w:val="single" w:sz="4" w:space="0" w:color="auto"/>
              <w:right w:val="single" w:sz="4" w:space="0" w:color="auto"/>
            </w:tcBorders>
            <w:noWrap/>
            <w:vAlign w:val="center"/>
            <w:hideMark/>
          </w:tcPr>
          <w:p w14:paraId="779BDF0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31C8D80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01146A60"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07419296"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79A1305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16 153</w:t>
            </w:r>
          </w:p>
        </w:tc>
      </w:tr>
    </w:tbl>
    <w:p w14:paraId="076EA1E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Осылайша, </w:t>
      </w:r>
      <w:r w:rsidRPr="00EA2A70">
        <w:rPr>
          <w:rFonts w:ascii="Times New Roman" w:hAnsi="Times New Roman"/>
          <w:color w:val="000000" w:themeColor="text1"/>
          <w:sz w:val="24"/>
          <w:szCs w:val="24"/>
          <w:lang w:val="kk-KZ"/>
        </w:rPr>
        <w:t>індеттен</w:t>
      </w:r>
      <w:r w:rsidRPr="00EA2A70">
        <w:rPr>
          <w:rFonts w:ascii="Times New Roman" w:hAnsi="Times New Roman"/>
          <w:color w:val="000000" w:themeColor="text1"/>
          <w:sz w:val="24"/>
          <w:szCs w:val="24"/>
        </w:rPr>
        <w:t xml:space="preserve"> кейін Қазақстанға келушілердің жыл сайынғы саны 2021 жылдан бастап 2,15 есе өсті, ал кеткендердің саны 4,24 есе азайды.</w:t>
      </w:r>
    </w:p>
    <w:p w14:paraId="3A470CE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52C74499"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lang w:val="kk-KZ"/>
        </w:rPr>
        <w:t>Әлеуетті</w:t>
      </w:r>
      <w:r w:rsidRPr="00EA2A70">
        <w:rPr>
          <w:rFonts w:ascii="Times New Roman" w:hAnsi="Times New Roman"/>
          <w:b/>
          <w:color w:val="000000" w:themeColor="text1"/>
          <w:sz w:val="24"/>
          <w:szCs w:val="24"/>
        </w:rPr>
        <w:t xml:space="preserve"> қолдау коэффициенті</w:t>
      </w:r>
    </w:p>
    <w:p w14:paraId="419F88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Әлеуетті</w:t>
      </w:r>
      <w:r w:rsidRPr="00EA2A70">
        <w:rPr>
          <w:rFonts w:ascii="Times New Roman" w:hAnsi="Times New Roman"/>
          <w:color w:val="000000" w:themeColor="text1"/>
          <w:sz w:val="24"/>
          <w:szCs w:val="24"/>
        </w:rPr>
        <w:t xml:space="preserve"> қолдау коэффициенті (</w:t>
      </w:r>
      <w:r w:rsidRPr="00EA2A70">
        <w:rPr>
          <w:rFonts w:ascii="Times New Roman" w:hAnsi="Times New Roman"/>
          <w:color w:val="000000" w:themeColor="text1"/>
          <w:sz w:val="24"/>
          <w:szCs w:val="24"/>
          <w:lang w:val="kk-KZ"/>
        </w:rPr>
        <w:t>Ә</w:t>
      </w:r>
      <w:r w:rsidRPr="00EA2A70">
        <w:rPr>
          <w:rFonts w:ascii="Times New Roman" w:hAnsi="Times New Roman"/>
          <w:color w:val="000000" w:themeColor="text1"/>
          <w:sz w:val="24"/>
          <w:szCs w:val="24"/>
        </w:rPr>
        <w:t>ҚК) – әлемде еңбекке қабілетті жастағы адамдар санының (25-тен 64 жасқа дейін) 65 жастағы және одан асқан адамдар санына қатынасы ретінде есептелетін көрсеткіш. Бұл коэффициенттің төмендеу үрдісі жалғасып келеді.</w:t>
      </w:r>
    </w:p>
    <w:p w14:paraId="203FF989"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r w:rsidRPr="00EA2A70">
        <w:rPr>
          <w:rFonts w:ascii="Times New Roman" w:hAnsi="Times New Roman"/>
          <w:color w:val="000000" w:themeColor="text1"/>
          <w:sz w:val="24"/>
          <w:szCs w:val="24"/>
        </w:rPr>
        <w:t xml:space="preserve">Еңбекке қабілетті жастағы адамдардың (25–64 жас) егде жастағы адамдарға (65 жас және одан жоғары) арақатынасы 2012 жылғы 7,68-ден </w:t>
      </w:r>
      <w:r w:rsidRPr="00EA2A70">
        <w:rPr>
          <w:rFonts w:ascii="Times New Roman" w:hAnsi="Times New Roman"/>
          <w:b/>
          <w:color w:val="000000" w:themeColor="text1"/>
          <w:sz w:val="24"/>
          <w:szCs w:val="24"/>
        </w:rPr>
        <w:t>2025 жылы 4,95-ке</w:t>
      </w:r>
      <w:r w:rsidRPr="00EA2A70">
        <w:rPr>
          <w:rFonts w:ascii="Times New Roman" w:hAnsi="Times New Roman"/>
          <w:color w:val="000000" w:themeColor="text1"/>
          <w:sz w:val="24"/>
          <w:szCs w:val="24"/>
        </w:rPr>
        <w:t xml:space="preserve"> дейін төмендеді. Егде жастағы халық санының күтілетін өс</w:t>
      </w:r>
      <w:r w:rsidRPr="00EA2A70">
        <w:rPr>
          <w:rFonts w:ascii="Times New Roman" w:hAnsi="Times New Roman"/>
          <w:color w:val="000000" w:themeColor="text1"/>
          <w:sz w:val="24"/>
          <w:szCs w:val="24"/>
          <w:lang w:val="kk-KZ"/>
        </w:rPr>
        <w:t>ім</w:t>
      </w:r>
      <w:r w:rsidRPr="00EA2A70">
        <w:rPr>
          <w:rFonts w:ascii="Times New Roman" w:hAnsi="Times New Roman"/>
          <w:color w:val="000000" w:themeColor="text1"/>
          <w:sz w:val="24"/>
          <w:szCs w:val="24"/>
        </w:rPr>
        <w:t>і</w:t>
      </w:r>
      <w:r w:rsidRPr="00EA2A70">
        <w:rPr>
          <w:rFonts w:ascii="Times New Roman" w:hAnsi="Times New Roman"/>
          <w:color w:val="000000" w:themeColor="text1"/>
          <w:sz w:val="24"/>
          <w:szCs w:val="24"/>
          <w:lang w:val="kk-KZ"/>
        </w:rPr>
        <w:t>н</w:t>
      </w:r>
      <w:r w:rsidRPr="00EA2A70">
        <w:rPr>
          <w:rFonts w:ascii="Times New Roman" w:hAnsi="Times New Roman"/>
          <w:color w:val="000000" w:themeColor="text1"/>
          <w:sz w:val="24"/>
          <w:szCs w:val="24"/>
        </w:rPr>
        <w:t xml:space="preserve"> 25-тен 64 жасқа дейінгі халық үлесінің қысқаруымен ұштастыра отырып (диаграмманы қараңыз)</w:t>
      </w:r>
      <w:r w:rsidRPr="00EA2A70">
        <w:rPr>
          <w:rFonts w:ascii="Times New Roman" w:hAnsi="Times New Roman"/>
          <w:color w:val="000000" w:themeColor="text1"/>
          <w:sz w:val="24"/>
          <w:szCs w:val="24"/>
          <w:lang w:val="kk-KZ"/>
        </w:rPr>
        <w:t xml:space="preserve"> жасалған </w:t>
      </w:r>
      <w:r w:rsidRPr="00EA2A70">
        <w:rPr>
          <w:rFonts w:ascii="Times New Roman" w:hAnsi="Times New Roman"/>
          <w:color w:val="000000" w:themeColor="text1"/>
          <w:sz w:val="24"/>
          <w:szCs w:val="24"/>
        </w:rPr>
        <w:t>болжамдарға сәйкес (БЖЗҚ</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 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Қазақстанда 2025-2050 жылдар кезеңінде </w:t>
      </w:r>
      <w:r w:rsidRPr="00EA2A70">
        <w:rPr>
          <w:rFonts w:ascii="Times New Roman" w:hAnsi="Times New Roman"/>
          <w:color w:val="000000" w:themeColor="text1"/>
          <w:sz w:val="24"/>
          <w:szCs w:val="24"/>
          <w:lang w:val="kk-KZ"/>
        </w:rPr>
        <w:t>ӘҚК</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1,4 еседен</w:t>
      </w:r>
      <w:r w:rsidRPr="00EA2A70">
        <w:rPr>
          <w:rFonts w:ascii="Times New Roman" w:hAnsi="Times New Roman"/>
          <w:color w:val="000000" w:themeColor="text1"/>
          <w:sz w:val="24"/>
          <w:szCs w:val="24"/>
        </w:rPr>
        <w:t xml:space="preserve"> астам төмендейтінін білдіреді: 65+ жастағы 1 адамға шаққанда еңбекке қабілетті жастағы 3,42 адам ғана </w:t>
      </w:r>
      <w:r w:rsidRPr="00EA2A70">
        <w:rPr>
          <w:rFonts w:ascii="Times New Roman" w:hAnsi="Times New Roman"/>
          <w:color w:val="000000" w:themeColor="text1"/>
          <w:sz w:val="24"/>
          <w:szCs w:val="24"/>
          <w:lang w:val="kk-KZ"/>
        </w:rPr>
        <w:t>келеді</w:t>
      </w:r>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
    <w:p w14:paraId="5154BFC1"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3B4D37CA" w14:textId="77777777" w:rsidR="00EA2A70" w:rsidRPr="00EA2A70" w:rsidRDefault="00EA2A70" w:rsidP="00EA2A70">
      <w:pPr>
        <w:spacing w:line="252" w:lineRule="auto"/>
        <w:ind w:firstLine="426"/>
        <w:jc w:val="center"/>
        <w:rPr>
          <w:rFonts w:ascii="Times New Roman" w:hAnsi="Times New Roman"/>
          <w:b/>
          <w:i/>
          <w:color w:val="000000" w:themeColor="text1"/>
          <w:sz w:val="24"/>
          <w:szCs w:val="24"/>
          <w:lang w:val="kk-KZ"/>
        </w:rPr>
      </w:pPr>
      <w:r w:rsidRPr="00EA2A70">
        <w:rPr>
          <w:rFonts w:ascii="Times New Roman" w:hAnsi="Times New Roman"/>
          <w:b/>
          <w:i/>
          <w:color w:val="000000" w:themeColor="text1"/>
          <w:sz w:val="24"/>
          <w:szCs w:val="24"/>
          <w:lang w:val="kk-KZ"/>
        </w:rPr>
        <w:t xml:space="preserve">Әлеуетті қолдау коэффициенті бойынша нақты дерек пен болжам  </w:t>
      </w:r>
    </w:p>
    <w:p w14:paraId="1C6210B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r w:rsidRPr="00EA2A70">
        <w:rPr>
          <w:rFonts w:ascii="Times New Roman" w:hAnsi="Times New Roman"/>
          <w:noProof/>
          <w:color w:val="000000" w:themeColor="text1"/>
          <w:sz w:val="24"/>
          <w:szCs w:val="24"/>
          <w:lang w:eastAsia="ru-RU"/>
        </w:rPr>
        <w:drawing>
          <wp:inline distT="0" distB="0" distL="0" distR="0" wp14:anchorId="53B6E296" wp14:editId="2A1F706E">
            <wp:extent cx="4716145" cy="2203450"/>
            <wp:effectExtent l="0" t="0" r="8255" b="63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27BEC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04CFB08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b/>
          <w:color w:val="000000" w:themeColor="text1"/>
          <w:sz w:val="28"/>
          <w:szCs w:val="28"/>
        </w:rPr>
        <w:tab/>
      </w:r>
      <w:r w:rsidRPr="00EA2A70">
        <w:rPr>
          <w:rFonts w:ascii="Times New Roman" w:hAnsi="Times New Roman"/>
          <w:color w:val="000000" w:themeColor="text1"/>
          <w:sz w:val="24"/>
          <w:szCs w:val="24"/>
        </w:rPr>
        <w:t xml:space="preserve">Осылайша, </w:t>
      </w:r>
      <w:r w:rsidRPr="00EA2A70">
        <w:rPr>
          <w:rFonts w:ascii="Times New Roman" w:hAnsi="Times New Roman"/>
          <w:color w:val="000000" w:themeColor="text1"/>
          <w:sz w:val="24"/>
          <w:szCs w:val="24"/>
          <w:lang w:val="kk-KZ"/>
        </w:rPr>
        <w:t xml:space="preserve">бүкіл </w:t>
      </w:r>
      <w:r w:rsidRPr="00EA2A70">
        <w:rPr>
          <w:rFonts w:ascii="Times New Roman" w:hAnsi="Times New Roman"/>
          <w:color w:val="000000" w:themeColor="text1"/>
          <w:sz w:val="24"/>
          <w:szCs w:val="24"/>
        </w:rPr>
        <w:t xml:space="preserve">әлемдегідей, Қазақстандағы демографиялық өзгерістер де ел бюджетіне түсетін әлеуметтік жүктемені күшейтетін болады. Мұндай жағдайда жинақтаушы зейнетақы жүйесінің маңызы арта түседі. Бұл жүйеде болашақ зейнетақы жұмыскер мен жұмыс берушінің жарналары есебінен қалыптастырылады, соның нәтижесінде бюджетке ұзақ мерзімді кейінге қалдырылған міндеттемелер жүктелмейді, зейнетақы жүйесінің </w:t>
      </w:r>
      <w:r w:rsidRPr="00EA2A70">
        <w:rPr>
          <w:rFonts w:ascii="Times New Roman" w:hAnsi="Times New Roman"/>
          <w:b/>
          <w:color w:val="000000" w:themeColor="text1"/>
          <w:sz w:val="24"/>
          <w:szCs w:val="24"/>
        </w:rPr>
        <w:t xml:space="preserve">теңгерімділігі мен қаржылық тұрақтылығы </w:t>
      </w:r>
      <w:r w:rsidRPr="00EA2A70">
        <w:rPr>
          <w:rFonts w:ascii="Times New Roman" w:hAnsi="Times New Roman"/>
          <w:color w:val="000000" w:themeColor="text1"/>
          <w:sz w:val="24"/>
          <w:szCs w:val="24"/>
        </w:rPr>
        <w:t xml:space="preserve">қамтамасыз етіледі және оның </w:t>
      </w:r>
      <w:r w:rsidRPr="00EA2A70">
        <w:rPr>
          <w:rFonts w:ascii="Times New Roman" w:hAnsi="Times New Roman"/>
          <w:b/>
          <w:color w:val="000000" w:themeColor="text1"/>
          <w:sz w:val="24"/>
          <w:szCs w:val="24"/>
        </w:rPr>
        <w:t>демографиялық факторларға тәуелділігі</w:t>
      </w:r>
      <w:r w:rsidRPr="00EA2A70">
        <w:rPr>
          <w:rFonts w:ascii="Times New Roman" w:hAnsi="Times New Roman"/>
          <w:color w:val="000000" w:themeColor="text1"/>
          <w:sz w:val="24"/>
          <w:szCs w:val="24"/>
        </w:rPr>
        <w:t xml:space="preserve"> төмендейді.</w:t>
      </w:r>
    </w:p>
    <w:p w14:paraId="2EB37D1D"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36D38E1D" w14:textId="77777777" w:rsidR="00EA2A70" w:rsidRPr="00EA2A70" w:rsidRDefault="00EA2A70" w:rsidP="00EA2A70">
      <w:pPr>
        <w:tabs>
          <w:tab w:val="left" w:pos="651"/>
        </w:tabs>
        <w:spacing w:after="0" w:line="240" w:lineRule="auto"/>
        <w:ind w:firstLine="567"/>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Демографиялық өзгерістер жағдайындағы жеке зейнетақыны жоспарлау</w:t>
      </w:r>
    </w:p>
    <w:p w14:paraId="6CFFBA6F"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Демографиялық өзгерістер (халықтың қартаюы, өмір сүру ұзақтығының артуы, бала туу деңгейінің төмендеуі) жағдайында жеке зейнетақыны жоспарлаудың рөлі артып келеді.</w:t>
      </w:r>
    </w:p>
    <w:p w14:paraId="29A0349A"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Жинақтаушы зейнетақы жүйесі азаматтарға тұрақты жарналар мен инвестициялық </w:t>
      </w:r>
      <w:r w:rsidRPr="00EA2A70">
        <w:rPr>
          <w:rFonts w:ascii="Times New Roman" w:hAnsi="Times New Roman"/>
          <w:color w:val="000000" w:themeColor="text1"/>
          <w:sz w:val="24"/>
          <w:szCs w:val="24"/>
          <w:lang w:val="kk-KZ"/>
        </w:rPr>
        <w:t xml:space="preserve">кіріс </w:t>
      </w:r>
      <w:r w:rsidRPr="00EA2A70">
        <w:rPr>
          <w:rFonts w:ascii="Times New Roman" w:hAnsi="Times New Roman"/>
          <w:color w:val="000000" w:themeColor="text1"/>
          <w:sz w:val="24"/>
          <w:szCs w:val="24"/>
        </w:rPr>
        <w:t xml:space="preserve">есебінен өздерінің болашақ зейнетақы </w:t>
      </w:r>
      <w:r w:rsidRPr="00EA2A70">
        <w:rPr>
          <w:rFonts w:ascii="Times New Roman" w:hAnsi="Times New Roman"/>
          <w:color w:val="000000" w:themeColor="text1"/>
          <w:sz w:val="24"/>
          <w:szCs w:val="24"/>
          <w:lang w:val="kk-KZ"/>
        </w:rPr>
        <w:t>түріндегі табыстарына</w:t>
      </w:r>
      <w:r w:rsidRPr="00EA2A70">
        <w:rPr>
          <w:rFonts w:ascii="Times New Roman" w:hAnsi="Times New Roman"/>
          <w:color w:val="000000" w:themeColor="text1"/>
          <w:sz w:val="24"/>
          <w:szCs w:val="24"/>
        </w:rPr>
        <w:t xml:space="preserve"> өз бетінше ықпал етуге мүмкіндік береді.</w:t>
      </w:r>
    </w:p>
    <w:p w14:paraId="020ED097"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lastRenderedPageBreak/>
        <w:t xml:space="preserve">2026 жылғы 7 қыркүйектен бастап күшіне енетін Қазақстан Республикасының Әлеуметтік кодексіне енгізілген өзгерістер зейнетақы жинақтарын басқарудың қосымша мүмкіндіктерін ұсынады. БЖЗҚ салымшылары өздерінің зейнетақы жинақтарының </w:t>
      </w:r>
      <w:r w:rsidRPr="00EA2A70">
        <w:rPr>
          <w:rFonts w:ascii="Times New Roman" w:hAnsi="Times New Roman"/>
          <w:b/>
          <w:color w:val="000000" w:themeColor="text1"/>
          <w:sz w:val="24"/>
          <w:szCs w:val="24"/>
        </w:rPr>
        <w:t>100%-ына</w:t>
      </w:r>
      <w:r w:rsidRPr="00EA2A70">
        <w:rPr>
          <w:rFonts w:ascii="Times New Roman" w:hAnsi="Times New Roman"/>
          <w:color w:val="000000" w:themeColor="text1"/>
          <w:sz w:val="24"/>
          <w:szCs w:val="24"/>
        </w:rPr>
        <w:t xml:space="preserve"> дейін инвестициялық портфельді басқарушыларға (ИПБ) сенімгерлік басқаруға бере алады. Бұдан басқа, әрбір ИПБ тәуекел деңгейі, күтілетін кірістілігі және инвестициялар құрылымы бойынша ерекшеленетін </w:t>
      </w:r>
      <w:r w:rsidRPr="00EA2A70">
        <w:rPr>
          <w:rFonts w:ascii="Times New Roman" w:hAnsi="Times New Roman"/>
          <w:b/>
          <w:color w:val="000000" w:themeColor="text1"/>
          <w:sz w:val="24"/>
          <w:szCs w:val="24"/>
        </w:rPr>
        <w:t>үш инвестициялық портфельге дейін</w:t>
      </w:r>
      <w:r w:rsidRPr="00EA2A70">
        <w:rPr>
          <w:rFonts w:ascii="Times New Roman" w:hAnsi="Times New Roman"/>
          <w:color w:val="000000" w:themeColor="text1"/>
          <w:sz w:val="24"/>
          <w:szCs w:val="24"/>
        </w:rPr>
        <w:t xml:space="preserve"> (консервативті, қалыпты және тәуекелі</w:t>
      </w:r>
      <w:r w:rsidRPr="00EA2A70">
        <w:rPr>
          <w:rFonts w:ascii="Times New Roman" w:hAnsi="Times New Roman"/>
          <w:color w:val="000000" w:themeColor="text1"/>
          <w:sz w:val="24"/>
          <w:szCs w:val="24"/>
          <w:lang w:val="kk-KZ"/>
        </w:rPr>
        <w:t xml:space="preserve"> жоғары</w:t>
      </w:r>
      <w:r w:rsidRPr="00EA2A70">
        <w:rPr>
          <w:rFonts w:ascii="Times New Roman" w:hAnsi="Times New Roman"/>
          <w:color w:val="000000" w:themeColor="text1"/>
          <w:sz w:val="24"/>
          <w:szCs w:val="24"/>
        </w:rPr>
        <w:t>) ұсына алады. Бұл салымшыларға өздерінің қаржылық мақсаттарына сәйкес келетін инвестициялық стратегияны таңдауға мүмкіндік береді.</w:t>
      </w:r>
    </w:p>
    <w:p w14:paraId="0D64DFC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ҚРҰБ мен ИПБ-ның инвестициялау нәтижелері туралы толық ақпаратты </w:t>
      </w:r>
      <w:r w:rsidRPr="00EA2A70">
        <w:rPr>
          <w:rFonts w:ascii="Times New Roman" w:hAnsi="Times New Roman"/>
          <w:b/>
          <w:color w:val="000000" w:themeColor="text1"/>
          <w:sz w:val="24"/>
          <w:szCs w:val="24"/>
        </w:rPr>
        <w:t>БЖЗҚ-ның invest.enpf.kz арнайы порталынан</w:t>
      </w:r>
      <w:r w:rsidRPr="00EA2A70">
        <w:rPr>
          <w:rFonts w:ascii="Times New Roman" w:hAnsi="Times New Roman"/>
          <w:color w:val="000000" w:themeColor="text1"/>
          <w:sz w:val="24"/>
          <w:szCs w:val="24"/>
        </w:rPr>
        <w:t xml:space="preserve"> алуға болады. Зейнетақыны болжау және жоспарлау үшін БЖЗҚ екі ыңғайлы сервис – «Зейнетақы калькуляторы» және «</w:t>
      </w:r>
      <w:r w:rsidRPr="00EA2A70">
        <w:rPr>
          <w:rFonts w:ascii="Times New Roman" w:hAnsi="Times New Roman"/>
          <w:color w:val="000000" w:themeColor="text1"/>
          <w:sz w:val="24"/>
          <w:szCs w:val="24"/>
          <w:lang w:val="kk-KZ"/>
        </w:rPr>
        <w:t>Дербес</w:t>
      </w:r>
      <w:r w:rsidRPr="00EA2A70">
        <w:rPr>
          <w:rFonts w:ascii="Times New Roman" w:hAnsi="Times New Roman"/>
          <w:color w:val="000000" w:themeColor="text1"/>
          <w:sz w:val="24"/>
          <w:szCs w:val="24"/>
        </w:rPr>
        <w:t xml:space="preserve"> зейнетақы жоспарын» ұсынады. Олар БЖЗҚ сайтында және мобильді қосымшасында қолжетімді. Осы сервистердің көмегімен болашақ зейнетақы мөлшерін есептеп, </w:t>
      </w:r>
      <w:r w:rsidRPr="00EA2A70">
        <w:rPr>
          <w:rFonts w:ascii="Times New Roman" w:hAnsi="Times New Roman"/>
          <w:color w:val="000000" w:themeColor="text1"/>
          <w:sz w:val="24"/>
          <w:szCs w:val="24"/>
          <w:lang w:val="kk-KZ"/>
        </w:rPr>
        <w:t>келешек</w:t>
      </w:r>
      <w:r w:rsidRPr="00EA2A70">
        <w:rPr>
          <w:rFonts w:ascii="Times New Roman" w:hAnsi="Times New Roman"/>
          <w:color w:val="000000" w:themeColor="text1"/>
          <w:sz w:val="24"/>
          <w:szCs w:val="24"/>
        </w:rPr>
        <w:t xml:space="preserve"> кіріс</w:t>
      </w:r>
      <w:r w:rsidRPr="00EA2A70">
        <w:rPr>
          <w:rFonts w:ascii="Times New Roman" w:hAnsi="Times New Roman"/>
          <w:color w:val="000000" w:themeColor="text1"/>
          <w:sz w:val="24"/>
          <w:szCs w:val="24"/>
          <w:lang w:val="kk-KZ"/>
        </w:rPr>
        <w:t>ті</w:t>
      </w:r>
      <w:r w:rsidRPr="00EA2A70">
        <w:rPr>
          <w:rFonts w:ascii="Times New Roman" w:hAnsi="Times New Roman"/>
          <w:color w:val="000000" w:themeColor="text1"/>
          <w:sz w:val="24"/>
          <w:szCs w:val="24"/>
        </w:rPr>
        <w:t xml:space="preserve"> арттырудың ықтимал жолдарын анықтауға болады.</w:t>
      </w:r>
    </w:p>
    <w:p w14:paraId="71E90A70"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1442704A" w14:textId="77777777" w:rsidR="00EA2A70" w:rsidRPr="00EA2A70" w:rsidRDefault="00EA2A70" w:rsidP="00EA2A70">
      <w:pPr>
        <w:spacing w:after="0" w:line="240" w:lineRule="auto"/>
        <w:jc w:val="both"/>
        <w:rPr>
          <w:rFonts w:ascii="Times New Roman" w:hAnsi="Times New Roman"/>
          <w:color w:val="000000"/>
          <w:sz w:val="20"/>
          <w:szCs w:val="20"/>
          <w:lang w:val="kk-KZ"/>
        </w:rPr>
      </w:pPr>
      <w:r w:rsidRPr="00EA2A70">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A2A70">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0" w:history="1">
        <w:r w:rsidRPr="00EA2A70">
          <w:rPr>
            <w:rFonts w:ascii="Times New Roman" w:hAnsi="Times New Roman"/>
            <w:i/>
            <w:color w:val="001CAC"/>
            <w:sz w:val="20"/>
            <w:szCs w:val="20"/>
            <w:u w:val="single"/>
            <w:lang w:val="kk-KZ" w:eastAsia="ru-RU" w:bidi="hi-IN"/>
          </w:rPr>
          <w:t>www.enpf.kz</w:t>
        </w:r>
      </w:hyperlink>
      <w:r w:rsidRPr="00EA2A70">
        <w:rPr>
          <w:rFonts w:ascii="Times New Roman" w:hAnsi="Times New Roman"/>
          <w:i/>
          <w:color w:val="000000"/>
          <w:sz w:val="20"/>
          <w:szCs w:val="20"/>
          <w:lang w:val="kk-KZ" w:eastAsia="ru-RU" w:bidi="hi-IN"/>
        </w:rPr>
        <w:t xml:space="preserve"> сайтында).</w:t>
      </w:r>
      <w:r w:rsidRPr="00EA2A70">
        <w:rPr>
          <w:rFonts w:ascii="Times New Roman" w:hAnsi="Times New Roman"/>
          <w:color w:val="000000"/>
          <w:sz w:val="20"/>
          <w:szCs w:val="20"/>
          <w:lang w:val="kk-KZ"/>
        </w:rPr>
        <w:t xml:space="preserve"> </w:t>
      </w:r>
    </w:p>
    <w:p w14:paraId="53DA7543"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lang w:val="kk-KZ"/>
        </w:rPr>
      </w:pPr>
    </w:p>
    <w:p w14:paraId="19FB3452" w14:textId="5512DC65"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F9DE7C8" w14:textId="77D1BC5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43464C0" w14:textId="2909E44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7B8853E8" w14:textId="77777777" w:rsidR="007C66EA" w:rsidRP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14A6F984" w14:textId="77777777" w:rsidR="00AA6845" w:rsidRPr="007C66EA" w:rsidRDefault="00AA6845" w:rsidP="006113CC">
      <w:pPr>
        <w:spacing w:after="0" w:line="240" w:lineRule="auto"/>
        <w:jc w:val="center"/>
        <w:rPr>
          <w:rFonts w:ascii="Times New Roman" w:hAnsi="Times New Roman"/>
          <w:b/>
          <w:color w:val="000000" w:themeColor="text1"/>
          <w:sz w:val="28"/>
          <w:szCs w:val="28"/>
          <w:lang w:val="kk-KZ"/>
        </w:rPr>
      </w:pPr>
    </w:p>
    <w:sectPr w:rsidR="00AA6845" w:rsidRPr="007C66EA"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301794" w14:textId="77777777" w:rsidR="002E357A" w:rsidRDefault="002E357A" w:rsidP="005E4B51">
      <w:pPr>
        <w:spacing w:after="0" w:line="240" w:lineRule="auto"/>
      </w:pPr>
      <w:r>
        <w:separator/>
      </w:r>
    </w:p>
  </w:endnote>
  <w:endnote w:type="continuationSeparator" w:id="0">
    <w:p w14:paraId="4A6E8AF8" w14:textId="77777777" w:rsidR="002E357A" w:rsidRDefault="002E357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2D690F91" w:rsidR="00464AE8" w:rsidRPr="007047FF" w:rsidRDefault="007047FF"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07C8D" w14:textId="77777777" w:rsidR="002E357A" w:rsidRDefault="002E357A" w:rsidP="005E4B51">
      <w:pPr>
        <w:spacing w:after="0" w:line="240" w:lineRule="auto"/>
      </w:pPr>
      <w:r>
        <w:separator/>
      </w:r>
    </w:p>
  </w:footnote>
  <w:footnote w:type="continuationSeparator" w:id="0">
    <w:p w14:paraId="04791B94" w14:textId="77777777" w:rsidR="002E357A" w:rsidRDefault="002E357A" w:rsidP="005E4B51">
      <w:pPr>
        <w:spacing w:after="0" w:line="240" w:lineRule="auto"/>
      </w:pPr>
      <w:r>
        <w:continuationSeparator/>
      </w:r>
    </w:p>
  </w:footnote>
  <w:footnote w:id="1">
    <w:p w14:paraId="132900EF" w14:textId="77777777" w:rsidR="00EA2A70" w:rsidRPr="00427986" w:rsidRDefault="00EA2A70" w:rsidP="00EA2A70">
      <w:pPr>
        <w:pStyle w:val="af5"/>
      </w:pPr>
      <w:r>
        <w:rPr>
          <w:rStyle w:val="af6"/>
        </w:rPr>
        <w:footnoteRef/>
      </w:r>
      <w:r>
        <w:t xml:space="preserve"> Қазақстан Республикасы Стратегиялық жоспарлау және реформалар агенттігі Ұлттық статистика бюросының (ҚР СЖРА ҰСБ) деректері бойынша</w:t>
      </w:r>
    </w:p>
  </w:footnote>
  <w:footnote w:id="2">
    <w:p w14:paraId="2715838D" w14:textId="77777777" w:rsidR="00EA2A70" w:rsidRPr="00427986" w:rsidRDefault="00EA2A70" w:rsidP="00EA2A70">
      <w:pPr>
        <w:pStyle w:val="af5"/>
      </w:pPr>
      <w:r>
        <w:rPr>
          <w:rStyle w:val="af6"/>
        </w:rPr>
        <w:footnoteRef/>
      </w:r>
      <w:r>
        <w:t xml:space="preserve"> Халықтың өлім-жітім деңгейі қарастырылып отырған жылғыдай сақталған жағдайда, адамның орташа өмір сүру ұзақтығының күтілетін мәні</w:t>
      </w:r>
    </w:p>
  </w:footnote>
  <w:footnote w:id="3">
    <w:p w14:paraId="7F6490EF" w14:textId="77777777" w:rsidR="00EA2A70" w:rsidRPr="00D60C46" w:rsidRDefault="00EA2A70" w:rsidP="00EA2A70">
      <w:pPr>
        <w:pStyle w:val="af5"/>
      </w:pPr>
      <w:r>
        <w:rPr>
          <w:rStyle w:val="af6"/>
        </w:rPr>
        <w:footnoteRef/>
      </w:r>
      <w:r>
        <w:t xml:space="preserve"> Белгілі бір кезең ішінде қандай да бір аумаққа келгендер саны мен одан кеткендер (қоныс аударғандар) санының арасындағы айырмашылық.</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4599F82"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047FF">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0E9BF466" w:rsidR="00464AE8" w:rsidRPr="001729C9" w:rsidRDefault="007047F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07694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7694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7694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07694C">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7694C"/>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57A"/>
    <w:rsid w:val="002E36B6"/>
    <w:rsid w:val="002E4850"/>
    <w:rsid w:val="002E690E"/>
    <w:rsid w:val="002E691C"/>
    <w:rsid w:val="002F096B"/>
    <w:rsid w:val="002F1A10"/>
    <w:rsid w:val="002F3022"/>
    <w:rsid w:val="002F378C"/>
    <w:rsid w:val="002F39DF"/>
    <w:rsid w:val="002F658C"/>
    <w:rsid w:val="002F660E"/>
    <w:rsid w:val="002F77C8"/>
    <w:rsid w:val="00300D07"/>
    <w:rsid w:val="0030181F"/>
    <w:rsid w:val="00301A0F"/>
    <w:rsid w:val="0030300E"/>
    <w:rsid w:val="0030377A"/>
    <w:rsid w:val="00304300"/>
    <w:rsid w:val="00304E60"/>
    <w:rsid w:val="003064A9"/>
    <w:rsid w:val="00307356"/>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4D31"/>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906"/>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6A54"/>
    <w:rsid w:val="003F792C"/>
    <w:rsid w:val="004026A9"/>
    <w:rsid w:val="00404EE5"/>
    <w:rsid w:val="00405BEB"/>
    <w:rsid w:val="00407302"/>
    <w:rsid w:val="004075BB"/>
    <w:rsid w:val="00411740"/>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8A9"/>
    <w:rsid w:val="00476FBF"/>
    <w:rsid w:val="00477F66"/>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9C7"/>
    <w:rsid w:val="00506C5D"/>
    <w:rsid w:val="00514A67"/>
    <w:rsid w:val="00520C25"/>
    <w:rsid w:val="00522709"/>
    <w:rsid w:val="0052270B"/>
    <w:rsid w:val="0052305A"/>
    <w:rsid w:val="00523274"/>
    <w:rsid w:val="005237A7"/>
    <w:rsid w:val="005326CB"/>
    <w:rsid w:val="00533B09"/>
    <w:rsid w:val="00533FEE"/>
    <w:rsid w:val="00535770"/>
    <w:rsid w:val="005358F3"/>
    <w:rsid w:val="005367C2"/>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E81"/>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033E"/>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0AA5"/>
    <w:rsid w:val="006A1CB9"/>
    <w:rsid w:val="006A30CB"/>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37BC"/>
    <w:rsid w:val="006D410F"/>
    <w:rsid w:val="006D4AE3"/>
    <w:rsid w:val="006D5A07"/>
    <w:rsid w:val="006D6622"/>
    <w:rsid w:val="006E6E25"/>
    <w:rsid w:val="006E714C"/>
    <w:rsid w:val="006F1583"/>
    <w:rsid w:val="006F5474"/>
    <w:rsid w:val="006F5498"/>
    <w:rsid w:val="006F5EA6"/>
    <w:rsid w:val="006F6A98"/>
    <w:rsid w:val="006F7120"/>
    <w:rsid w:val="007047FF"/>
    <w:rsid w:val="0070633C"/>
    <w:rsid w:val="00707AEB"/>
    <w:rsid w:val="00707EAF"/>
    <w:rsid w:val="007113F8"/>
    <w:rsid w:val="00716C3F"/>
    <w:rsid w:val="00716C96"/>
    <w:rsid w:val="00716CB3"/>
    <w:rsid w:val="00717807"/>
    <w:rsid w:val="007178DD"/>
    <w:rsid w:val="0072435D"/>
    <w:rsid w:val="00725780"/>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87FDB"/>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6EA"/>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055E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7699"/>
    <w:rsid w:val="00877FA1"/>
    <w:rsid w:val="0088046B"/>
    <w:rsid w:val="008811F0"/>
    <w:rsid w:val="00881E7E"/>
    <w:rsid w:val="00883723"/>
    <w:rsid w:val="00883B12"/>
    <w:rsid w:val="008842FA"/>
    <w:rsid w:val="00885AE5"/>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0C6D"/>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2E40"/>
    <w:rsid w:val="009837E6"/>
    <w:rsid w:val="0098553F"/>
    <w:rsid w:val="00985F4A"/>
    <w:rsid w:val="00986108"/>
    <w:rsid w:val="009865BD"/>
    <w:rsid w:val="0099192B"/>
    <w:rsid w:val="00991DCB"/>
    <w:rsid w:val="009952FA"/>
    <w:rsid w:val="00995674"/>
    <w:rsid w:val="0099571B"/>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C7935"/>
    <w:rsid w:val="009D02AF"/>
    <w:rsid w:val="009D16CE"/>
    <w:rsid w:val="009D3492"/>
    <w:rsid w:val="009D5384"/>
    <w:rsid w:val="009D543E"/>
    <w:rsid w:val="009E0841"/>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A684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2B72"/>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5DFE"/>
    <w:rsid w:val="00B776E3"/>
    <w:rsid w:val="00B81779"/>
    <w:rsid w:val="00B86B6B"/>
    <w:rsid w:val="00B8794C"/>
    <w:rsid w:val="00B92D09"/>
    <w:rsid w:val="00B92EAC"/>
    <w:rsid w:val="00B92F99"/>
    <w:rsid w:val="00B92FFE"/>
    <w:rsid w:val="00BA04FF"/>
    <w:rsid w:val="00BA6D7B"/>
    <w:rsid w:val="00BA7D83"/>
    <w:rsid w:val="00BB74DA"/>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665CC"/>
    <w:rsid w:val="00C70B46"/>
    <w:rsid w:val="00C721FE"/>
    <w:rsid w:val="00C73DBB"/>
    <w:rsid w:val="00C7548F"/>
    <w:rsid w:val="00C75970"/>
    <w:rsid w:val="00C76C82"/>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0641C"/>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6A21"/>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55A0"/>
    <w:rsid w:val="00E27055"/>
    <w:rsid w:val="00E27113"/>
    <w:rsid w:val="00E30572"/>
    <w:rsid w:val="00E310B2"/>
    <w:rsid w:val="00E323ED"/>
    <w:rsid w:val="00E325F1"/>
    <w:rsid w:val="00E4049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2A70"/>
    <w:rsid w:val="00EA383D"/>
    <w:rsid w:val="00EA4B5E"/>
    <w:rsid w:val="00EA642F"/>
    <w:rsid w:val="00EA6634"/>
    <w:rsid w:val="00EB009E"/>
    <w:rsid w:val="00EB1110"/>
    <w:rsid w:val="00EB1C0D"/>
    <w:rsid w:val="00EB1CC6"/>
    <w:rsid w:val="00EB3346"/>
    <w:rsid w:val="00EB58C6"/>
    <w:rsid w:val="00EB685D"/>
    <w:rsid w:val="00EC10ED"/>
    <w:rsid w:val="00EC12E5"/>
    <w:rsid w:val="00EC2BD4"/>
    <w:rsid w:val="00EC47C0"/>
    <w:rsid w:val="00EC60A4"/>
    <w:rsid w:val="00EC66B4"/>
    <w:rsid w:val="00EC7A8E"/>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66D0"/>
    <w:rsid w:val="00FD72C0"/>
    <w:rsid w:val="00FE0CDF"/>
    <w:rsid w:val="00FF2ACF"/>
    <w:rsid w:val="00FF49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845"/>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717246750">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19944337">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dynamics_new'!$AE$5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dynamics_new'!$AE$6:$AE$58</c:f>
              <c:numCache>
                <c:formatCode>General</c:formatCode>
                <c:ptCount val="53"/>
                <c:pt idx="27" formatCode="0.0%">
                  <c:v>0.14299999999999999</c:v>
                </c:pt>
                <c:pt idx="28" formatCode="0.0%">
                  <c:v>0.14494691626456396</c:v>
                </c:pt>
                <c:pt idx="29" formatCode="0.0%">
                  <c:v>0.14701391217111986</c:v>
                </c:pt>
                <c:pt idx="30" formatCode="0.0%">
                  <c:v>0.14900258820064166</c:v>
                </c:pt>
                <c:pt idx="31" formatCode="0.0%">
                  <c:v>0.15082756298221317</c:v>
                </c:pt>
                <c:pt idx="32" formatCode="0.0%">
                  <c:v>0.15270666367377592</c:v>
                </c:pt>
                <c:pt idx="33" formatCode="0.0%">
                  <c:v>0.1547894286903731</c:v>
                </c:pt>
                <c:pt idx="34" formatCode="0.0%">
                  <c:v>0.15649900634719924</c:v>
                </c:pt>
                <c:pt idx="35" formatCode="0.0%">
                  <c:v>0.15822097468172713</c:v>
                </c:pt>
                <c:pt idx="36" formatCode="0.0%">
                  <c:v>0.15987562272752007</c:v>
                </c:pt>
                <c:pt idx="37" formatCode="0.0%">
                  <c:v>0.1614590474496162</c:v>
                </c:pt>
                <c:pt idx="38" formatCode="0.0%">
                  <c:v>0.16302344568327268</c:v>
                </c:pt>
                <c:pt idx="39" formatCode="0.0%">
                  <c:v>0.16442253261230047</c:v>
                </c:pt>
                <c:pt idx="40" formatCode="0.0%">
                  <c:v>0.16574715856729577</c:v>
                </c:pt>
                <c:pt idx="41" formatCode="0.0%">
                  <c:v>0.1669658901133188</c:v>
                </c:pt>
                <c:pt idx="42" formatCode="0.0%">
                  <c:v>0.16792507660861647</c:v>
                </c:pt>
                <c:pt idx="43" formatCode="0.0%">
                  <c:v>0.16903690550101552</c:v>
                </c:pt>
                <c:pt idx="44" formatCode="0.0%">
                  <c:v>0.1702680553223985</c:v>
                </c:pt>
                <c:pt idx="45" formatCode="0.0%">
                  <c:v>0.17162522770536412</c:v>
                </c:pt>
                <c:pt idx="46" formatCode="0.0%">
                  <c:v>0.17343890610507132</c:v>
                </c:pt>
                <c:pt idx="47" formatCode="0.0%">
                  <c:v>0.17541368248329883</c:v>
                </c:pt>
                <c:pt idx="48" formatCode="0.0%">
                  <c:v>0.1778045405722308</c:v>
                </c:pt>
                <c:pt idx="49" formatCode="0.0%">
                  <c:v>0.18035794560973045</c:v>
                </c:pt>
                <c:pt idx="50" formatCode="0.0%">
                  <c:v>0.18281591267928987</c:v>
                </c:pt>
                <c:pt idx="51" formatCode="0.0%">
                  <c:v>0.18477652169876105</c:v>
                </c:pt>
                <c:pt idx="52" formatCode="0.0%">
                  <c:v>0.18640251064500188</c:v>
                </c:pt>
              </c:numCache>
            </c:numRef>
          </c:val>
          <c:extLst>
            <c:ext xmlns:c16="http://schemas.microsoft.com/office/drawing/2014/chart" uri="{C3380CC4-5D6E-409C-BE32-E72D297353CC}">
              <c16:uniqueId val="{00000000-8F7F-4871-91AF-00EC2BAA9F10}"/>
            </c:ext>
          </c:extLst>
        </c:ser>
        <c:ser>
          <c:idx val="5"/>
          <c:order val="5"/>
          <c:tx>
            <c:strRef>
              <c:f>'prop dynamics_new'!$AD$5</c:f>
              <c:strCache>
                <c:ptCount val="1"/>
                <c:pt idx="0">
                  <c:v>Верх. гран. довер. интервала</c:v>
                </c:pt>
              </c:strCache>
            </c:strRef>
          </c:tx>
          <c:spPr>
            <a:pattFill prst="pct25">
              <a:fgClr>
                <a:srgbClr val="00864F"/>
              </a:fgClr>
              <a:bgClr>
                <a:schemeClr val="bg1"/>
              </a:bgClr>
            </a:pattFill>
            <a:ln w="25400">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dynamics_new'!$AF$6:$AF$58</c:f>
              <c:numCache>
                <c:formatCode>General</c:formatCode>
                <c:ptCount val="53"/>
                <c:pt idx="27" formatCode="0.0%">
                  <c:v>0</c:v>
                </c:pt>
                <c:pt idx="28" formatCode="0.0%">
                  <c:v>1.7503453822809156E-4</c:v>
                </c:pt>
                <c:pt idx="29" formatCode="0.0%">
                  <c:v>2.4767790521629252E-4</c:v>
                </c:pt>
                <c:pt idx="30" formatCode="0.0%">
                  <c:v>3.0582926986466585E-4</c:v>
                </c:pt>
                <c:pt idx="31" formatCode="0.0%">
                  <c:v>3.6042879292563779E-4</c:v>
                </c:pt>
                <c:pt idx="32" formatCode="0.0%">
                  <c:v>4.1594088397417517E-4</c:v>
                </c:pt>
                <c:pt idx="33" formatCode="0.0%">
                  <c:v>4.7443439549782473E-4</c:v>
                </c:pt>
                <c:pt idx="34" formatCode="0.0%">
                  <c:v>5.4459684302554656E-4</c:v>
                </c:pt>
                <c:pt idx="35" formatCode="0.0%">
                  <c:v>6.2577823327775173E-4</c:v>
                </c:pt>
                <c:pt idx="36" formatCode="0.0%">
                  <c:v>7.2189823821389165E-4</c:v>
                </c:pt>
                <c:pt idx="37" formatCode="0.0%">
                  <c:v>8.3173085924959089E-4</c:v>
                </c:pt>
                <c:pt idx="38" formatCode="0.0%">
                  <c:v>9.5274567370862151E-4</c:v>
                </c:pt>
                <c:pt idx="39" formatCode="0.0%">
                  <c:v>1.0848490722610848E-3</c:v>
                </c:pt>
                <c:pt idx="40" formatCode="0.0%">
                  <c:v>1.2271194060544666E-3</c:v>
                </c:pt>
                <c:pt idx="41" formatCode="0.0%">
                  <c:v>1.3808429763064178E-3</c:v>
                </c:pt>
                <c:pt idx="42" formatCode="0.0%">
                  <c:v>1.5433050495630707E-3</c:v>
                </c:pt>
                <c:pt idx="43" formatCode="0.0%">
                  <c:v>1.7159434115509575E-3</c:v>
                </c:pt>
                <c:pt idx="44" formatCode="0.0%">
                  <c:v>1.8936333974329811E-3</c:v>
                </c:pt>
                <c:pt idx="45" formatCode="0.0%">
                  <c:v>2.0817863831697481E-3</c:v>
                </c:pt>
                <c:pt idx="46" formatCode="0.0%">
                  <c:v>2.2876761992933758E-3</c:v>
                </c:pt>
                <c:pt idx="47" formatCode="0.0%">
                  <c:v>2.4971352320803386E-3</c:v>
                </c:pt>
                <c:pt idx="48" formatCode="0.0%">
                  <c:v>2.7232722852704172E-3</c:v>
                </c:pt>
                <c:pt idx="49" formatCode="0.0%">
                  <c:v>2.9580239217191218E-3</c:v>
                </c:pt>
                <c:pt idx="50" formatCode="0.0%">
                  <c:v>3.1991155320462705E-3</c:v>
                </c:pt>
                <c:pt idx="51" formatCode="0.0%">
                  <c:v>3.4380231190219157E-3</c:v>
                </c:pt>
                <c:pt idx="52" formatCode="0.0%">
                  <c:v>3.6671294192122672E-3</c:v>
                </c:pt>
              </c:numCache>
            </c:numRef>
          </c:val>
          <c:extLst>
            <c:ext xmlns:c16="http://schemas.microsoft.com/office/drawing/2014/chart" uri="{C3380CC4-5D6E-409C-BE32-E72D297353CC}">
              <c16:uniqueId val="{00000001-8F7F-4871-91AF-00EC2BAA9F10}"/>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dynamics_new'!$AB$4</c:f>
              <c:strCache>
                <c:ptCount val="1"/>
                <c:pt idx="0">
                  <c:v>Факт</c:v>
                </c:pt>
              </c:strCache>
            </c:strRef>
          </c:tx>
          <c:spPr>
            <a:ln w="19050" cap="rnd">
              <a:solidFill>
                <a:srgbClr val="DAAA00"/>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dynamics_new'!$AB$6:$AB$33</c:f>
              <c:numCache>
                <c:formatCode>0.0%</c:formatCode>
                <c:ptCount val="28"/>
                <c:pt idx="0">
                  <c:v>0.10625840190792916</c:v>
                </c:pt>
                <c:pt idx="1">
                  <c:v>0.10933232118529765</c:v>
                </c:pt>
                <c:pt idx="2">
                  <c:v>0.11125631575159041</c:v>
                </c:pt>
                <c:pt idx="3">
                  <c:v>0.11179337446575359</c:v>
                </c:pt>
                <c:pt idx="4">
                  <c:v>0.11096839226797199</c:v>
                </c:pt>
                <c:pt idx="5">
                  <c:v>0.10749458237465889</c:v>
                </c:pt>
                <c:pt idx="6">
                  <c:v>0.10376631360206098</c:v>
                </c:pt>
                <c:pt idx="7">
                  <c:v>0.10081586586392231</c:v>
                </c:pt>
                <c:pt idx="8">
                  <c:v>9.9758470515905889E-2</c:v>
                </c:pt>
                <c:pt idx="9">
                  <c:v>0.10016102488738084</c:v>
                </c:pt>
                <c:pt idx="10">
                  <c:v>0.10066185816213136</c:v>
                </c:pt>
                <c:pt idx="11">
                  <c:v>9.6858037950566786E-2</c:v>
                </c:pt>
                <c:pt idx="12">
                  <c:v>9.7997478781140152E-2</c:v>
                </c:pt>
                <c:pt idx="13">
                  <c:v>9.9397036702722E-2</c:v>
                </c:pt>
                <c:pt idx="14">
                  <c:v>0.10057609083591736</c:v>
                </c:pt>
                <c:pt idx="15">
                  <c:v>0.10196989446516627</c:v>
                </c:pt>
                <c:pt idx="16">
                  <c:v>0.10349140529420009</c:v>
                </c:pt>
                <c:pt idx="17">
                  <c:v>0.10559388460364677</c:v>
                </c:pt>
                <c:pt idx="18">
                  <c:v>0.1077437580843713</c:v>
                </c:pt>
                <c:pt idx="19">
                  <c:v>0.11016868087410944</c:v>
                </c:pt>
                <c:pt idx="20">
                  <c:v>0.11306542363563556</c:v>
                </c:pt>
                <c:pt idx="21">
                  <c:v>0.11640799112090429</c:v>
                </c:pt>
                <c:pt idx="22">
                  <c:v>0.1198483515717957</c:v>
                </c:pt>
                <c:pt idx="23">
                  <c:v>0.12296160417365835</c:v>
                </c:pt>
                <c:pt idx="24">
                  <c:v>0.12774346186016777</c:v>
                </c:pt>
                <c:pt idx="25">
                  <c:v>0.13606416582500749</c:v>
                </c:pt>
                <c:pt idx="26">
                  <c:v>0.13940010744747466</c:v>
                </c:pt>
                <c:pt idx="27" formatCode="0.00%">
                  <c:v>0.14299999999999999</c:v>
                </c:pt>
              </c:numCache>
            </c:numRef>
          </c:yVal>
          <c:smooth val="1"/>
          <c:extLst>
            <c:ext xmlns:c16="http://schemas.microsoft.com/office/drawing/2014/chart" uri="{C3380CC4-5D6E-409C-BE32-E72D297353CC}">
              <c16:uniqueId val="{00000002-8F7F-4871-91AF-00EC2BAA9F10}"/>
            </c:ext>
          </c:extLst>
        </c:ser>
        <c:ser>
          <c:idx val="2"/>
          <c:order val="1"/>
          <c:tx>
            <c:strRef>
              <c:f>'prop dynamics_new'!$AC$4</c:f>
              <c:strCache>
                <c:ptCount val="1"/>
                <c:pt idx="0">
                  <c:v>Прогноз ЕНПФ</c:v>
                </c:pt>
              </c:strCache>
            </c:strRef>
          </c:tx>
          <c:spPr>
            <a:ln w="19050" cap="rnd">
              <a:solidFill>
                <a:srgbClr val="00864F"/>
              </a:solidFill>
              <a:round/>
            </a:ln>
            <a:effectLst/>
          </c:spPr>
          <c:marker>
            <c:symbol val="none"/>
          </c:marker>
          <c:xVal>
            <c:numRef>
              <c:f>'prop dynamics_new'!$A$28:$A$58</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xVal>
          <c:yVal>
            <c:numRef>
              <c:f>'prop dynamics_new'!$AC$28:$AC$58</c:f>
              <c:numCache>
                <c:formatCode>General</c:formatCode>
                <c:ptCount val="31"/>
                <c:pt idx="5" formatCode="0.0%">
                  <c:v>0.14299999999999999</c:v>
                </c:pt>
                <c:pt idx="6" formatCode="0.0%">
                  <c:v>0.14503443353367801</c:v>
                </c:pt>
                <c:pt idx="7" formatCode="0.0%">
                  <c:v>0.14713775112372801</c:v>
                </c:pt>
                <c:pt idx="8" formatCode="0.0%">
                  <c:v>0.14915550283557399</c:v>
                </c:pt>
                <c:pt idx="9" formatCode="0.0%">
                  <c:v>0.15100777737867599</c:v>
                </c:pt>
                <c:pt idx="10" formatCode="0.0%">
                  <c:v>0.152914634115763</c:v>
                </c:pt>
                <c:pt idx="11" formatCode="0.0%">
                  <c:v>0.15502664588812201</c:v>
                </c:pt>
                <c:pt idx="12" formatCode="0.0%">
                  <c:v>0.15677130476871201</c:v>
                </c:pt>
                <c:pt idx="13" formatCode="0.0%">
                  <c:v>0.15853386379836601</c:v>
                </c:pt>
                <c:pt idx="14" formatCode="0.0%">
                  <c:v>0.16023657184662701</c:v>
                </c:pt>
                <c:pt idx="15" formatCode="0.0%">
                  <c:v>0.161874912879241</c:v>
                </c:pt>
                <c:pt idx="16" formatCode="0.0%">
                  <c:v>0.16349981852012699</c:v>
                </c:pt>
                <c:pt idx="17" formatCode="0.0%">
                  <c:v>0.16496495714843101</c:v>
                </c:pt>
                <c:pt idx="18" formatCode="0.0%">
                  <c:v>0.166360718270323</c:v>
                </c:pt>
                <c:pt idx="19" formatCode="0.0%">
                  <c:v>0.16765631160147201</c:v>
                </c:pt>
                <c:pt idx="20" formatCode="0.0%">
                  <c:v>0.168696729133398</c:v>
                </c:pt>
                <c:pt idx="21" formatCode="0.0%">
                  <c:v>0.169894877206791</c:v>
                </c:pt>
                <c:pt idx="22" formatCode="0.0%">
                  <c:v>0.17121487202111499</c:v>
                </c:pt>
                <c:pt idx="23" formatCode="0.0%">
                  <c:v>0.17266612089694899</c:v>
                </c:pt>
                <c:pt idx="24" formatCode="0.0%">
                  <c:v>0.174582744204718</c:v>
                </c:pt>
                <c:pt idx="25" formatCode="0.0%">
                  <c:v>0.176662250099339</c:v>
                </c:pt>
                <c:pt idx="26" formatCode="0.0%">
                  <c:v>0.17916617671486601</c:v>
                </c:pt>
                <c:pt idx="27" formatCode="0.0%">
                  <c:v>0.18183695757059001</c:v>
                </c:pt>
                <c:pt idx="28" formatCode="0.0%">
                  <c:v>0.18441547044531301</c:v>
                </c:pt>
                <c:pt idx="29" formatCode="0.0%">
                  <c:v>0.18649553325827201</c:v>
                </c:pt>
                <c:pt idx="30" formatCode="0.0%">
                  <c:v>0.18823607535460801</c:v>
                </c:pt>
              </c:numCache>
            </c:numRef>
          </c:yVal>
          <c:smooth val="1"/>
          <c:extLst>
            <c:ext xmlns:c16="http://schemas.microsoft.com/office/drawing/2014/chart" uri="{C3380CC4-5D6E-409C-BE32-E72D297353CC}">
              <c16:uniqueId val="{00000003-8F7F-4871-91AF-00EC2BAA9F10}"/>
            </c:ext>
          </c:extLst>
        </c:ser>
        <c:ser>
          <c:idx val="1"/>
          <c:order val="2"/>
          <c:tx>
            <c:strRef>
              <c:f>'prop dynamics_new'!$AD$5</c:f>
              <c:strCache>
                <c:ptCount val="1"/>
                <c:pt idx="0">
                  <c:v>Верх. гран. довер. интервала</c:v>
                </c:pt>
              </c:strCache>
            </c:strRef>
          </c:tx>
          <c:spPr>
            <a:ln w="9525" cap="rnd">
              <a:solidFill>
                <a:srgbClr val="00864F"/>
              </a:solidFill>
              <a:round/>
            </a:ln>
            <a:effectLst/>
          </c:spPr>
          <c:marker>
            <c:symbol val="none"/>
          </c:marker>
          <c:xVal>
            <c:numRef>
              <c:f>'prop dynamics_new'!$A$29:$A$58</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xVal>
          <c:yVal>
            <c:numRef>
              <c:f>'prop dynamics_new'!$AD$29:$AD$58</c:f>
              <c:numCache>
                <c:formatCode>General</c:formatCode>
                <c:ptCount val="30"/>
                <c:pt idx="4" formatCode="0.0%">
                  <c:v>0.14299999999999999</c:v>
                </c:pt>
                <c:pt idx="5" formatCode="0.0%">
                  <c:v>0.14512195080279205</c:v>
                </c:pt>
                <c:pt idx="6" formatCode="0.0%">
                  <c:v>0.14726159007633616</c:v>
                </c:pt>
                <c:pt idx="7" formatCode="0.0%">
                  <c:v>0.14930841747050633</c:v>
                </c:pt>
                <c:pt idx="8" formatCode="0.0%">
                  <c:v>0.15118799177513881</c:v>
                </c:pt>
                <c:pt idx="9" formatCode="0.0%">
                  <c:v>0.15312260455775009</c:v>
                </c:pt>
                <c:pt idx="10" formatCode="0.0%">
                  <c:v>0.15526386308587092</c:v>
                </c:pt>
                <c:pt idx="11" formatCode="0.0%">
                  <c:v>0.15704360319022478</c:v>
                </c:pt>
                <c:pt idx="12" formatCode="0.0%">
                  <c:v>0.15884675291500489</c:v>
                </c:pt>
                <c:pt idx="13" formatCode="0.0%">
                  <c:v>0.16059752096573396</c:v>
                </c:pt>
                <c:pt idx="14" formatCode="0.0%">
                  <c:v>0.16229077830886579</c:v>
                </c:pt>
                <c:pt idx="15" formatCode="0.0%">
                  <c:v>0.1639761913569813</c:v>
                </c:pt>
                <c:pt idx="16" formatCode="0.0%">
                  <c:v>0.16550738168456156</c:v>
                </c:pt>
                <c:pt idx="17" formatCode="0.0%">
                  <c:v>0.16697427797335024</c:v>
                </c:pt>
                <c:pt idx="18" formatCode="0.0%">
                  <c:v>0.16834673308962522</c:v>
                </c:pt>
                <c:pt idx="19" formatCode="0.0%">
                  <c:v>0.16946838165817954</c:v>
                </c:pt>
                <c:pt idx="20" formatCode="0.0%">
                  <c:v>0.17075284891256648</c:v>
                </c:pt>
                <c:pt idx="21" formatCode="0.0%">
                  <c:v>0.17216168871983148</c:v>
                </c:pt>
                <c:pt idx="22" formatCode="0.0%">
                  <c:v>0.17370701408853387</c:v>
                </c:pt>
                <c:pt idx="23" formatCode="0.0%">
                  <c:v>0.17572658230436469</c:v>
                </c:pt>
                <c:pt idx="24" formatCode="0.0%">
                  <c:v>0.17791081771537917</c:v>
                </c:pt>
                <c:pt idx="25" formatCode="0.0%">
                  <c:v>0.18052781285750122</c:v>
                </c:pt>
                <c:pt idx="26" formatCode="0.0%">
                  <c:v>0.18331596953144957</c:v>
                </c:pt>
                <c:pt idx="27" formatCode="0.0%">
                  <c:v>0.18601502821133614</c:v>
                </c:pt>
                <c:pt idx="28" formatCode="0.0%">
                  <c:v>0.18821454481778296</c:v>
                </c:pt>
                <c:pt idx="29" formatCode="0.0%">
                  <c:v>0.19006964006421415</c:v>
                </c:pt>
              </c:numCache>
            </c:numRef>
          </c:yVal>
          <c:smooth val="1"/>
          <c:extLst>
            <c:ext xmlns:c16="http://schemas.microsoft.com/office/drawing/2014/chart" uri="{C3380CC4-5D6E-409C-BE32-E72D297353CC}">
              <c16:uniqueId val="{00000004-8F7F-4871-91AF-00EC2BAA9F10}"/>
            </c:ext>
          </c:extLst>
        </c:ser>
        <c:ser>
          <c:idx val="3"/>
          <c:order val="3"/>
          <c:tx>
            <c:strRef>
              <c:f>'prop dynamics_new'!$AE$5</c:f>
              <c:strCache>
                <c:ptCount val="1"/>
                <c:pt idx="0">
                  <c:v>Ниж. гран. довер. интервала</c:v>
                </c:pt>
              </c:strCache>
            </c:strRef>
          </c:tx>
          <c:spPr>
            <a:ln w="9525" cap="rnd">
              <a:solidFill>
                <a:srgbClr val="00864F"/>
              </a:solidFill>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dynamics_new'!$AE$30:$AE$58</c:f>
              <c:numCache>
                <c:formatCode>General</c:formatCode>
                <c:ptCount val="29"/>
                <c:pt idx="3" formatCode="0.0%">
                  <c:v>0.14299999999999999</c:v>
                </c:pt>
                <c:pt idx="4" formatCode="0.0%">
                  <c:v>0.14494691626456396</c:v>
                </c:pt>
                <c:pt idx="5" formatCode="0.0%">
                  <c:v>0.14701391217111986</c:v>
                </c:pt>
                <c:pt idx="6" formatCode="0.0%">
                  <c:v>0.14900258820064166</c:v>
                </c:pt>
                <c:pt idx="7" formatCode="0.0%">
                  <c:v>0.15082756298221317</c:v>
                </c:pt>
                <c:pt idx="8" formatCode="0.0%">
                  <c:v>0.15270666367377592</c:v>
                </c:pt>
                <c:pt idx="9" formatCode="0.0%">
                  <c:v>0.1547894286903731</c:v>
                </c:pt>
                <c:pt idx="10" formatCode="0.0%">
                  <c:v>0.15649900634719924</c:v>
                </c:pt>
                <c:pt idx="11" formatCode="0.0%">
                  <c:v>0.15822097468172713</c:v>
                </c:pt>
                <c:pt idx="12" formatCode="0.0%">
                  <c:v>0.15987562272752007</c:v>
                </c:pt>
                <c:pt idx="13" formatCode="0.0%">
                  <c:v>0.1614590474496162</c:v>
                </c:pt>
                <c:pt idx="14" formatCode="0.0%">
                  <c:v>0.16302344568327268</c:v>
                </c:pt>
                <c:pt idx="15" formatCode="0.0%">
                  <c:v>0.16442253261230047</c:v>
                </c:pt>
                <c:pt idx="16" formatCode="0.0%">
                  <c:v>0.16574715856729577</c:v>
                </c:pt>
                <c:pt idx="17" formatCode="0.0%">
                  <c:v>0.1669658901133188</c:v>
                </c:pt>
                <c:pt idx="18" formatCode="0.0%">
                  <c:v>0.16792507660861647</c:v>
                </c:pt>
                <c:pt idx="19" formatCode="0.0%">
                  <c:v>0.16903690550101552</c:v>
                </c:pt>
                <c:pt idx="20" formatCode="0.0%">
                  <c:v>0.1702680553223985</c:v>
                </c:pt>
                <c:pt idx="21" formatCode="0.0%">
                  <c:v>0.17162522770536412</c:v>
                </c:pt>
                <c:pt idx="22" formatCode="0.0%">
                  <c:v>0.17343890610507132</c:v>
                </c:pt>
                <c:pt idx="23" formatCode="0.0%">
                  <c:v>0.17541368248329883</c:v>
                </c:pt>
                <c:pt idx="24" formatCode="0.0%">
                  <c:v>0.1778045405722308</c:v>
                </c:pt>
                <c:pt idx="25" formatCode="0.0%">
                  <c:v>0.18035794560973045</c:v>
                </c:pt>
                <c:pt idx="26" formatCode="0.0%">
                  <c:v>0.18281591267928987</c:v>
                </c:pt>
                <c:pt idx="27" formatCode="0.0%">
                  <c:v>0.18477652169876105</c:v>
                </c:pt>
                <c:pt idx="28" formatCode="0.0%">
                  <c:v>0.18640251064500188</c:v>
                </c:pt>
              </c:numCache>
            </c:numRef>
          </c:yVal>
          <c:smooth val="1"/>
          <c:extLst>
            <c:ext xmlns:c16="http://schemas.microsoft.com/office/drawing/2014/chart" uri="{C3380CC4-5D6E-409C-BE32-E72D297353CC}">
              <c16:uniqueId val="{00000005-8F7F-4871-91AF-00EC2BAA9F10}"/>
            </c:ext>
          </c:extLst>
        </c:ser>
        <c:ser>
          <c:idx val="6"/>
          <c:order val="6"/>
          <c:tx>
            <c:strRef>
              <c:f>'prop dynamics_new'!$AG$4</c:f>
              <c:strCache>
                <c:ptCount val="1"/>
                <c:pt idx="0">
                  <c:v>Прогноз ООН</c:v>
                </c:pt>
              </c:strCache>
            </c:strRef>
          </c:tx>
          <c:spPr>
            <a:ln w="19050" cap="rnd">
              <a:solidFill>
                <a:srgbClr val="247BA0"/>
              </a:solidFill>
              <a:prstDash val="lgDash"/>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dynamics_new'!$AG$32:$AG$58</c:f>
              <c:numCache>
                <c:formatCode>0.0%</c:formatCode>
                <c:ptCount val="27"/>
                <c:pt idx="0">
                  <c:v>0.14299999999999999</c:v>
                </c:pt>
                <c:pt idx="1">
                  <c:v>0.13496176996327602</c:v>
                </c:pt>
                <c:pt idx="2">
                  <c:v>0.13788415384801084</c:v>
                </c:pt>
                <c:pt idx="3">
                  <c:v>0.14058754202060858</c:v>
                </c:pt>
                <c:pt idx="4">
                  <c:v>0.1430960685584034</c:v>
                </c:pt>
                <c:pt idx="5">
                  <c:v>0.14547441419312973</c:v>
                </c:pt>
                <c:pt idx="6">
                  <c:v>0.14777371175174442</c:v>
                </c:pt>
                <c:pt idx="7">
                  <c:v>0.15003357846867682</c:v>
                </c:pt>
                <c:pt idx="8">
                  <c:v>0.15225577760981451</c:v>
                </c:pt>
                <c:pt idx="9">
                  <c:v>0.15442740537240487</c:v>
                </c:pt>
                <c:pt idx="10">
                  <c:v>0.15654740574057022</c:v>
                </c:pt>
                <c:pt idx="11">
                  <c:v>0.15859654466541614</c:v>
                </c:pt>
                <c:pt idx="12">
                  <c:v>0.16054766780756807</c:v>
                </c:pt>
                <c:pt idx="13">
                  <c:v>0.16239514021283055</c:v>
                </c:pt>
                <c:pt idx="14">
                  <c:v>0.16415642854811771</c:v>
                </c:pt>
                <c:pt idx="15">
                  <c:v>0.1658699652860795</c:v>
                </c:pt>
                <c:pt idx="16">
                  <c:v>0.16757921233639558</c:v>
                </c:pt>
                <c:pt idx="17">
                  <c:v>0.16933503589523533</c:v>
                </c:pt>
                <c:pt idx="18">
                  <c:v>0.17117835782127749</c:v>
                </c:pt>
                <c:pt idx="19">
                  <c:v>0.17313736567309598</c:v>
                </c:pt>
                <c:pt idx="20">
                  <c:v>0.17526223544456679</c:v>
                </c:pt>
                <c:pt idx="21">
                  <c:v>0.17757539663112076</c:v>
                </c:pt>
                <c:pt idx="22">
                  <c:v>0.18006919348672126</c:v>
                </c:pt>
                <c:pt idx="23">
                  <c:v>0.18268219706143052</c:v>
                </c:pt>
                <c:pt idx="24">
                  <c:v>0.18532074352928199</c:v>
                </c:pt>
                <c:pt idx="25">
                  <c:v>0.1879161183306601</c:v>
                </c:pt>
                <c:pt idx="26">
                  <c:v>0.19035503884464378</c:v>
                </c:pt>
              </c:numCache>
            </c:numRef>
          </c:yVal>
          <c:smooth val="1"/>
          <c:extLst>
            <c:ext xmlns:c16="http://schemas.microsoft.com/office/drawing/2014/chart" uri="{C3380CC4-5D6E-409C-BE32-E72D297353CC}">
              <c16:uniqueId val="{00000006-8F7F-4871-91AF-00EC2BAA9F10}"/>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in val="9.0000000000000024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majorUnit val="1.0000000000000002E-2"/>
      </c:valAx>
      <c:valAx>
        <c:axId val="1533075231"/>
        <c:scaling>
          <c:orientation val="minMax"/>
          <c:max val="0.2"/>
          <c:min val="9.0000000000000024E-2"/>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dynamics_new'!$Y$5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dynamics_new'!$Y$6:$Y$58</c:f>
              <c:numCache>
                <c:formatCode>General</c:formatCode>
                <c:ptCount val="53"/>
                <c:pt idx="26" formatCode="0.00">
                  <c:v>5.2040461506538405</c:v>
                </c:pt>
                <c:pt idx="27" formatCode="0.00">
                  <c:v>4.9479166666666661</c:v>
                </c:pt>
                <c:pt idx="28" formatCode="0.00">
                  <c:v>4.7080905509102911</c:v>
                </c:pt>
                <c:pt idx="29" formatCode="0.00">
                  <c:v>4.5179543294120519</c:v>
                </c:pt>
                <c:pt idx="30" formatCode="0.00">
                  <c:v>4.3607636492061523</c:v>
                </c:pt>
                <c:pt idx="31" formatCode="0.00">
                  <c:v>4.2415834920552244</c:v>
                </c:pt>
                <c:pt idx="32" formatCode="0.00">
                  <c:v>4.1414777668676575</c:v>
                </c:pt>
                <c:pt idx="33" formatCode="0.00">
                  <c:v>4.0579858521154835</c:v>
                </c:pt>
                <c:pt idx="34" formatCode="0.00">
                  <c:v>4.0019850580965857</c:v>
                </c:pt>
                <c:pt idx="35" formatCode="0.00">
                  <c:v>3.9613173478789947</c:v>
                </c:pt>
                <c:pt idx="36" formatCode="0.00">
                  <c:v>3.9245261968283423</c:v>
                </c:pt>
                <c:pt idx="37" formatCode="0.00">
                  <c:v>3.8891325271280013</c:v>
                </c:pt>
                <c:pt idx="38" formatCode="0.00">
                  <c:v>3.8482194890576729</c:v>
                </c:pt>
                <c:pt idx="39" formatCode="0.00">
                  <c:v>3.8213041439247726</c:v>
                </c:pt>
                <c:pt idx="40" formatCode="0.00">
                  <c:v>3.794608211905349</c:v>
                </c:pt>
                <c:pt idx="41" formatCode="0.00">
                  <c:v>3.7718070151306642</c:v>
                </c:pt>
                <c:pt idx="42" formatCode="0.00">
                  <c:v>3.7483263214828915</c:v>
                </c:pt>
                <c:pt idx="43" formatCode="0.00">
                  <c:v>3.7236980067104706</c:v>
                </c:pt>
                <c:pt idx="44" formatCode="0.00">
                  <c:v>3.6985704714580567</c:v>
                </c:pt>
                <c:pt idx="45" formatCode="0.00">
                  <c:v>3.6755542137830561</c:v>
                </c:pt>
                <c:pt idx="46" formatCode="0.00">
                  <c:v>3.6548953838551879</c:v>
                </c:pt>
                <c:pt idx="47" formatCode="0.00">
                  <c:v>3.6475566415545315</c:v>
                </c:pt>
                <c:pt idx="48" formatCode="0.00">
                  <c:v>3.6382227429208727</c:v>
                </c:pt>
                <c:pt idx="49" formatCode="0.00">
                  <c:v>3.61169434638026</c:v>
                </c:pt>
                <c:pt idx="50" formatCode="0.00">
                  <c:v>3.5740294199847922</c:v>
                </c:pt>
                <c:pt idx="51" formatCode="0.00">
                  <c:v>3.515643890752278</c:v>
                </c:pt>
                <c:pt idx="52" formatCode="0.00">
                  <c:v>3.4442921862058746</c:v>
                </c:pt>
              </c:numCache>
            </c:numRef>
          </c:val>
          <c:extLst>
            <c:ext xmlns:c16="http://schemas.microsoft.com/office/drawing/2014/chart" uri="{C3380CC4-5D6E-409C-BE32-E72D297353CC}">
              <c16:uniqueId val="{00000000-642C-4096-BA23-94ABA3526EDB}"/>
            </c:ext>
          </c:extLst>
        </c:ser>
        <c:ser>
          <c:idx val="5"/>
          <c:order val="5"/>
          <c:tx>
            <c:strRef>
              <c:f>'prop dynamics_new'!$X$5</c:f>
              <c:strCache>
                <c:ptCount val="1"/>
                <c:pt idx="0">
                  <c:v>Верх. гран. довер. интервала</c:v>
                </c:pt>
              </c:strCache>
            </c:strRef>
          </c:tx>
          <c:spPr>
            <a:pattFill prst="pct25">
              <a:fgClr>
                <a:schemeClr val="accent1"/>
              </a:fgClr>
              <a:bgClr>
                <a:schemeClr val="bg1"/>
              </a:bgClr>
            </a:patt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dynamics_new'!$Z$6:$Z$58</c:f>
              <c:numCache>
                <c:formatCode>General</c:formatCode>
                <c:ptCount val="53"/>
                <c:pt idx="26" formatCode="0.00">
                  <c:v>0</c:v>
                </c:pt>
                <c:pt idx="27" formatCode="0.00">
                  <c:v>0</c:v>
                </c:pt>
                <c:pt idx="28" formatCode="0.00">
                  <c:v>8.6866461054970756E-3</c:v>
                </c:pt>
                <c:pt idx="29" formatCode="0.00">
                  <c:v>1.1695974053976599E-2</c:v>
                </c:pt>
                <c:pt idx="30" formatCode="0.00">
                  <c:v>1.3616690280056076E-2</c:v>
                </c:pt>
                <c:pt idx="31" formatCode="0.00">
                  <c:v>1.5016188740171188E-2</c:v>
                </c:pt>
                <c:pt idx="32" formatCode="0.00">
                  <c:v>1.5960672994465241E-2</c:v>
                </c:pt>
                <c:pt idx="33" formatCode="0.00">
                  <c:v>1.6397300815453875E-2</c:v>
                </c:pt>
                <c:pt idx="34" formatCode="0.00">
                  <c:v>1.6668033254068959E-2</c:v>
                </c:pt>
                <c:pt idx="35" formatCode="0.00">
                  <c:v>1.6785711186170893E-2</c:v>
                </c:pt>
                <c:pt idx="36" formatCode="0.00">
                  <c:v>1.6912861769375453E-2</c:v>
                </c:pt>
                <c:pt idx="37" formatCode="0.00">
                  <c:v>1.689457502437719E-2</c:v>
                </c:pt>
                <c:pt idx="38" formatCode="0.00">
                  <c:v>1.6739820898914459E-2</c:v>
                </c:pt>
                <c:pt idx="39" formatCode="0.00">
                  <c:v>1.658751060541519E-2</c:v>
                </c:pt>
                <c:pt idx="40" formatCode="0.00">
                  <c:v>1.6431274300622078E-2</c:v>
                </c:pt>
                <c:pt idx="41" formatCode="0.00">
                  <c:v>1.6285263546011564E-2</c:v>
                </c:pt>
                <c:pt idx="42" formatCode="0.00">
                  <c:v>1.6118631371196734E-2</c:v>
                </c:pt>
                <c:pt idx="43" formatCode="0.00">
                  <c:v>1.5983311605259232E-2</c:v>
                </c:pt>
                <c:pt idx="44" formatCode="0.00">
                  <c:v>1.5922041362426143E-2</c:v>
                </c:pt>
                <c:pt idx="45" formatCode="0.00">
                  <c:v>1.5829375263868073E-2</c:v>
                </c:pt>
                <c:pt idx="46" formatCode="0.00">
                  <c:v>1.5725002317404702E-2</c:v>
                </c:pt>
                <c:pt idx="47" formatCode="0.00">
                  <c:v>1.560929609615691E-2</c:v>
                </c:pt>
                <c:pt idx="48" formatCode="0.00">
                  <c:v>1.5441429922354644E-2</c:v>
                </c:pt>
                <c:pt idx="49" formatCode="0.00">
                  <c:v>1.5245517051179824E-2</c:v>
                </c:pt>
                <c:pt idx="50" formatCode="0.00">
                  <c:v>1.5075837538015335E-2</c:v>
                </c:pt>
                <c:pt idx="51" formatCode="0.00">
                  <c:v>1.4801057517543903E-2</c:v>
                </c:pt>
                <c:pt idx="52" formatCode="0.00">
                  <c:v>1.4546782624511145E-2</c:v>
                </c:pt>
              </c:numCache>
            </c:numRef>
          </c:val>
          <c:extLst>
            <c:ext xmlns:c16="http://schemas.microsoft.com/office/drawing/2014/chart" uri="{C3380CC4-5D6E-409C-BE32-E72D297353CC}">
              <c16:uniqueId val="{00000001-642C-4096-BA23-94ABA3526EDB}"/>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dynamics_new'!$V$4</c:f>
              <c:strCache>
                <c:ptCount val="1"/>
                <c:pt idx="0">
                  <c:v>Коэф. поддержки, факт</c:v>
                </c:pt>
              </c:strCache>
            </c:strRef>
          </c:tx>
          <c:spPr>
            <a:ln w="19050" cap="rnd">
              <a:solidFill>
                <a:srgbClr val="D3AC39"/>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dynamics_new'!$V$6:$V$33</c:f>
              <c:numCache>
                <c:formatCode>0.00</c:formatCode>
                <c:ptCount val="28"/>
                <c:pt idx="0">
                  <c:v>6.9826343095037577</c:v>
                </c:pt>
                <c:pt idx="1">
                  <c:v>7.078626580054598</c:v>
                </c:pt>
                <c:pt idx="2">
                  <c:v>7.0348224338339076</c:v>
                </c:pt>
                <c:pt idx="3">
                  <c:v>6.8170765836481753</c:v>
                </c:pt>
                <c:pt idx="4">
                  <c:v>6.5735460929516387</c:v>
                </c:pt>
                <c:pt idx="5">
                  <c:v>6.3867684862476963</c:v>
                </c:pt>
                <c:pt idx="6">
                  <c:v>6.2442428915646078</c:v>
                </c:pt>
                <c:pt idx="7">
                  <c:v>6.1543505444409732</c:v>
                </c:pt>
                <c:pt idx="8">
                  <c:v>6.1760462692288272</c:v>
                </c:pt>
                <c:pt idx="9">
                  <c:v>6.2944157259208025</c:v>
                </c:pt>
                <c:pt idx="10">
                  <c:v>6.8849962728403762</c:v>
                </c:pt>
                <c:pt idx="11">
                  <c:v>7.2516792715356599</c:v>
                </c:pt>
                <c:pt idx="12">
                  <c:v>7.5680536791940778</c:v>
                </c:pt>
                <c:pt idx="13">
                  <c:v>7.6938368692066277</c:v>
                </c:pt>
                <c:pt idx="14">
                  <c:v>7.6753115608309246</c:v>
                </c:pt>
                <c:pt idx="15">
                  <c:v>7.6353609861237155</c:v>
                </c:pt>
                <c:pt idx="16">
                  <c:v>7.5186342304247997</c:v>
                </c:pt>
                <c:pt idx="17">
                  <c:v>7.3431677973065224</c:v>
                </c:pt>
                <c:pt idx="18">
                  <c:v>7.1943072343284866</c:v>
                </c:pt>
                <c:pt idx="19">
                  <c:v>7.0184418267739295</c:v>
                </c:pt>
                <c:pt idx="20">
                  <c:v>6.8331919008167272</c:v>
                </c:pt>
                <c:pt idx="21">
                  <c:v>6.6056145170075045</c:v>
                </c:pt>
                <c:pt idx="22">
                  <c:v>6.4641011890678168</c:v>
                </c:pt>
                <c:pt idx="23">
                  <c:v>6.073165886085989</c:v>
                </c:pt>
                <c:pt idx="24">
                  <c:v>5.7830263653304472</c:v>
                </c:pt>
                <c:pt idx="25">
                  <c:v>5.4872824133250937</c:v>
                </c:pt>
                <c:pt idx="26">
                  <c:v>5.2040461506538405</c:v>
                </c:pt>
                <c:pt idx="27">
                  <c:v>4.9479166666666661</c:v>
                </c:pt>
              </c:numCache>
            </c:numRef>
          </c:yVal>
          <c:smooth val="1"/>
          <c:extLst>
            <c:ext xmlns:c16="http://schemas.microsoft.com/office/drawing/2014/chart" uri="{C3380CC4-5D6E-409C-BE32-E72D297353CC}">
              <c16:uniqueId val="{00000002-642C-4096-BA23-94ABA3526EDB}"/>
            </c:ext>
          </c:extLst>
        </c:ser>
        <c:ser>
          <c:idx val="2"/>
          <c:order val="1"/>
          <c:tx>
            <c:strRef>
              <c:f>'prop dynamics_new'!$W$4</c:f>
              <c:strCache>
                <c:ptCount val="1"/>
                <c:pt idx="0">
                  <c:v>Прогноз ЕНПФ</c:v>
                </c:pt>
              </c:strCache>
            </c:strRef>
          </c:tx>
          <c:spPr>
            <a:ln w="19050"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dynamics_new'!$W$33:$W$58</c:f>
              <c:numCache>
                <c:formatCode>0.00</c:formatCode>
                <c:ptCount val="26"/>
                <c:pt idx="0">
                  <c:v>4.9479166666666661</c:v>
                </c:pt>
                <c:pt idx="1">
                  <c:v>4.7124338739630396</c:v>
                </c:pt>
                <c:pt idx="2">
                  <c:v>4.5238023164390402</c:v>
                </c:pt>
                <c:pt idx="3">
                  <c:v>4.3675719943461804</c:v>
                </c:pt>
                <c:pt idx="4">
                  <c:v>4.24909158642531</c:v>
                </c:pt>
                <c:pt idx="5">
                  <c:v>4.1494581033648901</c:v>
                </c:pt>
                <c:pt idx="6">
                  <c:v>4.0661845025232104</c:v>
                </c:pt>
                <c:pt idx="7">
                  <c:v>4.0103190747236201</c:v>
                </c:pt>
                <c:pt idx="8">
                  <c:v>3.9697102034720801</c:v>
                </c:pt>
                <c:pt idx="9">
                  <c:v>3.93298262771303</c:v>
                </c:pt>
                <c:pt idx="10">
                  <c:v>3.8975798146401899</c:v>
                </c:pt>
                <c:pt idx="11">
                  <c:v>3.8565893995071301</c:v>
                </c:pt>
                <c:pt idx="12">
                  <c:v>3.8295978992274802</c:v>
                </c:pt>
                <c:pt idx="13">
                  <c:v>3.8028238490556601</c:v>
                </c:pt>
                <c:pt idx="14">
                  <c:v>3.77994964690367</c:v>
                </c:pt>
                <c:pt idx="15">
                  <c:v>3.7563856371684898</c:v>
                </c:pt>
                <c:pt idx="16">
                  <c:v>3.7316896625131002</c:v>
                </c:pt>
                <c:pt idx="17">
                  <c:v>3.7065314921392698</c:v>
                </c:pt>
                <c:pt idx="18">
                  <c:v>3.6834689014149902</c:v>
                </c:pt>
                <c:pt idx="19">
                  <c:v>3.6627578850138902</c:v>
                </c:pt>
                <c:pt idx="20">
                  <c:v>3.65536128960261</c:v>
                </c:pt>
                <c:pt idx="21">
                  <c:v>3.64594345788205</c:v>
                </c:pt>
                <c:pt idx="22">
                  <c:v>3.6193171049058499</c:v>
                </c:pt>
                <c:pt idx="23">
                  <c:v>3.5815673387537998</c:v>
                </c:pt>
                <c:pt idx="24">
                  <c:v>3.52304441951105</c:v>
                </c:pt>
                <c:pt idx="25">
                  <c:v>3.4515655775181302</c:v>
                </c:pt>
              </c:numCache>
            </c:numRef>
          </c:yVal>
          <c:smooth val="1"/>
          <c:extLst>
            <c:ext xmlns:c16="http://schemas.microsoft.com/office/drawing/2014/chart" uri="{C3380CC4-5D6E-409C-BE32-E72D297353CC}">
              <c16:uniqueId val="{00000003-642C-4096-BA23-94ABA3526EDB}"/>
            </c:ext>
          </c:extLst>
        </c:ser>
        <c:ser>
          <c:idx val="1"/>
          <c:order val="2"/>
          <c:tx>
            <c:strRef>
              <c:f>'prop dynamics_new'!$X$5</c:f>
              <c:strCache>
                <c:ptCount val="1"/>
                <c:pt idx="0">
                  <c:v>Верх.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dynamics_new'!$X$33:$X$58</c:f>
              <c:numCache>
                <c:formatCode>0.00</c:formatCode>
                <c:ptCount val="26"/>
                <c:pt idx="0">
                  <c:v>4.9479166666666661</c:v>
                </c:pt>
                <c:pt idx="1">
                  <c:v>4.7167771970157881</c:v>
                </c:pt>
                <c:pt idx="2">
                  <c:v>4.5296503034660285</c:v>
                </c:pt>
                <c:pt idx="3">
                  <c:v>4.3743803394862084</c:v>
                </c:pt>
                <c:pt idx="4">
                  <c:v>4.2565996807953956</c:v>
                </c:pt>
                <c:pt idx="5">
                  <c:v>4.1574384398621227</c:v>
                </c:pt>
                <c:pt idx="6">
                  <c:v>4.0743831529309373</c:v>
                </c:pt>
                <c:pt idx="7">
                  <c:v>4.0186530913506546</c:v>
                </c:pt>
                <c:pt idx="8">
                  <c:v>3.9781030590651656</c:v>
                </c:pt>
                <c:pt idx="9">
                  <c:v>3.9414390585977177</c:v>
                </c:pt>
                <c:pt idx="10">
                  <c:v>3.9060271021523785</c:v>
                </c:pt>
                <c:pt idx="11">
                  <c:v>3.8649593099565873</c:v>
                </c:pt>
                <c:pt idx="12">
                  <c:v>3.8378916545301878</c:v>
                </c:pt>
                <c:pt idx="13">
                  <c:v>3.8110394862059711</c:v>
                </c:pt>
                <c:pt idx="14">
                  <c:v>3.7880922786766758</c:v>
                </c:pt>
                <c:pt idx="15">
                  <c:v>3.7644449528540882</c:v>
                </c:pt>
                <c:pt idx="16">
                  <c:v>3.7396813183157298</c:v>
                </c:pt>
                <c:pt idx="17">
                  <c:v>3.7144925128204829</c:v>
                </c:pt>
                <c:pt idx="18">
                  <c:v>3.6913835890469242</c:v>
                </c:pt>
                <c:pt idx="19">
                  <c:v>3.6706203861725926</c:v>
                </c:pt>
                <c:pt idx="20">
                  <c:v>3.6631659376506884</c:v>
                </c:pt>
                <c:pt idx="21">
                  <c:v>3.6536641728432273</c:v>
                </c:pt>
                <c:pt idx="22">
                  <c:v>3.6269398634314398</c:v>
                </c:pt>
                <c:pt idx="23">
                  <c:v>3.5891052575228075</c:v>
                </c:pt>
                <c:pt idx="24">
                  <c:v>3.5304449482698219</c:v>
                </c:pt>
                <c:pt idx="25">
                  <c:v>3.4588389688303858</c:v>
                </c:pt>
              </c:numCache>
            </c:numRef>
          </c:yVal>
          <c:smooth val="1"/>
          <c:extLst>
            <c:ext xmlns:c16="http://schemas.microsoft.com/office/drawing/2014/chart" uri="{C3380CC4-5D6E-409C-BE32-E72D297353CC}">
              <c16:uniqueId val="{00000004-642C-4096-BA23-94ABA3526EDB}"/>
            </c:ext>
          </c:extLst>
        </c:ser>
        <c:ser>
          <c:idx val="3"/>
          <c:order val="3"/>
          <c:tx>
            <c:strRef>
              <c:f>'prop dynamics_new'!$Y$5</c:f>
              <c:strCache>
                <c:ptCount val="1"/>
                <c:pt idx="0">
                  <c:v>Ниж.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dynamics_new'!$Y$33:$Y$58</c:f>
              <c:numCache>
                <c:formatCode>0.00</c:formatCode>
                <c:ptCount val="26"/>
                <c:pt idx="0">
                  <c:v>4.9479166666666661</c:v>
                </c:pt>
                <c:pt idx="1">
                  <c:v>4.7080905509102911</c:v>
                </c:pt>
                <c:pt idx="2">
                  <c:v>4.5179543294120519</c:v>
                </c:pt>
                <c:pt idx="3">
                  <c:v>4.3607636492061523</c:v>
                </c:pt>
                <c:pt idx="4">
                  <c:v>4.2415834920552244</c:v>
                </c:pt>
                <c:pt idx="5">
                  <c:v>4.1414777668676575</c:v>
                </c:pt>
                <c:pt idx="6">
                  <c:v>4.0579858521154835</c:v>
                </c:pt>
                <c:pt idx="7">
                  <c:v>4.0019850580965857</c:v>
                </c:pt>
                <c:pt idx="8">
                  <c:v>3.9613173478789947</c:v>
                </c:pt>
                <c:pt idx="9">
                  <c:v>3.9245261968283423</c:v>
                </c:pt>
                <c:pt idx="10">
                  <c:v>3.8891325271280013</c:v>
                </c:pt>
                <c:pt idx="11">
                  <c:v>3.8482194890576729</c:v>
                </c:pt>
                <c:pt idx="12">
                  <c:v>3.8213041439247726</c:v>
                </c:pt>
                <c:pt idx="13">
                  <c:v>3.794608211905349</c:v>
                </c:pt>
                <c:pt idx="14">
                  <c:v>3.7718070151306642</c:v>
                </c:pt>
                <c:pt idx="15">
                  <c:v>3.7483263214828915</c:v>
                </c:pt>
                <c:pt idx="16">
                  <c:v>3.7236980067104706</c:v>
                </c:pt>
                <c:pt idx="17">
                  <c:v>3.6985704714580567</c:v>
                </c:pt>
                <c:pt idx="18">
                  <c:v>3.6755542137830561</c:v>
                </c:pt>
                <c:pt idx="19">
                  <c:v>3.6548953838551879</c:v>
                </c:pt>
                <c:pt idx="20">
                  <c:v>3.6475566415545315</c:v>
                </c:pt>
                <c:pt idx="21">
                  <c:v>3.6382227429208727</c:v>
                </c:pt>
                <c:pt idx="22">
                  <c:v>3.61169434638026</c:v>
                </c:pt>
                <c:pt idx="23">
                  <c:v>3.5740294199847922</c:v>
                </c:pt>
                <c:pt idx="24">
                  <c:v>3.515643890752278</c:v>
                </c:pt>
                <c:pt idx="25">
                  <c:v>3.4442921862058746</c:v>
                </c:pt>
              </c:numCache>
            </c:numRef>
          </c:yVal>
          <c:smooth val="1"/>
          <c:extLst>
            <c:ext xmlns:c16="http://schemas.microsoft.com/office/drawing/2014/chart" uri="{C3380CC4-5D6E-409C-BE32-E72D297353CC}">
              <c16:uniqueId val="{00000005-642C-4096-BA23-94ABA3526EDB}"/>
            </c:ext>
          </c:extLst>
        </c:ser>
        <c:ser>
          <c:idx val="6"/>
          <c:order val="6"/>
          <c:tx>
            <c:strRef>
              <c:f>'prop dynamics_new'!$AA$4</c:f>
              <c:strCache>
                <c:ptCount val="1"/>
                <c:pt idx="0">
                  <c:v>Прогноз ООН</c:v>
                </c:pt>
              </c:strCache>
            </c:strRef>
          </c:tx>
          <c:spPr>
            <a:ln w="19050" cap="rnd">
              <a:solidFill>
                <a:srgbClr val="247BA0"/>
              </a:solidFill>
              <a:prstDash val="lgDash"/>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dynamics_new'!$AA$30:$AA$58</c:f>
              <c:numCache>
                <c:formatCode>General</c:formatCode>
                <c:ptCount val="29"/>
                <c:pt idx="2" formatCode="0.00">
                  <c:v>5.2040461506538405</c:v>
                </c:pt>
                <c:pt idx="3" formatCode="0.00">
                  <c:v>5.301951877457034</c:v>
                </c:pt>
                <c:pt idx="4" formatCode="0.00">
                  <c:v>5.0521516235296042</c:v>
                </c:pt>
                <c:pt idx="5" formatCode="0.00">
                  <c:v>4.8335505479804892</c:v>
                </c:pt>
                <c:pt idx="6" formatCode="0.00">
                  <c:v>4.6464446968369995</c:v>
                </c:pt>
                <c:pt idx="7" formatCode="0.00">
                  <c:v>4.4836103188844305</c:v>
                </c:pt>
                <c:pt idx="8" formatCode="0.00">
                  <c:v>4.3430569192685722</c:v>
                </c:pt>
                <c:pt idx="9" formatCode="0.00">
                  <c:v>4.2282895021530784</c:v>
                </c:pt>
                <c:pt idx="10" formatCode="0.00">
                  <c:v>4.1374276709545379</c:v>
                </c:pt>
                <c:pt idx="11" formatCode="0.00">
                  <c:v>4.0657006997707654</c:v>
                </c:pt>
                <c:pt idx="12" formatCode="0.00">
                  <c:v>4.0067117962860603</c:v>
                </c:pt>
                <c:pt idx="13" formatCode="0.00">
                  <c:v>3.9561059895309088</c:v>
                </c:pt>
                <c:pt idx="14" formatCode="0.00">
                  <c:v>3.9105014047061677</c:v>
                </c:pt>
                <c:pt idx="15" formatCode="0.00">
                  <c:v>3.8674873240101353</c:v>
                </c:pt>
                <c:pt idx="16" formatCode="0.00">
                  <c:v>3.8270676665449161</c:v>
                </c:pt>
                <c:pt idx="17" formatCode="0.00">
                  <c:v>3.7897664677824703</c:v>
                </c:pt>
                <c:pt idx="18" formatCode="0.00">
                  <c:v>3.7556013886490134</c:v>
                </c:pt>
                <c:pt idx="19" formatCode="0.00">
                  <c:v>3.724527833511313</c:v>
                </c:pt>
                <c:pt idx="20" formatCode="0.00">
                  <c:v>3.6962926852640403</c:v>
                </c:pt>
                <c:pt idx="21" formatCode="0.00">
                  <c:v>3.6706467992918261</c:v>
                </c:pt>
                <c:pt idx="22" formatCode="0.00">
                  <c:v>3.6464480001957198</c:v>
                </c:pt>
                <c:pt idx="23" formatCode="0.00">
                  <c:v>3.6222030707780752</c:v>
                </c:pt>
                <c:pt idx="24" formatCode="0.00">
                  <c:v>3.5994079335121083</c:v>
                </c:pt>
                <c:pt idx="25" formatCode="0.00">
                  <c:v>3.5700445512530727</c:v>
                </c:pt>
                <c:pt idx="26" formatCode="0.00">
                  <c:v>3.5281094767491328</c:v>
                </c:pt>
                <c:pt idx="27" formatCode="0.00">
                  <c:v>3.4773176764545952</c:v>
                </c:pt>
                <c:pt idx="28" formatCode="0.00">
                  <c:v>3.4184067614957194</c:v>
                </c:pt>
              </c:numCache>
            </c:numRef>
          </c:yVal>
          <c:smooth val="1"/>
          <c:extLst>
            <c:ext xmlns:c16="http://schemas.microsoft.com/office/drawing/2014/chart" uri="{C3380CC4-5D6E-409C-BE32-E72D297353CC}">
              <c16:uniqueId val="{00000006-642C-4096-BA23-94ABA3526EDB}"/>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ax val="8"/>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valAx>
      <c:valAx>
        <c:axId val="1533075231"/>
        <c:scaling>
          <c:orientation val="minMax"/>
          <c:max val="8"/>
          <c:min val="0"/>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C7CAE-83EB-47EC-834D-46C8D973C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1108</Words>
  <Characters>7605</Characters>
  <Application>Microsoft Office Word</Application>
  <DocSecurity>0</DocSecurity>
  <Lines>233</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Жунусова Мадина Зарлыковна</cp:lastModifiedBy>
  <cp:revision>2</cp:revision>
  <cp:lastPrinted>2026-07-21T11:38:00Z</cp:lastPrinted>
  <dcterms:created xsi:type="dcterms:W3CDTF">2026-08-10T08:13:00Z</dcterms:created>
  <dcterms:modified xsi:type="dcterms:W3CDTF">2026-08-10T08:13:00Z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